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CA" w:rsidRDefault="002958CA"/>
    <w:p w:rsidR="009834C9" w:rsidRDefault="00D9671E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1F4530D" wp14:editId="0522E63A">
            <wp:simplePos x="0" y="0"/>
            <wp:positionH relativeFrom="column">
              <wp:posOffset>4695825</wp:posOffset>
            </wp:positionH>
            <wp:positionV relativeFrom="paragraph">
              <wp:posOffset>120015</wp:posOffset>
            </wp:positionV>
            <wp:extent cx="1941195" cy="1456055"/>
            <wp:effectExtent l="0" t="0" r="1905" b="0"/>
            <wp:wrapTopAndBottom/>
            <wp:docPr id="1" name="Picture 1" descr="SM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P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71E" w:rsidRPr="00364527" w:rsidRDefault="00D9671E" w:rsidP="00D9671E">
      <w:pPr>
        <w:pStyle w:val="Title"/>
        <w:shd w:val="clear" w:color="auto" w:fill="FFFFFF"/>
        <w:spacing w:before="0" w:after="0"/>
        <w:rPr>
          <w:sz w:val="52"/>
          <w:u w:val="none"/>
          <w:lang w:eastAsia="ja-JP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jc w:val="center"/>
        <w:rPr>
          <w:noProof/>
          <w:sz w:val="52"/>
          <w:lang w:val="en-GB"/>
        </w:rPr>
      </w:pPr>
      <w:r w:rsidRPr="00D9671E">
        <w:rPr>
          <w:noProof/>
          <w:sz w:val="52"/>
          <w:lang w:val="en-GB"/>
        </w:rPr>
        <w:t xml:space="preserve">Clarifications on the processing flow for </w:t>
      </w:r>
      <w:r>
        <w:rPr>
          <w:noProof/>
          <w:sz w:val="52"/>
          <w:lang w:val="en-GB"/>
        </w:rPr>
        <w:t>c</w:t>
      </w:r>
      <w:r w:rsidRPr="00D9671E">
        <w:rPr>
          <w:noProof/>
          <w:sz w:val="52"/>
          <w:lang w:val="en-GB"/>
        </w:rPr>
        <w:t>onsent</w:t>
      </w:r>
      <w:r>
        <w:rPr>
          <w:noProof/>
          <w:sz w:val="52"/>
          <w:lang w:val="en-GB"/>
        </w:rPr>
        <w:t>-related</w:t>
      </w:r>
      <w:r w:rsidRPr="00D9671E">
        <w:rPr>
          <w:noProof/>
          <w:sz w:val="52"/>
          <w:lang w:val="en-GB"/>
        </w:rPr>
        <w:t xml:space="preserve"> </w:t>
      </w:r>
      <w:r>
        <w:rPr>
          <w:noProof/>
          <w:sz w:val="52"/>
          <w:lang w:val="en-GB"/>
        </w:rPr>
        <w:t>e</w:t>
      </w:r>
      <w:r w:rsidRPr="00D9671E">
        <w:rPr>
          <w:noProof/>
          <w:sz w:val="52"/>
          <w:lang w:val="en-GB"/>
        </w:rPr>
        <w:t>vents</w:t>
      </w: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rPr>
          <w:lang w:val="en-GB"/>
        </w:rPr>
      </w:pPr>
    </w:p>
    <w:p w:rsidR="00D9671E" w:rsidRPr="00E0167A" w:rsidRDefault="00D9671E" w:rsidP="00D9671E">
      <w:pPr>
        <w:ind w:left="4320" w:firstLine="720"/>
        <w:rPr>
          <w:sz w:val="28"/>
          <w:lang w:val="en-GB"/>
        </w:rPr>
      </w:pPr>
      <w:r w:rsidRPr="00E0167A">
        <w:rPr>
          <w:sz w:val="28"/>
          <w:lang w:val="en-GB"/>
        </w:rPr>
        <w:t xml:space="preserve">Status: </w:t>
      </w:r>
      <w:r w:rsidRPr="00E0167A">
        <w:rPr>
          <w:sz w:val="28"/>
          <w:lang w:val="en-GB"/>
        </w:rPr>
        <w:tab/>
      </w:r>
      <w:r w:rsidRPr="00E0167A">
        <w:rPr>
          <w:sz w:val="28"/>
          <w:lang w:val="en-GB"/>
        </w:rPr>
        <w:tab/>
      </w:r>
      <w:r w:rsidRPr="00E0167A">
        <w:rPr>
          <w:sz w:val="28"/>
          <w:lang w:val="en-GB"/>
        </w:rPr>
        <w:tab/>
      </w:r>
      <w:r w:rsidR="00A77131">
        <w:rPr>
          <w:sz w:val="28"/>
          <w:lang w:val="en-GB"/>
        </w:rPr>
        <w:t>FINAL</w:t>
      </w:r>
      <w:r w:rsidR="00784E70">
        <w:rPr>
          <w:rStyle w:val="FootnoteReference"/>
          <w:sz w:val="28"/>
          <w:lang w:val="en-GB"/>
        </w:rPr>
        <w:footnoteReference w:id="1"/>
      </w:r>
    </w:p>
    <w:p w:rsidR="00D9671E" w:rsidRPr="00E0167A" w:rsidRDefault="00D9671E" w:rsidP="00D9671E">
      <w:pPr>
        <w:ind w:left="4320" w:firstLine="720"/>
        <w:rPr>
          <w:sz w:val="28"/>
          <w:lang w:val="en-GB"/>
        </w:rPr>
      </w:pPr>
      <w:r w:rsidRPr="00E0167A">
        <w:rPr>
          <w:sz w:val="28"/>
          <w:lang w:val="en-GB"/>
        </w:rPr>
        <w:t xml:space="preserve">Preparation date: </w:t>
      </w:r>
      <w:r w:rsidRPr="00E0167A">
        <w:rPr>
          <w:sz w:val="28"/>
          <w:lang w:val="en-GB"/>
        </w:rPr>
        <w:tab/>
      </w:r>
      <w:r w:rsidRPr="00E0167A">
        <w:rPr>
          <w:sz w:val="28"/>
          <w:lang w:val="en-GB"/>
        </w:rPr>
        <w:tab/>
      </w:r>
      <w:r>
        <w:rPr>
          <w:sz w:val="28"/>
          <w:lang w:val="en-GB"/>
        </w:rPr>
        <w:t>October</w:t>
      </w:r>
      <w:r w:rsidRPr="00E0167A">
        <w:rPr>
          <w:sz w:val="28"/>
          <w:lang w:val="en-GB"/>
        </w:rPr>
        <w:t xml:space="preserve"> </w:t>
      </w:r>
      <w:r>
        <w:rPr>
          <w:sz w:val="28"/>
          <w:lang w:val="en-GB"/>
        </w:rPr>
        <w:t>2012</w:t>
      </w:r>
    </w:p>
    <w:p w:rsidR="00D9671E" w:rsidRPr="00E0167A" w:rsidRDefault="00D9671E" w:rsidP="00D9671E">
      <w:pPr>
        <w:ind w:left="4320" w:firstLine="720"/>
        <w:rPr>
          <w:sz w:val="28"/>
          <w:lang w:val="en-GB"/>
        </w:rPr>
      </w:pPr>
      <w:r w:rsidRPr="00E0167A">
        <w:rPr>
          <w:sz w:val="28"/>
          <w:lang w:val="en-GB"/>
        </w:rPr>
        <w:t xml:space="preserve">Update date: </w:t>
      </w:r>
      <w:r w:rsidRPr="00E0167A">
        <w:rPr>
          <w:sz w:val="28"/>
          <w:lang w:val="en-GB"/>
        </w:rPr>
        <w:tab/>
      </w:r>
      <w:r w:rsidRPr="00E0167A">
        <w:rPr>
          <w:sz w:val="28"/>
          <w:lang w:val="en-GB"/>
        </w:rPr>
        <w:tab/>
      </w:r>
      <w:r w:rsidR="00784E70">
        <w:rPr>
          <w:sz w:val="28"/>
          <w:lang w:val="en-GB"/>
        </w:rPr>
        <w:t>March</w:t>
      </w:r>
      <w:r w:rsidR="00B77840" w:rsidRPr="00E0167A">
        <w:rPr>
          <w:sz w:val="28"/>
          <w:lang w:val="en-GB"/>
        </w:rPr>
        <w:t xml:space="preserve"> </w:t>
      </w:r>
      <w:r>
        <w:rPr>
          <w:sz w:val="28"/>
          <w:lang w:val="en-GB"/>
        </w:rPr>
        <w:t>201</w:t>
      </w:r>
      <w:r w:rsidR="00784E70">
        <w:rPr>
          <w:sz w:val="28"/>
          <w:lang w:val="en-GB"/>
        </w:rPr>
        <w:t>3</w:t>
      </w:r>
    </w:p>
    <w:p w:rsidR="00D9671E" w:rsidRPr="00E0167A" w:rsidRDefault="00D9671E" w:rsidP="00D9671E">
      <w:pPr>
        <w:ind w:left="4320" w:firstLine="720"/>
        <w:rPr>
          <w:sz w:val="28"/>
          <w:lang w:val="en-GB"/>
        </w:rPr>
      </w:pPr>
      <w:r w:rsidRPr="00E0167A">
        <w:rPr>
          <w:sz w:val="28"/>
          <w:lang w:val="en-GB"/>
        </w:rPr>
        <w:t xml:space="preserve">Update. </w:t>
      </w:r>
      <w:proofErr w:type="spellStart"/>
      <w:proofErr w:type="gramStart"/>
      <w:r w:rsidRPr="00E0167A">
        <w:rPr>
          <w:sz w:val="28"/>
          <w:lang w:val="en-GB"/>
        </w:rPr>
        <w:t>Impl</w:t>
      </w:r>
      <w:proofErr w:type="spellEnd"/>
      <w:r w:rsidRPr="00E0167A">
        <w:rPr>
          <w:sz w:val="28"/>
          <w:lang w:val="en-GB"/>
        </w:rPr>
        <w:t>.</w:t>
      </w:r>
      <w:proofErr w:type="gramEnd"/>
      <w:r w:rsidRPr="00E0167A">
        <w:rPr>
          <w:sz w:val="28"/>
          <w:lang w:val="en-GB"/>
        </w:rPr>
        <w:t xml:space="preserve"> </w:t>
      </w:r>
      <w:proofErr w:type="gramStart"/>
      <w:r w:rsidRPr="00E0167A">
        <w:rPr>
          <w:sz w:val="28"/>
          <w:lang w:val="en-GB"/>
        </w:rPr>
        <w:t>date</w:t>
      </w:r>
      <w:proofErr w:type="gramEnd"/>
      <w:r w:rsidRPr="00E0167A">
        <w:rPr>
          <w:sz w:val="28"/>
          <w:lang w:val="en-GB"/>
        </w:rPr>
        <w:t xml:space="preserve">: </w:t>
      </w:r>
      <w:r w:rsidRPr="00E0167A">
        <w:rPr>
          <w:sz w:val="28"/>
          <w:lang w:val="en-GB"/>
        </w:rPr>
        <w:tab/>
      </w:r>
      <w:r w:rsidR="00B77840">
        <w:rPr>
          <w:sz w:val="28"/>
          <w:lang w:val="en-GB"/>
        </w:rPr>
        <w:t>November 2014</w:t>
      </w:r>
    </w:p>
    <w:p w:rsidR="00A77131" w:rsidRPr="00E0167A" w:rsidRDefault="00D9671E" w:rsidP="00A77131">
      <w:pPr>
        <w:ind w:left="4320" w:firstLine="720"/>
        <w:rPr>
          <w:sz w:val="28"/>
          <w:lang w:val="en-GB"/>
        </w:rPr>
      </w:pPr>
      <w:r w:rsidRPr="00E0167A">
        <w:rPr>
          <w:sz w:val="28"/>
          <w:lang w:val="en-GB"/>
        </w:rPr>
        <w:t xml:space="preserve">Author: </w:t>
      </w:r>
      <w:r w:rsidRPr="00E0167A">
        <w:rPr>
          <w:sz w:val="28"/>
          <w:lang w:val="en-GB"/>
        </w:rPr>
        <w:tab/>
      </w:r>
      <w:r w:rsidRPr="00E0167A">
        <w:rPr>
          <w:sz w:val="28"/>
          <w:lang w:val="en-GB"/>
        </w:rPr>
        <w:tab/>
      </w:r>
      <w:r w:rsidRPr="00E0167A">
        <w:rPr>
          <w:sz w:val="28"/>
          <w:lang w:val="en-GB"/>
        </w:rPr>
        <w:tab/>
      </w:r>
      <w:r w:rsidR="00A77131">
        <w:rPr>
          <w:sz w:val="28"/>
          <w:lang w:val="en-GB"/>
        </w:rPr>
        <w:t>SMPG - BL</w:t>
      </w:r>
    </w:p>
    <w:p w:rsidR="009834C9" w:rsidRDefault="00D9671E" w:rsidP="00D9671E">
      <w:pPr>
        <w:pStyle w:val="TOC1"/>
        <w:tabs>
          <w:tab w:val="right" w:leader="dot" w:pos="9771"/>
        </w:tabs>
        <w:rPr>
          <w:lang w:val="en-GB"/>
        </w:rPr>
      </w:pPr>
      <w:r w:rsidRPr="00E0167A">
        <w:rPr>
          <w:lang w:val="en-GB"/>
        </w:rPr>
        <w:br w:type="page"/>
      </w:r>
    </w:p>
    <w:p w:rsidR="00784E70" w:rsidRPr="00784E70" w:rsidRDefault="00784E70" w:rsidP="00784E70">
      <w:pPr>
        <w:rPr>
          <w:lang w:val="en-GB"/>
        </w:rPr>
      </w:pPr>
    </w:p>
    <w:p w:rsidR="009B13CA" w:rsidRPr="00256798" w:rsidRDefault="009B13CA" w:rsidP="009834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577ED" w:rsidRPr="00B8758E" w:rsidRDefault="002577ED" w:rsidP="00B8758E">
      <w:pPr>
        <w:numPr>
          <w:ilvl w:val="0"/>
          <w:numId w:val="4"/>
        </w:numPr>
        <w:autoSpaceDE w:val="0"/>
        <w:autoSpaceDN w:val="0"/>
        <w:adjustRightInd w:val="0"/>
        <w:rPr>
          <w:rStyle w:val="IntenseReference"/>
        </w:rPr>
      </w:pPr>
      <w:r w:rsidRPr="00B8758E">
        <w:rPr>
          <w:rStyle w:val="IntenseReference"/>
        </w:rPr>
        <w:t>Generic considerations</w:t>
      </w:r>
    </w:p>
    <w:p w:rsidR="002577ED" w:rsidRDefault="002577ED" w:rsidP="002577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80FF4" w:rsidRPr="00A77131" w:rsidRDefault="00880FF4" w:rsidP="002577ED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A77131">
        <w:rPr>
          <w:rFonts w:ascii="Arial" w:hAnsi="Arial" w:cs="Arial"/>
          <w:color w:val="000000"/>
          <w:u w:val="single"/>
        </w:rPr>
        <w:t>Types of Consents</w:t>
      </w:r>
    </w:p>
    <w:p w:rsidR="00880FF4" w:rsidRDefault="00880FF4" w:rsidP="002577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E1018" w:rsidRDefault="002E1018" w:rsidP="002577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A </w:t>
      </w:r>
      <w:r w:rsidRPr="00A77131">
        <w:rPr>
          <w:rFonts w:ascii="Arial" w:hAnsi="Arial" w:cs="Arial"/>
          <w:i/>
          <w:color w:val="000000"/>
        </w:rPr>
        <w:t>consent</w:t>
      </w:r>
      <w:proofErr w:type="gramEnd"/>
      <w:r>
        <w:rPr>
          <w:rFonts w:ascii="Arial" w:hAnsi="Arial" w:cs="Arial"/>
          <w:color w:val="000000"/>
        </w:rPr>
        <w:t xml:space="preserve"> is, by definition, a request </w:t>
      </w:r>
      <w:r w:rsidR="00D163B5">
        <w:rPr>
          <w:rFonts w:ascii="Arial" w:hAnsi="Arial" w:cs="Arial"/>
          <w:color w:val="000000"/>
        </w:rPr>
        <w:t xml:space="preserve">normally </w:t>
      </w:r>
      <w:r>
        <w:rPr>
          <w:rFonts w:ascii="Arial" w:hAnsi="Arial" w:cs="Arial"/>
          <w:color w:val="000000"/>
        </w:rPr>
        <w:t xml:space="preserve">performed by the issuer to the holders on specific topics linked to the life of the company or to the terms and conditions of the company’s </w:t>
      </w:r>
      <w:r w:rsidR="000E56BE">
        <w:rPr>
          <w:rFonts w:ascii="Arial" w:hAnsi="Arial" w:cs="Arial"/>
          <w:color w:val="000000"/>
        </w:rPr>
        <w:t xml:space="preserve">issued </w:t>
      </w:r>
      <w:r>
        <w:rPr>
          <w:rFonts w:ascii="Arial" w:hAnsi="Arial" w:cs="Arial"/>
          <w:color w:val="000000"/>
        </w:rPr>
        <w:t xml:space="preserve">securities.  </w:t>
      </w:r>
      <w:r w:rsidRPr="002E1018">
        <w:rPr>
          <w:rFonts w:ascii="Arial" w:hAnsi="Arial" w:cs="Arial"/>
          <w:color w:val="000000"/>
        </w:rPr>
        <w:t xml:space="preserve">Different types of </w:t>
      </w:r>
      <w:r w:rsidRPr="00A77131">
        <w:rPr>
          <w:rFonts w:ascii="Arial" w:hAnsi="Arial" w:cs="Arial"/>
          <w:i/>
          <w:color w:val="000000"/>
        </w:rPr>
        <w:t>consents</w:t>
      </w:r>
      <w:r w:rsidRPr="002E1018">
        <w:rPr>
          <w:rFonts w:ascii="Arial" w:hAnsi="Arial" w:cs="Arial"/>
          <w:color w:val="000000"/>
        </w:rPr>
        <w:t xml:space="preserve"> exist on the market.</w:t>
      </w:r>
      <w:r>
        <w:rPr>
          <w:rFonts w:ascii="Arial" w:hAnsi="Arial" w:cs="Arial"/>
          <w:color w:val="000000"/>
        </w:rPr>
        <w:t xml:space="preserve">  Here </w:t>
      </w:r>
      <w:r w:rsidR="000E56BE">
        <w:rPr>
          <w:rFonts w:ascii="Arial" w:hAnsi="Arial" w:cs="Arial"/>
          <w:color w:val="000000"/>
        </w:rPr>
        <w:t xml:space="preserve">are the most common </w:t>
      </w:r>
      <w:r>
        <w:rPr>
          <w:rFonts w:ascii="Arial" w:hAnsi="Arial" w:cs="Arial"/>
          <w:color w:val="000000"/>
        </w:rPr>
        <w:t>types of consents:</w:t>
      </w:r>
    </w:p>
    <w:p w:rsidR="002E1018" w:rsidRDefault="002E1018" w:rsidP="00A771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Change in the terms and conditions of a security</w:t>
      </w:r>
      <w:r w:rsidR="000E56B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0E56BE"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</w:rPr>
        <w:t>his often occurs for bonds and structured products for which a clear ‘terms and conditions’ document exists.  For certain types of modification, a consent of the holder is requested</w:t>
      </w:r>
      <w:r w:rsidR="00316B72">
        <w:rPr>
          <w:rFonts w:ascii="Arial" w:hAnsi="Arial" w:cs="Arial"/>
          <w:color w:val="000000"/>
        </w:rPr>
        <w:t xml:space="preserve"> (see scenario 1a below)</w:t>
      </w:r>
    </w:p>
    <w:p w:rsidR="002E1018" w:rsidRDefault="00316B72" w:rsidP="00A7713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Bonds can be declared due and payable.  See </w:t>
      </w:r>
      <w:r w:rsidRPr="00316B72">
        <w:rPr>
          <w:rFonts w:ascii="Arial" w:hAnsi="Arial" w:cs="Arial"/>
          <w:color w:val="000000"/>
        </w:rPr>
        <w:t xml:space="preserve">scenario 1b </w:t>
      </w:r>
      <w:r>
        <w:rPr>
          <w:rFonts w:ascii="Arial" w:hAnsi="Arial" w:cs="Arial"/>
          <w:color w:val="000000"/>
        </w:rPr>
        <w:t xml:space="preserve">and more details in the </w:t>
      </w:r>
      <w:r w:rsidRPr="00A77131">
        <w:rPr>
          <w:rFonts w:ascii="Arial" w:hAnsi="Arial" w:cs="Arial"/>
          <w:i/>
          <w:color w:val="000000"/>
        </w:rPr>
        <w:t>specifics of the XS market</w:t>
      </w:r>
      <w:r>
        <w:rPr>
          <w:rFonts w:ascii="Arial" w:hAnsi="Arial" w:cs="Arial"/>
          <w:color w:val="000000"/>
        </w:rPr>
        <w:t xml:space="preserve"> chapter.</w:t>
      </w:r>
    </w:p>
    <w:p w:rsidR="00316B72" w:rsidRDefault="00316B72" w:rsidP="00316B7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Consent requested to the holder in the context of </w:t>
      </w:r>
      <w:r w:rsidR="000E56BE">
        <w:rPr>
          <w:rFonts w:ascii="Arial" w:hAnsi="Arial" w:cs="Arial"/>
          <w:color w:val="000000"/>
        </w:rPr>
        <w:t xml:space="preserve">specific events like </w:t>
      </w:r>
      <w:r>
        <w:rPr>
          <w:rFonts w:ascii="Arial" w:hAnsi="Arial" w:cs="Arial"/>
          <w:color w:val="000000"/>
        </w:rPr>
        <w:t>exchange offers or tenders.  This consent has very often impacts on the receipt of potential fee</w:t>
      </w:r>
      <w:r w:rsidR="000E56B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and also on the deadline.  See </w:t>
      </w:r>
      <w:r w:rsidRPr="00316B72">
        <w:rPr>
          <w:rFonts w:ascii="Arial" w:hAnsi="Arial" w:cs="Arial"/>
          <w:color w:val="000000"/>
        </w:rPr>
        <w:t xml:space="preserve">scenario </w:t>
      </w:r>
      <w:r>
        <w:rPr>
          <w:rFonts w:ascii="Arial" w:hAnsi="Arial" w:cs="Arial"/>
          <w:color w:val="000000"/>
        </w:rPr>
        <w:t xml:space="preserve">2 and more details in the </w:t>
      </w:r>
      <w:r w:rsidRPr="00BC4374">
        <w:rPr>
          <w:rFonts w:ascii="Arial" w:hAnsi="Arial" w:cs="Arial"/>
          <w:i/>
          <w:color w:val="000000"/>
        </w:rPr>
        <w:t xml:space="preserve">specifics of the </w:t>
      </w:r>
      <w:r>
        <w:rPr>
          <w:rFonts w:ascii="Arial" w:hAnsi="Arial" w:cs="Arial"/>
          <w:i/>
          <w:color w:val="000000"/>
        </w:rPr>
        <w:t xml:space="preserve">US </w:t>
      </w:r>
      <w:r w:rsidRPr="00BC4374">
        <w:rPr>
          <w:rFonts w:ascii="Arial" w:hAnsi="Arial" w:cs="Arial"/>
          <w:i/>
          <w:color w:val="000000"/>
        </w:rPr>
        <w:t>market</w:t>
      </w:r>
      <w:r>
        <w:rPr>
          <w:rFonts w:ascii="Arial" w:hAnsi="Arial" w:cs="Arial"/>
          <w:color w:val="000000"/>
        </w:rPr>
        <w:t xml:space="preserve"> chapter.</w:t>
      </w:r>
    </w:p>
    <w:p w:rsidR="00880FF4" w:rsidRDefault="00880FF4" w:rsidP="00880FF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Korea, a common scenario is that issuers do not </w:t>
      </w:r>
      <w:proofErr w:type="spellStart"/>
      <w:r>
        <w:rPr>
          <w:rFonts w:ascii="Arial" w:hAnsi="Arial" w:cs="Arial"/>
          <w:color w:val="000000"/>
        </w:rPr>
        <w:t>organise</w:t>
      </w:r>
      <w:proofErr w:type="spellEnd"/>
      <w:r>
        <w:rPr>
          <w:rFonts w:ascii="Arial" w:hAnsi="Arial" w:cs="Arial"/>
          <w:color w:val="000000"/>
        </w:rPr>
        <w:t xml:space="preserve"> a general meeting to request the opinion of their holders and allow the holders who did not agree with the proposals to </w:t>
      </w:r>
      <w:r w:rsidR="00971C92">
        <w:rPr>
          <w:rFonts w:ascii="Arial" w:hAnsi="Arial" w:cs="Arial"/>
          <w:color w:val="000000"/>
        </w:rPr>
        <w:t>sell</w:t>
      </w:r>
      <w:r>
        <w:rPr>
          <w:rFonts w:ascii="Arial" w:hAnsi="Arial" w:cs="Arial"/>
          <w:color w:val="000000"/>
        </w:rPr>
        <w:t xml:space="preserve"> the securities</w:t>
      </w:r>
      <w:r w:rsidR="00D379D7">
        <w:rPr>
          <w:rFonts w:ascii="Arial" w:hAnsi="Arial" w:cs="Arial"/>
          <w:color w:val="000000"/>
        </w:rPr>
        <w:t xml:space="preserve"> </w:t>
      </w:r>
      <w:r w:rsidR="00971C92">
        <w:rPr>
          <w:rFonts w:ascii="Arial" w:hAnsi="Arial" w:cs="Arial"/>
          <w:color w:val="000000"/>
        </w:rPr>
        <w:t xml:space="preserve">to the issuer company via a repurchase offer (BIDS) event </w:t>
      </w:r>
      <w:r w:rsidR="00D379D7">
        <w:rPr>
          <w:rFonts w:ascii="Arial" w:hAnsi="Arial" w:cs="Arial"/>
          <w:color w:val="000000"/>
        </w:rPr>
        <w:t>(</w:t>
      </w:r>
      <w:r w:rsidR="00971C92">
        <w:rPr>
          <w:rFonts w:ascii="Arial" w:hAnsi="Arial" w:cs="Arial"/>
          <w:color w:val="000000"/>
        </w:rPr>
        <w:t xml:space="preserve">the </w:t>
      </w:r>
      <w:r w:rsidR="00D379D7">
        <w:rPr>
          <w:rFonts w:ascii="Arial" w:hAnsi="Arial" w:cs="Arial"/>
          <w:color w:val="000000"/>
        </w:rPr>
        <w:t>other holders cannot participate to the second event)</w:t>
      </w:r>
      <w:r>
        <w:rPr>
          <w:rFonts w:ascii="Arial" w:hAnsi="Arial" w:cs="Arial"/>
          <w:color w:val="000000"/>
        </w:rPr>
        <w:t xml:space="preserve">. See </w:t>
      </w:r>
      <w:r w:rsidRPr="00316B72">
        <w:rPr>
          <w:rFonts w:ascii="Arial" w:hAnsi="Arial" w:cs="Arial"/>
          <w:color w:val="000000"/>
        </w:rPr>
        <w:t xml:space="preserve">scenario </w:t>
      </w:r>
      <w:r w:rsidR="00877BE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:rsidR="00316B72" w:rsidRPr="00A77131" w:rsidRDefault="00316B72" w:rsidP="00880F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E56BE" w:rsidRDefault="000E56B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2E1018" w:rsidRDefault="002E1018" w:rsidP="002577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E1018" w:rsidRPr="00A77131" w:rsidRDefault="00880FF4" w:rsidP="002577ED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A77131">
        <w:rPr>
          <w:rFonts w:ascii="Arial" w:hAnsi="Arial" w:cs="Arial"/>
          <w:color w:val="000000"/>
          <w:u w:val="single"/>
        </w:rPr>
        <w:t>General logic</w:t>
      </w:r>
      <w:r w:rsidRPr="00880FF4">
        <w:rPr>
          <w:rFonts w:ascii="Arial" w:hAnsi="Arial" w:cs="Arial"/>
          <w:color w:val="000000"/>
          <w:u w:val="single"/>
        </w:rPr>
        <w:t xml:space="preserve"> for event usage</w:t>
      </w:r>
    </w:p>
    <w:p w:rsidR="002E1018" w:rsidRDefault="002E1018" w:rsidP="002577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03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602"/>
        <w:gridCol w:w="1375"/>
        <w:gridCol w:w="716"/>
        <w:gridCol w:w="709"/>
        <w:gridCol w:w="350"/>
        <w:gridCol w:w="620"/>
        <w:gridCol w:w="1054"/>
        <w:gridCol w:w="1094"/>
        <w:gridCol w:w="1364"/>
        <w:gridCol w:w="1188"/>
        <w:gridCol w:w="834"/>
      </w:tblGrid>
      <w:tr w:rsidR="000E56BE" w:rsidRPr="007D1312" w:rsidTr="00A77131">
        <w:trPr>
          <w:trHeight w:val="18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extDirection w:val="btLr"/>
            <w:vAlign w:val="bottom"/>
            <w:hideMark/>
          </w:tcPr>
          <w:p w:rsidR="00880FF4" w:rsidRPr="007D1312" w:rsidRDefault="00880FF4" w:rsidP="00BC4374">
            <w:pPr>
              <w:rPr>
                <w:b/>
                <w:bCs/>
                <w:lang w:val="en-GB" w:eastAsia="en-GB"/>
              </w:rPr>
            </w:pPr>
            <w:r w:rsidRPr="007D1312">
              <w:rPr>
                <w:b/>
                <w:bCs/>
                <w:lang w:val="en-GB" w:eastAsia="en-GB"/>
              </w:rPr>
              <w:t>Scenario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bottom"/>
            <w:hideMark/>
          </w:tcPr>
          <w:p w:rsidR="00880FF4" w:rsidRPr="007D1312" w:rsidRDefault="00880FF4" w:rsidP="00BC4374">
            <w:pPr>
              <w:rPr>
                <w:b/>
                <w:bCs/>
                <w:lang w:val="en-GB" w:eastAsia="en-GB"/>
              </w:rPr>
            </w:pPr>
            <w:r w:rsidRPr="007D1312">
              <w:rPr>
                <w:b/>
                <w:bCs/>
                <w:lang w:val="en-GB" w:eastAsia="en-GB"/>
              </w:rPr>
              <w:t>Target Market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80FF4" w:rsidRPr="007D1312" w:rsidRDefault="00880FF4" w:rsidP="00BC4374">
            <w:pPr>
              <w:rPr>
                <w:b/>
                <w:bCs/>
                <w:lang w:val="en-GB" w:eastAsia="en-GB"/>
              </w:rPr>
            </w:pPr>
            <w:r w:rsidRPr="007D1312">
              <w:rPr>
                <w:b/>
                <w:bCs/>
                <w:lang w:val="en-GB" w:eastAsia="en-GB"/>
              </w:rPr>
              <w:t>Description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bottom"/>
            <w:hideMark/>
          </w:tcPr>
          <w:p w:rsidR="00880FF4" w:rsidRPr="007D1312" w:rsidRDefault="00880FF4" w:rsidP="00BC4374">
            <w:pPr>
              <w:rPr>
                <w:b/>
                <w:bCs/>
                <w:lang w:val="en-GB" w:eastAsia="en-GB"/>
              </w:rPr>
            </w:pPr>
            <w:r w:rsidRPr="007D1312">
              <w:rPr>
                <w:b/>
                <w:bCs/>
                <w:lang w:val="en-GB" w:eastAsia="en-GB"/>
              </w:rPr>
              <w:t>B:Bond / S:Shares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bottom"/>
            <w:hideMark/>
          </w:tcPr>
          <w:p w:rsidR="00880FF4" w:rsidRPr="007D1312" w:rsidRDefault="00880FF4" w:rsidP="00BC4374">
            <w:pPr>
              <w:rPr>
                <w:b/>
                <w:bCs/>
                <w:lang w:val="en-GB" w:eastAsia="en-GB"/>
              </w:rPr>
            </w:pPr>
            <w:r w:rsidRPr="007D1312">
              <w:rPr>
                <w:b/>
                <w:bCs/>
                <w:lang w:val="en-GB" w:eastAsia="en-GB"/>
              </w:rPr>
              <w:t>Electronic</w:t>
            </w:r>
            <w:r w:rsidRPr="007D1312">
              <w:rPr>
                <w:b/>
                <w:bCs/>
                <w:lang w:val="en-GB" w:eastAsia="en-GB"/>
              </w:rPr>
              <w:br/>
              <w:t>Instruction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bottom"/>
            <w:hideMark/>
          </w:tcPr>
          <w:p w:rsidR="00880FF4" w:rsidRPr="007D1312" w:rsidRDefault="00880FF4" w:rsidP="00BC4374">
            <w:pPr>
              <w:rPr>
                <w:b/>
                <w:bCs/>
                <w:lang w:val="en-GB" w:eastAsia="en-GB"/>
              </w:rPr>
            </w:pPr>
            <w:r w:rsidRPr="007D1312">
              <w:rPr>
                <w:b/>
                <w:bCs/>
                <w:lang w:val="en-GB" w:eastAsia="en-GB"/>
              </w:rPr>
              <w:t>Physical Meeting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bottom"/>
            <w:hideMark/>
          </w:tcPr>
          <w:p w:rsidR="00880FF4" w:rsidRPr="007D1312" w:rsidRDefault="00880FF4" w:rsidP="00BC4374">
            <w:pPr>
              <w:rPr>
                <w:b/>
                <w:bCs/>
                <w:lang w:val="en-GB" w:eastAsia="en-GB"/>
              </w:rPr>
            </w:pPr>
            <w:r w:rsidRPr="007D1312">
              <w:rPr>
                <w:b/>
                <w:bCs/>
                <w:lang w:val="en-GB" w:eastAsia="en-GB"/>
              </w:rPr>
              <w:t>Stand Alone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bottom"/>
            <w:hideMark/>
          </w:tcPr>
          <w:p w:rsidR="00880FF4" w:rsidRPr="007D1312" w:rsidRDefault="00880FF4" w:rsidP="00BC4374">
            <w:pPr>
              <w:rPr>
                <w:b/>
                <w:bCs/>
                <w:lang w:val="en-GB" w:eastAsia="en-GB"/>
              </w:rPr>
            </w:pPr>
            <w:r w:rsidRPr="007D1312">
              <w:rPr>
                <w:b/>
                <w:bCs/>
                <w:lang w:val="en-GB" w:eastAsia="en-GB"/>
              </w:rPr>
              <w:t>Originator</w:t>
            </w:r>
            <w:r w:rsidRPr="007D1312">
              <w:rPr>
                <w:b/>
                <w:bCs/>
                <w:lang w:val="en-GB" w:eastAsia="en-GB"/>
              </w:rPr>
              <w:br/>
              <w:t xml:space="preserve">I: Issuer / </w:t>
            </w:r>
            <w:r w:rsidRPr="007D1312">
              <w:rPr>
                <w:b/>
                <w:bCs/>
                <w:lang w:val="en-GB" w:eastAsia="en-GB"/>
              </w:rPr>
              <w:br/>
              <w:t>T: Third Party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80FF4" w:rsidRPr="007D1312" w:rsidRDefault="00880FF4" w:rsidP="00BC4374">
            <w:pPr>
              <w:rPr>
                <w:b/>
                <w:bCs/>
                <w:lang w:val="en-GB" w:eastAsia="en-GB"/>
              </w:rPr>
            </w:pPr>
            <w:r w:rsidRPr="007D1312">
              <w:rPr>
                <w:b/>
                <w:bCs/>
                <w:lang w:val="en-GB" w:eastAsia="en-GB"/>
              </w:rPr>
              <w:t>CAMV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80FF4" w:rsidRPr="007D1312" w:rsidRDefault="00880FF4" w:rsidP="00BC4374">
            <w:pPr>
              <w:rPr>
                <w:b/>
                <w:bCs/>
                <w:lang w:val="en-GB" w:eastAsia="en-GB"/>
              </w:rPr>
            </w:pPr>
            <w:r w:rsidRPr="007D1312">
              <w:rPr>
                <w:b/>
                <w:bCs/>
                <w:lang w:val="en-GB" w:eastAsia="en-GB"/>
              </w:rPr>
              <w:t>CAEV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80FF4" w:rsidRPr="007D1312" w:rsidRDefault="00880FF4" w:rsidP="00BC4374">
            <w:pPr>
              <w:rPr>
                <w:b/>
                <w:bCs/>
                <w:lang w:val="en-GB" w:eastAsia="en-GB"/>
              </w:rPr>
            </w:pPr>
            <w:r w:rsidRPr="007D1312">
              <w:rPr>
                <w:b/>
                <w:bCs/>
                <w:lang w:val="en-GB" w:eastAsia="en-GB"/>
              </w:rPr>
              <w:t>Options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bottom"/>
            <w:hideMark/>
          </w:tcPr>
          <w:p w:rsidR="00880FF4" w:rsidRPr="007D1312" w:rsidRDefault="00880FF4" w:rsidP="00B54CBA">
            <w:pPr>
              <w:rPr>
                <w:b/>
                <w:bCs/>
                <w:lang w:val="en-GB" w:eastAsia="en-GB"/>
              </w:rPr>
            </w:pPr>
            <w:r w:rsidRPr="007D1312">
              <w:rPr>
                <w:b/>
                <w:bCs/>
                <w:lang w:val="en-GB" w:eastAsia="en-GB"/>
              </w:rPr>
              <w:t>Fee on Election</w:t>
            </w:r>
            <w:r w:rsidR="00D379D7">
              <w:rPr>
                <w:b/>
                <w:bCs/>
                <w:lang w:val="en-GB" w:eastAsia="en-GB"/>
              </w:rPr>
              <w:t xml:space="preserve"> </w:t>
            </w:r>
          </w:p>
        </w:tc>
      </w:tr>
      <w:tr w:rsidR="00D163B5" w:rsidRPr="007D1312" w:rsidTr="00A77131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80FF4" w:rsidRPr="00A96132" w:rsidRDefault="00880FF4" w:rsidP="00BC4374">
            <w:pPr>
              <w:rPr>
                <w:b/>
                <w:color w:val="0070C0"/>
                <w:lang w:val="en-GB" w:eastAsia="en-GB"/>
              </w:rPr>
            </w:pPr>
            <w:r w:rsidRPr="00A96132">
              <w:rPr>
                <w:b/>
                <w:color w:val="0070C0"/>
                <w:lang w:val="en-GB" w:eastAsia="en-GB"/>
              </w:rPr>
              <w:t>1a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XS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Change in Terms</w:t>
            </w:r>
            <w:r>
              <w:rPr>
                <w:lang w:val="en-GB" w:eastAsia="en-GB"/>
              </w:rPr>
              <w:t xml:space="preserve"> (+/-80% of XS consent)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Y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VOLU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CONS + Term</w:t>
            </w: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ind.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CONY,</w:t>
            </w:r>
            <w:r w:rsidRPr="007D1312">
              <w:rPr>
                <w:lang w:val="en-GB" w:eastAsia="en-GB"/>
              </w:rPr>
              <w:br/>
              <w:t>CONN, NOAC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Y</w:t>
            </w:r>
            <w:r w:rsidR="00B54CBA">
              <w:rPr>
                <w:lang w:val="en-GB" w:eastAsia="en-GB"/>
              </w:rPr>
              <w:t xml:space="preserve"> (SOFE)</w:t>
            </w:r>
            <w:r w:rsidRPr="007D1312">
              <w:rPr>
                <w:lang w:val="en-GB" w:eastAsia="en-GB"/>
              </w:rPr>
              <w:t>/N</w:t>
            </w:r>
          </w:p>
        </w:tc>
      </w:tr>
      <w:tr w:rsidR="00D163B5" w:rsidRPr="007D1312" w:rsidTr="00A77131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80FF4" w:rsidRPr="00A96132" w:rsidRDefault="00880FF4" w:rsidP="00BC4374">
            <w:pPr>
              <w:rPr>
                <w:b/>
                <w:color w:val="0070C0"/>
                <w:lang w:val="en-GB" w:eastAsia="en-GB"/>
              </w:rPr>
            </w:pPr>
            <w:r w:rsidRPr="00A96132">
              <w:rPr>
                <w:b/>
                <w:color w:val="0070C0"/>
                <w:lang w:val="en-GB" w:eastAsia="en-GB"/>
              </w:rPr>
              <w:t>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XS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Due &amp; Payable</w:t>
            </w:r>
            <w:r>
              <w:rPr>
                <w:lang w:val="en-GB" w:eastAsia="en-GB"/>
              </w:rPr>
              <w:t xml:space="preserve"> (</w:t>
            </w:r>
            <w:r w:rsidRPr="00880FF4">
              <w:rPr>
                <w:lang w:val="en-GB" w:eastAsia="en-GB"/>
              </w:rPr>
              <w:t>+/-</w:t>
            </w:r>
            <w:r>
              <w:rPr>
                <w:lang w:val="en-GB" w:eastAsia="en-GB"/>
              </w:rPr>
              <w:t xml:space="preserve"> 20% of XS consents)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Y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TP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VOLU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CONS + D&amp;P</w:t>
            </w: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ind.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CONY,</w:t>
            </w:r>
            <w:r w:rsidRPr="007D1312">
              <w:rPr>
                <w:lang w:val="en-GB" w:eastAsia="en-GB"/>
              </w:rPr>
              <w:br/>
              <w:t>CONN, NOAC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N</w:t>
            </w:r>
          </w:p>
        </w:tc>
      </w:tr>
      <w:tr w:rsidR="00D163B5" w:rsidRPr="007D1312" w:rsidTr="00A77131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80FF4" w:rsidRPr="00A96132" w:rsidRDefault="00880FF4" w:rsidP="00BC4374">
            <w:pPr>
              <w:rPr>
                <w:b/>
                <w:color w:val="0070C0"/>
                <w:lang w:val="en-GB" w:eastAsia="en-GB"/>
              </w:rPr>
            </w:pPr>
            <w:r w:rsidRPr="00A96132">
              <w:rPr>
                <w:b/>
                <w:color w:val="0070C0"/>
                <w:lang w:val="en-GB" w:eastAsia="en-GB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US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Consent for EXOF, TEND</w:t>
            </w:r>
            <w:r w:rsidR="00C213BA">
              <w:rPr>
                <w:lang w:val="en-GB" w:eastAsia="en-GB"/>
              </w:rPr>
              <w:t>, BIDS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CE2DA1" w:rsidP="00BC4374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B+</w:t>
            </w:r>
            <w:r w:rsidR="00880FF4" w:rsidRPr="007D1312">
              <w:rPr>
                <w:lang w:val="en-GB" w:eastAsia="en-GB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Y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Y/N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VOLU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CE2DA1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TEND,EXOF</w:t>
            </w:r>
            <w:r w:rsidR="00CE2DA1">
              <w:rPr>
                <w:lang w:val="en-GB" w:eastAsia="en-GB"/>
              </w:rPr>
              <w:t>, BIDS</w:t>
            </w:r>
            <w:r w:rsidR="00D379D7">
              <w:rPr>
                <w:lang w:val="en-GB" w:eastAsia="en-GB"/>
              </w:rPr>
              <w:t xml:space="preserve"> + </w:t>
            </w:r>
            <w:r w:rsidR="00CE2DA1">
              <w:rPr>
                <w:lang w:val="en-GB" w:eastAsia="en-GB"/>
              </w:rPr>
              <w:t>A</w:t>
            </w:r>
            <w:r w:rsidR="00D379D7">
              <w:rPr>
                <w:lang w:val="en-GB" w:eastAsia="en-GB"/>
              </w:rPr>
              <w:t>DDB/CONS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CTEN,</w:t>
            </w:r>
            <w:r w:rsidRPr="007D1312">
              <w:rPr>
                <w:lang w:val="en-GB" w:eastAsia="en-GB"/>
              </w:rPr>
              <w:br/>
              <w:t>CEXC,</w:t>
            </w:r>
            <w:r w:rsidRPr="007D1312">
              <w:rPr>
                <w:lang w:val="en-GB" w:eastAsia="en-GB"/>
              </w:rPr>
              <w:br/>
              <w:t>CONY,</w:t>
            </w:r>
            <w:r w:rsidRPr="007D1312">
              <w:rPr>
                <w:lang w:val="en-GB" w:eastAsia="en-GB"/>
              </w:rPr>
              <w:br/>
              <w:t>CONN, NOAC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Y</w:t>
            </w:r>
            <w:r w:rsidR="00B54CBA">
              <w:rPr>
                <w:lang w:val="en-GB" w:eastAsia="en-GB"/>
              </w:rPr>
              <w:t xml:space="preserve"> </w:t>
            </w:r>
            <w:r w:rsidR="00B54CBA" w:rsidRPr="00B54CBA">
              <w:rPr>
                <w:lang w:val="en-GB" w:eastAsia="en-GB"/>
              </w:rPr>
              <w:t>(SOFE)</w:t>
            </w:r>
            <w:r w:rsidRPr="007D1312">
              <w:rPr>
                <w:lang w:val="en-GB" w:eastAsia="en-GB"/>
              </w:rPr>
              <w:t xml:space="preserve"> majority</w:t>
            </w:r>
          </w:p>
        </w:tc>
      </w:tr>
      <w:tr w:rsidR="00D163B5" w:rsidRPr="007D1312" w:rsidTr="00A77131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80FF4" w:rsidRPr="00A96132" w:rsidRDefault="00880FF4" w:rsidP="00BC4374">
            <w:pPr>
              <w:rPr>
                <w:b/>
                <w:color w:val="0070C0"/>
                <w:lang w:val="en-GB" w:eastAsia="en-GB"/>
              </w:rPr>
            </w:pPr>
            <w:r w:rsidRPr="00A96132">
              <w:rPr>
                <w:b/>
                <w:color w:val="0070C0"/>
                <w:lang w:val="en-GB" w:eastAsia="en-GB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KR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FF4" w:rsidRPr="007D1312" w:rsidRDefault="00880FF4" w:rsidP="00971C92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 xml:space="preserve">Consent </w:t>
            </w:r>
            <w:r w:rsidR="00971C92">
              <w:rPr>
                <w:lang w:val="en-GB" w:eastAsia="en-GB"/>
              </w:rPr>
              <w:t>for</w:t>
            </w:r>
            <w:r w:rsidR="00971C92" w:rsidRPr="007D1312">
              <w:rPr>
                <w:lang w:val="en-GB" w:eastAsia="en-GB"/>
              </w:rPr>
              <w:t xml:space="preserve"> </w:t>
            </w:r>
            <w:r w:rsidRPr="007D1312">
              <w:rPr>
                <w:lang w:val="en-GB" w:eastAsia="en-GB"/>
              </w:rPr>
              <w:t>buyback offer for dissenters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Y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971C92" w:rsidP="00BC4374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VOLU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D163B5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CONS</w:t>
            </w:r>
            <w:r w:rsidR="00D163B5">
              <w:rPr>
                <w:lang w:val="en-GB" w:eastAsia="en-GB"/>
              </w:rPr>
              <w:t xml:space="preserve"> (followed by </w:t>
            </w:r>
            <w:r w:rsidRPr="007D1312">
              <w:rPr>
                <w:lang w:val="en-GB" w:eastAsia="en-GB"/>
              </w:rPr>
              <w:t>BIDS</w:t>
            </w:r>
            <w:r w:rsidR="00D163B5">
              <w:rPr>
                <w:lang w:val="en-GB" w:eastAsia="en-GB"/>
              </w:rPr>
              <w:t xml:space="preserve"> –VOLU)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FF4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CONN</w:t>
            </w:r>
            <w:r w:rsidR="00971C92">
              <w:rPr>
                <w:lang w:val="en-GB" w:eastAsia="en-GB"/>
              </w:rPr>
              <w:t>,</w:t>
            </w:r>
          </w:p>
          <w:p w:rsidR="00971C92" w:rsidRPr="007D1312" w:rsidRDefault="00971C92" w:rsidP="00BC4374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NOAC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N</w:t>
            </w:r>
          </w:p>
        </w:tc>
      </w:tr>
      <w:tr w:rsidR="00D163B5" w:rsidRPr="007D1312" w:rsidTr="00A77131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80FF4" w:rsidRPr="00A96132" w:rsidRDefault="00880FF4" w:rsidP="00BC4374">
            <w:pPr>
              <w:rPr>
                <w:b/>
                <w:color w:val="0070C0"/>
                <w:lang w:val="en-GB" w:eastAsia="en-GB"/>
              </w:rPr>
            </w:pPr>
            <w:r w:rsidRPr="00A96132">
              <w:rPr>
                <w:b/>
                <w:color w:val="0070C0"/>
                <w:lang w:val="en-GB" w:eastAsia="en-GB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All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Bond  Holder meeting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Proxy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VOLU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(new) BMET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Meeting Options</w:t>
            </w:r>
            <w:r w:rsidRPr="007D1312">
              <w:rPr>
                <w:lang w:val="en-GB" w:eastAsia="en-GB"/>
              </w:rPr>
              <w:br/>
              <w:t>+ Abstain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FF4" w:rsidRPr="007D1312" w:rsidRDefault="00880FF4" w:rsidP="00BC4374">
            <w:pPr>
              <w:rPr>
                <w:lang w:val="en-GB" w:eastAsia="en-GB"/>
              </w:rPr>
            </w:pPr>
            <w:r w:rsidRPr="007D1312">
              <w:rPr>
                <w:lang w:val="en-GB" w:eastAsia="en-GB"/>
              </w:rPr>
              <w:t>N</w:t>
            </w:r>
            <w:r w:rsidR="00652454">
              <w:rPr>
                <w:lang w:val="en-GB" w:eastAsia="en-GB"/>
              </w:rPr>
              <w:t>*</w:t>
            </w:r>
          </w:p>
        </w:tc>
      </w:tr>
    </w:tbl>
    <w:p w:rsidR="00880FF4" w:rsidRPr="00A77131" w:rsidRDefault="00880FF4" w:rsidP="002577E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</w:rPr>
      </w:pPr>
      <w:bookmarkStart w:id="0" w:name="_GoBack"/>
      <w:bookmarkEnd w:id="0"/>
    </w:p>
    <w:p w:rsidR="00880FF4" w:rsidRDefault="00880FF4" w:rsidP="002577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577ED" w:rsidRDefault="002577ED" w:rsidP="002577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When a consent is </w:t>
      </w:r>
      <w:r w:rsidR="00744C2E">
        <w:rPr>
          <w:rFonts w:ascii="Arial" w:hAnsi="Arial" w:cs="Arial"/>
          <w:color w:val="000000"/>
        </w:rPr>
        <w:t xml:space="preserve">required on a specific </w:t>
      </w:r>
      <w:r w:rsidR="00B8758E">
        <w:rPr>
          <w:rFonts w:ascii="Arial" w:hAnsi="Arial" w:cs="Arial"/>
          <w:color w:val="000000"/>
        </w:rPr>
        <w:t xml:space="preserve">event (e.g. </w:t>
      </w:r>
      <w:r w:rsidR="00744C2E">
        <w:rPr>
          <w:rFonts w:ascii="Arial" w:hAnsi="Arial" w:cs="Arial"/>
          <w:color w:val="000000"/>
        </w:rPr>
        <w:t>consent on a tender</w:t>
      </w:r>
      <w:r w:rsidR="00C213BA">
        <w:rPr>
          <w:rFonts w:ascii="Arial" w:hAnsi="Arial" w:cs="Arial"/>
          <w:color w:val="000000"/>
        </w:rPr>
        <w:t>/repurchase</w:t>
      </w:r>
      <w:r w:rsidR="00744C2E">
        <w:rPr>
          <w:rFonts w:ascii="Arial" w:hAnsi="Arial" w:cs="Arial"/>
          <w:color w:val="000000"/>
        </w:rPr>
        <w:t xml:space="preserve"> offer or exchange offer), the event type of the specific event should be used.</w:t>
      </w:r>
      <w:proofErr w:type="gramEnd"/>
      <w:r w:rsidR="00744C2E">
        <w:rPr>
          <w:rFonts w:ascii="Arial" w:hAnsi="Arial" w:cs="Arial"/>
          <w:color w:val="000000"/>
        </w:rPr>
        <w:t xml:space="preserve">  In order to clarify that </w:t>
      </w:r>
      <w:proofErr w:type="gramStart"/>
      <w:r w:rsidR="00744C2E">
        <w:rPr>
          <w:rFonts w:ascii="Arial" w:hAnsi="Arial" w:cs="Arial"/>
          <w:color w:val="000000"/>
        </w:rPr>
        <w:t>a consent</w:t>
      </w:r>
      <w:proofErr w:type="gramEnd"/>
      <w:r w:rsidR="00744C2E">
        <w:rPr>
          <w:rFonts w:ascii="Arial" w:hAnsi="Arial" w:cs="Arial"/>
          <w:color w:val="000000"/>
        </w:rPr>
        <w:t xml:space="preserve"> is required for th</w:t>
      </w:r>
      <w:r w:rsidR="000E56BE">
        <w:rPr>
          <w:rFonts w:ascii="Arial" w:hAnsi="Arial" w:cs="Arial"/>
          <w:color w:val="000000"/>
        </w:rPr>
        <w:t>is</w:t>
      </w:r>
      <w:r w:rsidR="00744C2E">
        <w:rPr>
          <w:rFonts w:ascii="Arial" w:hAnsi="Arial" w:cs="Arial"/>
          <w:color w:val="000000"/>
        </w:rPr>
        <w:t xml:space="preserve"> event to </w:t>
      </w:r>
      <w:r w:rsidR="000E56BE">
        <w:rPr>
          <w:rFonts w:ascii="Arial" w:hAnsi="Arial" w:cs="Arial"/>
          <w:color w:val="000000"/>
        </w:rPr>
        <w:t>actually take place,</w:t>
      </w:r>
      <w:r w:rsidR="00744C2E">
        <w:rPr>
          <w:rFonts w:ascii="Arial" w:hAnsi="Arial" w:cs="Arial"/>
          <w:color w:val="000000"/>
        </w:rPr>
        <w:t xml:space="preserve"> the use of the additional business process CONS is recommended</w:t>
      </w:r>
      <w:r w:rsidR="000E56BE">
        <w:rPr>
          <w:rFonts w:ascii="Arial" w:hAnsi="Arial" w:cs="Arial"/>
          <w:color w:val="000000"/>
        </w:rPr>
        <w:t xml:space="preserve"> in sequence D</w:t>
      </w:r>
      <w:r w:rsidR="00744C2E">
        <w:rPr>
          <w:rFonts w:ascii="Arial" w:hAnsi="Arial" w:cs="Arial"/>
          <w:color w:val="000000"/>
        </w:rPr>
        <w:t>.</w:t>
      </w:r>
    </w:p>
    <w:p w:rsidR="00744C2E" w:rsidRDefault="00744C2E" w:rsidP="002577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E.g.</w:t>
      </w:r>
      <w:proofErr w:type="gramEnd"/>
      <w:r>
        <w:rPr>
          <w:rFonts w:ascii="Arial" w:hAnsi="Arial" w:cs="Arial"/>
          <w:color w:val="000000"/>
        </w:rPr>
        <w:t xml:space="preserve">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4678"/>
      </w:tblGrid>
      <w:tr w:rsidR="00744C2E" w:rsidTr="00B8758E">
        <w:tc>
          <w:tcPr>
            <w:tcW w:w="3686" w:type="dxa"/>
          </w:tcPr>
          <w:p w:rsidR="00744C2E" w:rsidRDefault="00744C2E" w:rsidP="00B87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4C2E">
              <w:rPr>
                <w:rFonts w:ascii="Arial" w:hAnsi="Arial" w:cs="Arial"/>
                <w:color w:val="000000"/>
              </w:rPr>
              <w:t>Tender and Consent</w:t>
            </w:r>
          </w:p>
          <w:p w:rsidR="00744C2E" w:rsidRPr="00744C2E" w:rsidRDefault="00744C2E" w:rsidP="00744C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744C2E">
              <w:rPr>
                <w:rFonts w:ascii="Arial" w:hAnsi="Arial" w:cs="Arial"/>
                <w:color w:val="000000"/>
              </w:rPr>
              <w:t>Seq</w:t>
            </w:r>
            <w:proofErr w:type="spellEnd"/>
            <w:r w:rsidRPr="00744C2E">
              <w:rPr>
                <w:rFonts w:ascii="Arial" w:hAnsi="Arial" w:cs="Arial"/>
                <w:color w:val="000000"/>
              </w:rPr>
              <w:t xml:space="preserve"> A</w:t>
            </w:r>
          </w:p>
          <w:p w:rsidR="00744C2E" w:rsidRPr="00744C2E" w:rsidRDefault="00744C2E" w:rsidP="00744C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4C2E">
              <w:rPr>
                <w:rFonts w:ascii="Arial" w:hAnsi="Arial" w:cs="Arial"/>
                <w:color w:val="000000"/>
              </w:rPr>
              <w:t>22F::CAEV//TEND (Tender and Consent)</w:t>
            </w:r>
          </w:p>
          <w:p w:rsidR="00744C2E" w:rsidRPr="00744C2E" w:rsidRDefault="00744C2E" w:rsidP="00744C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4C2E">
              <w:rPr>
                <w:rFonts w:ascii="Arial" w:hAnsi="Arial" w:cs="Arial"/>
                <w:color w:val="000000"/>
              </w:rPr>
              <w:t>22F::CAMV//VOLU</w:t>
            </w:r>
          </w:p>
          <w:p w:rsidR="00744C2E" w:rsidRPr="00744C2E" w:rsidRDefault="00744C2E" w:rsidP="00744C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744C2E">
              <w:rPr>
                <w:rFonts w:ascii="Arial" w:hAnsi="Arial" w:cs="Arial"/>
                <w:color w:val="000000"/>
              </w:rPr>
              <w:t>Seq</w:t>
            </w:r>
            <w:proofErr w:type="spellEnd"/>
            <w:r w:rsidRPr="00744C2E">
              <w:rPr>
                <w:rFonts w:ascii="Arial" w:hAnsi="Arial" w:cs="Arial"/>
                <w:color w:val="000000"/>
              </w:rPr>
              <w:t xml:space="preserve"> D</w:t>
            </w:r>
          </w:p>
          <w:p w:rsidR="00744C2E" w:rsidRDefault="00744C2E" w:rsidP="00744C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4C2E">
              <w:rPr>
                <w:rFonts w:ascii="Arial" w:hAnsi="Arial" w:cs="Arial"/>
                <w:color w:val="000000"/>
              </w:rPr>
              <w:t>22F::ADDB//CONS</w:t>
            </w:r>
          </w:p>
        </w:tc>
        <w:tc>
          <w:tcPr>
            <w:tcW w:w="4678" w:type="dxa"/>
          </w:tcPr>
          <w:p w:rsidR="00744C2E" w:rsidRDefault="00744C2E" w:rsidP="00B87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44C2E">
              <w:rPr>
                <w:rFonts w:ascii="Arial" w:hAnsi="Arial" w:cs="Arial"/>
                <w:color w:val="000000"/>
              </w:rPr>
              <w:t>Exchange and Consent</w:t>
            </w:r>
          </w:p>
          <w:p w:rsidR="00744C2E" w:rsidRPr="00744C2E" w:rsidRDefault="00744C2E" w:rsidP="00744C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744C2E">
              <w:rPr>
                <w:rFonts w:ascii="Arial" w:hAnsi="Arial" w:cs="Arial"/>
                <w:color w:val="000000"/>
              </w:rPr>
              <w:t>Seq</w:t>
            </w:r>
            <w:proofErr w:type="spellEnd"/>
            <w:r w:rsidRPr="00744C2E">
              <w:rPr>
                <w:rFonts w:ascii="Arial" w:hAnsi="Arial" w:cs="Arial"/>
                <w:color w:val="000000"/>
              </w:rPr>
              <w:t xml:space="preserve"> A</w:t>
            </w:r>
          </w:p>
          <w:p w:rsidR="00744C2E" w:rsidRPr="00744C2E" w:rsidRDefault="00744C2E" w:rsidP="00744C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4C2E">
              <w:rPr>
                <w:rFonts w:ascii="Arial" w:hAnsi="Arial" w:cs="Arial"/>
                <w:color w:val="000000"/>
              </w:rPr>
              <w:t>22F::CAEV//EXOF (Exchange and Consent)</w:t>
            </w:r>
          </w:p>
          <w:p w:rsidR="00744C2E" w:rsidRPr="00744C2E" w:rsidRDefault="00744C2E" w:rsidP="00744C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4C2E">
              <w:rPr>
                <w:rFonts w:ascii="Arial" w:hAnsi="Arial" w:cs="Arial"/>
                <w:color w:val="000000"/>
              </w:rPr>
              <w:t>22F::CAMV//VOLU</w:t>
            </w:r>
          </w:p>
          <w:p w:rsidR="00744C2E" w:rsidRPr="00744C2E" w:rsidRDefault="00744C2E" w:rsidP="00744C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744C2E">
              <w:rPr>
                <w:rFonts w:ascii="Arial" w:hAnsi="Arial" w:cs="Arial"/>
                <w:color w:val="000000"/>
              </w:rPr>
              <w:t>Seq</w:t>
            </w:r>
            <w:proofErr w:type="spellEnd"/>
            <w:r w:rsidRPr="00744C2E">
              <w:rPr>
                <w:rFonts w:ascii="Arial" w:hAnsi="Arial" w:cs="Arial"/>
                <w:color w:val="000000"/>
              </w:rPr>
              <w:t xml:space="preserve"> D</w:t>
            </w:r>
          </w:p>
          <w:p w:rsidR="00744C2E" w:rsidRDefault="00744C2E" w:rsidP="00744C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4C2E">
              <w:rPr>
                <w:rFonts w:ascii="Arial" w:hAnsi="Arial" w:cs="Arial"/>
                <w:color w:val="000000"/>
              </w:rPr>
              <w:t>22F::ADDB//CONS</w:t>
            </w:r>
          </w:p>
        </w:tc>
      </w:tr>
    </w:tbl>
    <w:p w:rsidR="00744C2E" w:rsidRDefault="00744C2E" w:rsidP="002577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F27AE" w:rsidRDefault="00CF27AE" w:rsidP="00CF27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F27AE" w:rsidRPr="00CF27AE" w:rsidRDefault="00CF27AE" w:rsidP="00CF27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7AE">
        <w:rPr>
          <w:rFonts w:ascii="Arial" w:hAnsi="Arial" w:cs="Arial"/>
          <w:color w:val="000000"/>
        </w:rPr>
        <w:t xml:space="preserve">For Consent Tender/Exchange Events - account holders who elect to Take No Action, will have no impact on their holdings. When the Consent and Tender/Exchange Event is granted, holders who elected to Consent and Tender/Exchange are impacted based on the terms of the option. </w:t>
      </w:r>
      <w:r w:rsidRPr="00CF27AE">
        <w:rPr>
          <w:rFonts w:ascii="Arial" w:hAnsi="Arial" w:cs="Arial"/>
          <w:color w:val="000000"/>
        </w:rPr>
        <w:lastRenderedPageBreak/>
        <w:t>Holders who only granted the consent will not have their shares surrendered. However, they are bound to the changes of the consent.</w:t>
      </w:r>
    </w:p>
    <w:p w:rsidR="00CF27AE" w:rsidRDefault="00CF27AE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27AE">
        <w:rPr>
          <w:rFonts w:ascii="Arial" w:hAnsi="Arial" w:cs="Arial"/>
          <w:color w:val="000000"/>
        </w:rPr>
        <w:t xml:space="preserve">If </w:t>
      </w:r>
      <w:r>
        <w:rPr>
          <w:rFonts w:ascii="Arial" w:hAnsi="Arial" w:cs="Arial"/>
          <w:color w:val="000000"/>
        </w:rPr>
        <w:t xml:space="preserve">the </w:t>
      </w:r>
      <w:r w:rsidRPr="00CF27AE">
        <w:rPr>
          <w:rFonts w:ascii="Arial" w:hAnsi="Arial" w:cs="Arial"/>
          <w:color w:val="000000"/>
        </w:rPr>
        <w:t>offer becomes compulsory, the tend</w:t>
      </w:r>
      <w:r w:rsidR="00463A53">
        <w:rPr>
          <w:rFonts w:ascii="Arial" w:hAnsi="Arial" w:cs="Arial"/>
          <w:color w:val="000000"/>
        </w:rPr>
        <w:t xml:space="preserve">er/exchange </w:t>
      </w:r>
      <w:r w:rsidR="000E56BE">
        <w:rPr>
          <w:rFonts w:ascii="Arial" w:hAnsi="Arial" w:cs="Arial"/>
          <w:color w:val="000000"/>
        </w:rPr>
        <w:t xml:space="preserve">itself </w:t>
      </w:r>
      <w:r w:rsidR="00463A53">
        <w:rPr>
          <w:rFonts w:ascii="Arial" w:hAnsi="Arial" w:cs="Arial"/>
          <w:color w:val="000000"/>
        </w:rPr>
        <w:t xml:space="preserve">becomes mandatory, </w:t>
      </w:r>
      <w:r w:rsidR="000717E9">
        <w:rPr>
          <w:rFonts w:ascii="Arial" w:hAnsi="Arial" w:cs="Arial"/>
          <w:color w:val="000000"/>
        </w:rPr>
        <w:t>h</w:t>
      </w:r>
      <w:r w:rsidRPr="00CF27AE">
        <w:rPr>
          <w:rFonts w:ascii="Arial" w:hAnsi="Arial" w:cs="Arial"/>
          <w:color w:val="000000"/>
        </w:rPr>
        <w:t xml:space="preserve">olders who elected NOAC or CONN will </w:t>
      </w:r>
      <w:r w:rsidR="000E56BE">
        <w:rPr>
          <w:rFonts w:ascii="Arial" w:hAnsi="Arial" w:cs="Arial"/>
          <w:color w:val="000000"/>
        </w:rPr>
        <w:t xml:space="preserve">therefore </w:t>
      </w:r>
      <w:r w:rsidRPr="00CF27AE">
        <w:rPr>
          <w:rFonts w:ascii="Arial" w:hAnsi="Arial" w:cs="Arial"/>
          <w:color w:val="000000"/>
        </w:rPr>
        <w:t xml:space="preserve">be subject to a second </w:t>
      </w:r>
      <w:r w:rsidR="000717E9">
        <w:rPr>
          <w:rFonts w:ascii="Arial" w:hAnsi="Arial" w:cs="Arial"/>
          <w:color w:val="000000"/>
        </w:rPr>
        <w:t xml:space="preserve">new </w:t>
      </w:r>
      <w:proofErr w:type="spellStart"/>
      <w:r w:rsidR="000717E9" w:rsidRPr="000717E9">
        <w:rPr>
          <w:rFonts w:ascii="Arial" w:hAnsi="Arial" w:cs="Arial"/>
          <w:color w:val="000000"/>
        </w:rPr>
        <w:t>MANDatory</w:t>
      </w:r>
      <w:proofErr w:type="spellEnd"/>
      <w:r w:rsidR="000717E9" w:rsidRPr="000717E9">
        <w:rPr>
          <w:rFonts w:ascii="Arial" w:hAnsi="Arial" w:cs="Arial"/>
          <w:color w:val="000000"/>
        </w:rPr>
        <w:t xml:space="preserve"> </w:t>
      </w:r>
      <w:r w:rsidRPr="00CF27AE">
        <w:rPr>
          <w:rFonts w:ascii="Arial" w:hAnsi="Arial" w:cs="Arial"/>
          <w:color w:val="000000"/>
        </w:rPr>
        <w:t>event</w:t>
      </w:r>
      <w:r w:rsidR="000717E9">
        <w:rPr>
          <w:rFonts w:ascii="Arial" w:hAnsi="Arial" w:cs="Arial"/>
          <w:color w:val="000000"/>
        </w:rPr>
        <w:t>.</w:t>
      </w:r>
    </w:p>
    <w:p w:rsidR="00CF27AE" w:rsidRDefault="00CF27AE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F27AE" w:rsidRDefault="00CF27AE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44C2E" w:rsidRDefault="00744C2E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event type CONS will remain applicable whenever </w:t>
      </w:r>
      <w:r w:rsidR="00E56C9E">
        <w:rPr>
          <w:rFonts w:ascii="Arial" w:hAnsi="Arial" w:cs="Arial"/>
          <w:color w:val="000000"/>
        </w:rPr>
        <w:t xml:space="preserve">the issuer is </w:t>
      </w:r>
      <w:r w:rsidR="00880FF4">
        <w:rPr>
          <w:rFonts w:ascii="Arial" w:hAnsi="Arial" w:cs="Arial"/>
          <w:color w:val="000000"/>
        </w:rPr>
        <w:t>not requir</w:t>
      </w:r>
      <w:r w:rsidR="00D163B5">
        <w:rPr>
          <w:rFonts w:ascii="Arial" w:hAnsi="Arial" w:cs="Arial"/>
          <w:color w:val="000000"/>
        </w:rPr>
        <w:t>ing to</w:t>
      </w:r>
      <w:r w:rsidR="00880FF4">
        <w:rPr>
          <w:rFonts w:ascii="Arial" w:hAnsi="Arial" w:cs="Arial"/>
          <w:color w:val="000000"/>
        </w:rPr>
        <w:t xml:space="preserve"> consent on a specific event but </w:t>
      </w:r>
      <w:r w:rsidR="00E56C9E">
        <w:rPr>
          <w:rFonts w:ascii="Arial" w:hAnsi="Arial" w:cs="Arial"/>
          <w:color w:val="000000"/>
        </w:rPr>
        <w:t xml:space="preserve">requesting for example a change in the terms and conditions of a bond.  </w:t>
      </w:r>
    </w:p>
    <w:p w:rsidR="00181DDD" w:rsidRDefault="00181DDD" w:rsidP="00181DDD">
      <w:pPr>
        <w:pStyle w:val="Decisions"/>
      </w:pPr>
      <w:r w:rsidRPr="00A77131">
        <w:rPr>
          <w:color w:val="000000"/>
          <w:sz w:val="24"/>
          <w:szCs w:val="24"/>
          <w:lang w:val="en-US"/>
        </w:rPr>
        <w:t>The SMPG agrees that the ISO definition</w:t>
      </w:r>
      <w:r w:rsidR="00D163B5" w:rsidRPr="00A77131">
        <w:rPr>
          <w:color w:val="000000"/>
          <w:sz w:val="24"/>
          <w:szCs w:val="24"/>
          <w:lang w:val="en-US"/>
        </w:rPr>
        <w:t xml:space="preserve"> of the CONS event is therefore not appropriate and decides to have it changed as follows:</w:t>
      </w:r>
      <w:r w:rsidR="00D163B5">
        <w:rPr>
          <w:b/>
        </w:rPr>
        <w:t xml:space="preserve"> </w:t>
      </w:r>
    </w:p>
    <w:p w:rsidR="00181DDD" w:rsidRPr="00A77131" w:rsidRDefault="00181DDD" w:rsidP="00181DDD">
      <w:pPr>
        <w:rPr>
          <w:i/>
          <w:strike/>
        </w:rPr>
      </w:pPr>
      <w:r w:rsidRPr="00A77131">
        <w:rPr>
          <w:i/>
          <w:strike/>
        </w:rPr>
        <w:t xml:space="preserve">Procedure that aims to obtain consent of holder to a proposal by the issuer or a third party intended to progress an event to the next stage. This procedure is not required to be linked to the organisation of a formal meeting. For example, consent to approve a plan of </w:t>
      </w:r>
      <w:proofErr w:type="spellStart"/>
      <w:r w:rsidRPr="00A77131">
        <w:rPr>
          <w:i/>
          <w:strike/>
        </w:rPr>
        <w:t>reorganisation</w:t>
      </w:r>
      <w:proofErr w:type="spellEnd"/>
      <w:r w:rsidRPr="00A77131">
        <w:rPr>
          <w:i/>
          <w:strike/>
        </w:rPr>
        <w:t xml:space="preserve"> for a bankruptcy proceeding.’ </w:t>
      </w:r>
    </w:p>
    <w:p w:rsidR="00181DDD" w:rsidRDefault="00181DDD" w:rsidP="00181DDD">
      <w:pPr>
        <w:pStyle w:val="Decisions"/>
      </w:pPr>
      <w:proofErr w:type="gramStart"/>
      <w:r>
        <w:t>to</w:t>
      </w:r>
      <w:proofErr w:type="gramEnd"/>
      <w:r>
        <w:t xml:space="preserve"> </w:t>
      </w:r>
    </w:p>
    <w:p w:rsidR="00181DDD" w:rsidRDefault="00181DDD" w:rsidP="00181DDD">
      <w:pPr>
        <w:rPr>
          <w:i/>
        </w:rPr>
      </w:pPr>
      <w:proofErr w:type="gramStart"/>
      <w:r w:rsidRPr="005B4768">
        <w:rPr>
          <w:i/>
        </w:rPr>
        <w:t>‘Procedure that aims to obtain consent of holder to a proposal by the issuer or a third party without convening a meeting.</w:t>
      </w:r>
      <w:proofErr w:type="gramEnd"/>
      <w:r w:rsidRPr="005B4768">
        <w:rPr>
          <w:i/>
        </w:rPr>
        <w:t xml:space="preserve"> For example, consent to change the terms of a bond.’</w:t>
      </w:r>
      <w:r>
        <w:rPr>
          <w:i/>
        </w:rPr>
        <w:tab/>
      </w:r>
    </w:p>
    <w:p w:rsidR="00181DDD" w:rsidRDefault="00181DDD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43CD8" w:rsidRDefault="00E43CD8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56C9E" w:rsidRDefault="00E43CD8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E43CD8">
        <w:rPr>
          <w:rFonts w:ascii="Arial" w:hAnsi="Arial" w:cs="Arial"/>
          <w:color w:val="000000"/>
        </w:rPr>
        <w:t>E.g.</w:t>
      </w:r>
      <w:proofErr w:type="gramEnd"/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505"/>
      </w:tblGrid>
      <w:tr w:rsidR="00E43CD8" w:rsidRPr="00E43CD8" w:rsidTr="00A77131">
        <w:tc>
          <w:tcPr>
            <w:tcW w:w="8505" w:type="dxa"/>
          </w:tcPr>
          <w:p w:rsidR="00E43CD8" w:rsidRPr="00E43CD8" w:rsidRDefault="00E43CD8" w:rsidP="00E43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Consent changes in the terms of a bond</w:t>
            </w:r>
          </w:p>
          <w:p w:rsidR="00E43CD8" w:rsidRPr="00E43CD8" w:rsidRDefault="00E43CD8" w:rsidP="00E43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3CD8">
              <w:rPr>
                <w:rFonts w:ascii="Arial" w:eastAsia="Times New Roman" w:hAnsi="Arial" w:cs="Arial"/>
                <w:color w:val="000000"/>
              </w:rPr>
              <w:t>Seq</w:t>
            </w:r>
            <w:proofErr w:type="spellEnd"/>
            <w:r w:rsidRPr="00E43CD8">
              <w:rPr>
                <w:rFonts w:ascii="Arial" w:eastAsia="Times New Roman" w:hAnsi="Arial" w:cs="Arial"/>
                <w:color w:val="000000"/>
              </w:rPr>
              <w:t xml:space="preserve"> A</w:t>
            </w:r>
          </w:p>
          <w:p w:rsidR="00E43CD8" w:rsidRPr="00E43CD8" w:rsidRDefault="00E43CD8" w:rsidP="00E43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E43CD8">
              <w:rPr>
                <w:rFonts w:ascii="Arial" w:eastAsia="Times New Roman" w:hAnsi="Arial" w:cs="Arial"/>
                <w:color w:val="000000"/>
              </w:rPr>
              <w:t>22F::CAEV//</w:t>
            </w:r>
            <w:r>
              <w:rPr>
                <w:rFonts w:ascii="Arial" w:eastAsia="Times New Roman" w:hAnsi="Arial" w:cs="Arial"/>
                <w:color w:val="000000"/>
              </w:rPr>
              <w:t>CONS</w:t>
            </w:r>
          </w:p>
          <w:p w:rsidR="00E43CD8" w:rsidRPr="00E43CD8" w:rsidRDefault="00E43CD8" w:rsidP="00E43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E43CD8">
              <w:rPr>
                <w:rFonts w:ascii="Arial" w:eastAsia="Times New Roman" w:hAnsi="Arial" w:cs="Arial"/>
                <w:color w:val="000000"/>
              </w:rPr>
              <w:t>22F::CAMV//VOLU</w:t>
            </w:r>
          </w:p>
          <w:p w:rsidR="00E43CD8" w:rsidRPr="00E43CD8" w:rsidRDefault="00E43CD8" w:rsidP="00E43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3CD8">
              <w:rPr>
                <w:rFonts w:ascii="Arial" w:eastAsia="Times New Roman" w:hAnsi="Arial" w:cs="Arial"/>
                <w:color w:val="000000"/>
              </w:rPr>
              <w:t>Seq</w:t>
            </w:r>
            <w:proofErr w:type="spellEnd"/>
            <w:r w:rsidRPr="00E43CD8">
              <w:rPr>
                <w:rFonts w:ascii="Arial" w:eastAsia="Times New Roman" w:hAnsi="Arial" w:cs="Arial"/>
                <w:color w:val="000000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Arial" w:eastAsia="Times New Roman" w:hAnsi="Arial" w:cs="Arial"/>
                <w:color w:val="000000"/>
              </w:rPr>
              <w:tab/>
            </w:r>
            <w:r w:rsidRPr="00E43CD8">
              <w:rPr>
                <w:rFonts w:ascii="Arial" w:eastAsia="Times New Roman" w:hAnsi="Arial" w:cs="Arial"/>
                <w:color w:val="000000"/>
              </w:rPr>
              <w:t xml:space="preserve">It is </w:t>
            </w:r>
            <w:r w:rsidR="00463A53" w:rsidRPr="00463A53">
              <w:rPr>
                <w:rFonts w:ascii="Arial" w:eastAsia="Times New Roman" w:hAnsi="Arial" w:cs="Arial"/>
                <w:b/>
                <w:color w:val="000000"/>
              </w:rPr>
              <w:t>NOT</w:t>
            </w:r>
            <w:r w:rsidR="00463A5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43CD8">
              <w:rPr>
                <w:rFonts w:ascii="Arial" w:eastAsia="Times New Roman" w:hAnsi="Arial" w:cs="Arial"/>
                <w:color w:val="000000"/>
              </w:rPr>
              <w:t>recommended to repeat CONS in the ADDB</w:t>
            </w:r>
          </w:p>
          <w:p w:rsidR="00E43CD8" w:rsidRPr="00E43CD8" w:rsidRDefault="00E43CD8" w:rsidP="00E43CD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B8758E">
              <w:rPr>
                <w:rFonts w:ascii="Arial" w:eastAsia="Times New Roman" w:hAnsi="Arial" w:cs="Arial"/>
                <w:strike/>
                <w:color w:val="000000"/>
              </w:rPr>
              <w:t>22F::ADDB//CONS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</w:tr>
    </w:tbl>
    <w:p w:rsidR="00E43CD8" w:rsidRDefault="00E43CD8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80FF4" w:rsidRDefault="00880FF4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case of bondholder meetings a specific event type should (to be requested by SMPG) </w:t>
      </w:r>
      <w:proofErr w:type="gramStart"/>
      <w:r>
        <w:rPr>
          <w:rFonts w:ascii="Arial" w:hAnsi="Arial" w:cs="Arial"/>
          <w:color w:val="000000"/>
        </w:rPr>
        <w:t>be</w:t>
      </w:r>
      <w:proofErr w:type="gramEnd"/>
      <w:r>
        <w:rPr>
          <w:rFonts w:ascii="Arial" w:hAnsi="Arial" w:cs="Arial"/>
          <w:color w:val="000000"/>
        </w:rPr>
        <w:t xml:space="preserve"> used in order to have a clear distinction with the shareholder meetings on one hand and the consent done on the bonds on the other (</w:t>
      </w:r>
      <w:r w:rsidR="00C434FB">
        <w:rPr>
          <w:rFonts w:ascii="Arial" w:hAnsi="Arial" w:cs="Arial"/>
          <w:color w:val="000000"/>
        </w:rPr>
        <w:t xml:space="preserve">e.g. </w:t>
      </w:r>
      <w:r>
        <w:rPr>
          <w:rFonts w:ascii="Arial" w:hAnsi="Arial" w:cs="Arial"/>
          <w:color w:val="000000"/>
        </w:rPr>
        <w:t>scenario 1a and 1b).</w:t>
      </w:r>
      <w:r w:rsidR="00652454">
        <w:rPr>
          <w:rFonts w:ascii="Arial" w:hAnsi="Arial" w:cs="Arial"/>
          <w:color w:val="000000"/>
        </w:rPr>
        <w:t xml:space="preserve">  The bondholder meeting is thought to be so specific that it is worth having it represented as a separate event.  This approach was also agreed at the Proxy Voting subgroup of the SMPG.</w:t>
      </w:r>
    </w:p>
    <w:p w:rsidR="00D163B5" w:rsidRDefault="00D163B5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163B5" w:rsidRDefault="00D163B5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63A53" w:rsidRDefault="00463A53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72B56" w:rsidRDefault="00272B56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72B56">
        <w:rPr>
          <w:rFonts w:ascii="Arial" w:hAnsi="Arial" w:cs="Arial"/>
          <w:color w:val="000000"/>
        </w:rPr>
        <w:t xml:space="preserve">In case there are solicitation fees or early solicitation fees, this information is at the option level. </w:t>
      </w:r>
      <w:r>
        <w:rPr>
          <w:rFonts w:ascii="Arial" w:hAnsi="Arial" w:cs="Arial"/>
          <w:color w:val="000000"/>
        </w:rPr>
        <w:t>This is typically applicable to CTEN/CEXC and CONY options.</w:t>
      </w:r>
    </w:p>
    <w:p w:rsidR="00CF27AE" w:rsidRDefault="00272B56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72B56">
        <w:rPr>
          <w:rFonts w:ascii="Arial" w:hAnsi="Arial" w:cs="Arial"/>
          <w:color w:val="000000"/>
        </w:rPr>
        <w:t>Generally, the deadline on an early solicitation option is before the deadline on the CTEN or CEXC options.</w:t>
      </w:r>
    </w:p>
    <w:p w:rsidR="002D6E33" w:rsidRDefault="002D6E33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6E33" w:rsidRDefault="002D6E33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code that would typically bused to represent this solicitation fee is</w:t>
      </w:r>
    </w:p>
    <w:p w:rsidR="002D6E33" w:rsidRDefault="002D6E33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49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9"/>
        <w:gridCol w:w="2051"/>
        <w:gridCol w:w="6815"/>
      </w:tblGrid>
      <w:tr w:rsidR="002D6E33" w:rsidRPr="009129D8" w:rsidTr="00C373F6">
        <w:trPr>
          <w:tblCellSpacing w:w="15" w:type="dxa"/>
        </w:trPr>
        <w:tc>
          <w:tcPr>
            <w:tcW w:w="641" w:type="pct"/>
            <w:shd w:val="clear" w:color="auto" w:fill="FFFFFF"/>
            <w:hideMark/>
          </w:tcPr>
          <w:p w:rsidR="002D6E33" w:rsidRPr="00B8758E" w:rsidRDefault="002D6E33" w:rsidP="00C373F6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758E">
              <w:rPr>
                <w:rFonts w:ascii="Arial" w:hAnsi="Arial" w:cs="Arial"/>
                <w:color w:val="000000"/>
                <w:lang w:eastAsia="en-GB"/>
              </w:rPr>
              <w:t>SOFE</w:t>
            </w:r>
          </w:p>
        </w:tc>
        <w:tc>
          <w:tcPr>
            <w:tcW w:w="987" w:type="pct"/>
            <w:shd w:val="clear" w:color="auto" w:fill="BFBFBF" w:themeFill="background1" w:themeFillShade="BF"/>
            <w:hideMark/>
          </w:tcPr>
          <w:p w:rsidR="002D6E33" w:rsidRPr="00B8758E" w:rsidRDefault="002D6E33" w:rsidP="00C373F6">
            <w:pPr>
              <w:rPr>
                <w:rFonts w:ascii="Arial" w:hAnsi="Arial" w:cs="Arial"/>
                <w:color w:val="000000"/>
                <w:lang w:eastAsia="en-GB"/>
              </w:rPr>
            </w:pPr>
            <w:r w:rsidRPr="00B8758E">
              <w:rPr>
                <w:rFonts w:ascii="Arial" w:hAnsi="Arial" w:cs="Arial"/>
                <w:color w:val="000000"/>
                <w:lang w:eastAsia="en-GB"/>
              </w:rPr>
              <w:t>Solicitation Fee Rate</w:t>
            </w:r>
          </w:p>
        </w:tc>
        <w:tc>
          <w:tcPr>
            <w:tcW w:w="3306" w:type="pct"/>
            <w:shd w:val="clear" w:color="auto" w:fill="BFBFBF" w:themeFill="background1" w:themeFillShade="BF"/>
            <w:hideMark/>
          </w:tcPr>
          <w:p w:rsidR="002D6E33" w:rsidRPr="00B8758E" w:rsidRDefault="002D6E33" w:rsidP="00C373F6">
            <w:pPr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r w:rsidRPr="00B8758E">
              <w:rPr>
                <w:rFonts w:ascii="Arial" w:hAnsi="Arial" w:cs="Arial"/>
                <w:color w:val="0000FF"/>
                <w:u w:val="single"/>
                <w:lang w:eastAsia="en-GB"/>
              </w:rPr>
              <w:t>Rate of the cash premium made available if the securities holder consents or participates to an event, for example consent fees or solicitation fee.</w:t>
            </w:r>
          </w:p>
        </w:tc>
      </w:tr>
    </w:tbl>
    <w:p w:rsidR="002D6E33" w:rsidRDefault="002D6E33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56C9E" w:rsidRDefault="00E56C9E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D6E33" w:rsidRDefault="002D6E33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NB: Note this is not to be confused with INCE (</w:t>
      </w:r>
      <w:r w:rsidRPr="002D6E33">
        <w:rPr>
          <w:rFonts w:ascii="Arial" w:hAnsi="Arial" w:cs="Arial"/>
          <w:color w:val="000000"/>
        </w:rPr>
        <w:t>Third Party Incentive Rate</w:t>
      </w:r>
      <w:r>
        <w:rPr>
          <w:rFonts w:ascii="Arial" w:hAnsi="Arial" w:cs="Arial"/>
          <w:color w:val="000000"/>
        </w:rPr>
        <w:t>) that is not distributed to the holder but rather to a third party in the chain (see ISO definition).</w:t>
      </w:r>
    </w:p>
    <w:p w:rsidR="002D6E33" w:rsidRDefault="002D6E33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56C9E" w:rsidRDefault="00E56C9E" w:rsidP="00B8758E">
      <w:pPr>
        <w:numPr>
          <w:ilvl w:val="0"/>
          <w:numId w:val="4"/>
        </w:numPr>
        <w:autoSpaceDE w:val="0"/>
        <w:autoSpaceDN w:val="0"/>
        <w:adjustRightInd w:val="0"/>
        <w:rPr>
          <w:rStyle w:val="IntenseReference"/>
        </w:rPr>
      </w:pPr>
      <w:r w:rsidRPr="00B8758E">
        <w:rPr>
          <w:rStyle w:val="IntenseReference"/>
        </w:rPr>
        <w:t>Specifics of the XS market</w:t>
      </w:r>
    </w:p>
    <w:p w:rsidR="00B8758E" w:rsidRPr="00B8758E" w:rsidRDefault="00B8758E" w:rsidP="00B8758E">
      <w:pPr>
        <w:autoSpaceDE w:val="0"/>
        <w:autoSpaceDN w:val="0"/>
        <w:adjustRightInd w:val="0"/>
        <w:ind w:left="360"/>
        <w:rPr>
          <w:rStyle w:val="IntenseReference"/>
        </w:rPr>
      </w:pPr>
    </w:p>
    <w:p w:rsidR="00E56C9E" w:rsidRDefault="00E56C9E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Once </w:t>
      </w:r>
      <w:r w:rsidRPr="00E56C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proofErr w:type="gramEnd"/>
      <w:r w:rsidRPr="00E56C9E">
        <w:rPr>
          <w:rFonts w:ascii="Arial" w:hAnsi="Arial" w:cs="Arial"/>
          <w:color w:val="000000"/>
        </w:rPr>
        <w:t xml:space="preserve"> security is declared in Default, it is quite usual to </w:t>
      </w:r>
      <w:r>
        <w:rPr>
          <w:rFonts w:ascii="Arial" w:hAnsi="Arial" w:cs="Arial"/>
          <w:color w:val="000000"/>
        </w:rPr>
        <w:t xml:space="preserve">ask </w:t>
      </w:r>
      <w:r w:rsidRPr="00E56C9E">
        <w:rPr>
          <w:rFonts w:ascii="Arial" w:hAnsi="Arial" w:cs="Arial"/>
          <w:color w:val="000000"/>
        </w:rPr>
        <w:t xml:space="preserve"> customers </w:t>
      </w:r>
      <w:r>
        <w:rPr>
          <w:rFonts w:ascii="Arial" w:hAnsi="Arial" w:cs="Arial"/>
          <w:color w:val="000000"/>
        </w:rPr>
        <w:t xml:space="preserve">whether they would like  the bond to be </w:t>
      </w:r>
      <w:r w:rsidRPr="00E56C9E">
        <w:rPr>
          <w:rFonts w:ascii="Arial" w:hAnsi="Arial" w:cs="Arial"/>
          <w:color w:val="000000"/>
        </w:rPr>
        <w:t>declare</w:t>
      </w:r>
      <w:r>
        <w:rPr>
          <w:rFonts w:ascii="Arial" w:hAnsi="Arial" w:cs="Arial"/>
          <w:color w:val="000000"/>
        </w:rPr>
        <w:t>d</w:t>
      </w:r>
      <w:r w:rsidRPr="00E56C9E">
        <w:rPr>
          <w:rFonts w:ascii="Arial" w:hAnsi="Arial" w:cs="Arial"/>
          <w:color w:val="000000"/>
        </w:rPr>
        <w:t xml:space="preserve"> </w:t>
      </w:r>
      <w:r w:rsidRPr="00B8758E">
        <w:rPr>
          <w:rFonts w:ascii="Arial" w:hAnsi="Arial" w:cs="Arial"/>
          <w:i/>
          <w:color w:val="000000"/>
        </w:rPr>
        <w:t>Due &amp; Payable</w:t>
      </w:r>
      <w:r w:rsidRPr="00E56C9E">
        <w:rPr>
          <w:rFonts w:ascii="Arial" w:hAnsi="Arial" w:cs="Arial"/>
          <w:color w:val="000000"/>
        </w:rPr>
        <w:t>. This is done at Trust</w:t>
      </w:r>
      <w:r>
        <w:rPr>
          <w:rFonts w:ascii="Arial" w:hAnsi="Arial" w:cs="Arial"/>
          <w:color w:val="000000"/>
        </w:rPr>
        <w:t>ee</w:t>
      </w:r>
      <w:r w:rsidRPr="00E56C9E">
        <w:rPr>
          <w:rFonts w:ascii="Arial" w:hAnsi="Arial" w:cs="Arial"/>
          <w:color w:val="000000"/>
        </w:rPr>
        <w:t xml:space="preserve"> request to speed up the process of the default.</w:t>
      </w:r>
      <w:r w:rsidR="00D163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 this specific case the CONS events can also be used.</w:t>
      </w:r>
    </w:p>
    <w:p w:rsidR="00D163B5" w:rsidRDefault="00D163B5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163B5" w:rsidRDefault="00D163B5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order to allow a distinction between scenario 1a and 1b the </w:t>
      </w:r>
      <w:proofErr w:type="spellStart"/>
      <w:r>
        <w:rPr>
          <w:rFonts w:ascii="Arial" w:hAnsi="Arial" w:cs="Arial"/>
          <w:color w:val="000000"/>
        </w:rPr>
        <w:t>smpg</w:t>
      </w:r>
      <w:proofErr w:type="spellEnd"/>
      <w:r>
        <w:rPr>
          <w:rFonts w:ascii="Arial" w:hAnsi="Arial" w:cs="Arial"/>
          <w:color w:val="000000"/>
        </w:rPr>
        <w:t xml:space="preserve"> will request a new indicator in the sequence D.</w:t>
      </w:r>
    </w:p>
    <w:p w:rsidR="00D163B5" w:rsidRDefault="00D163B5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56C9E" w:rsidRDefault="00D163B5" w:rsidP="00E56C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NB1: </w:t>
      </w:r>
      <w:r w:rsidR="00C434FB">
        <w:rPr>
          <w:rFonts w:ascii="Arial" w:hAnsi="Arial" w:cs="Arial"/>
          <w:color w:val="000000"/>
        </w:rPr>
        <w:t xml:space="preserve"> As this is often performed at the request of a Trustee </w:t>
      </w:r>
      <w:r w:rsidRPr="00D163B5">
        <w:rPr>
          <w:rFonts w:ascii="Arial" w:hAnsi="Arial" w:cs="Arial"/>
          <w:color w:val="000000"/>
        </w:rPr>
        <w:t>the notion of ‘third party’ is kept in the definition of the CONS event.</w:t>
      </w:r>
    </w:p>
    <w:p w:rsidR="00D163B5" w:rsidRDefault="00D163B5" w:rsidP="00E56C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56C9E" w:rsidRPr="00E56C9E" w:rsidRDefault="00E56C9E" w:rsidP="00E56C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NB</w:t>
      </w:r>
      <w:r w:rsidR="00D163B5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: additional information: </w:t>
      </w:r>
      <w:r w:rsidR="00C434FB">
        <w:rPr>
          <w:rFonts w:ascii="Arial" w:hAnsi="Arial" w:cs="Arial"/>
          <w:color w:val="000000"/>
        </w:rPr>
        <w:t xml:space="preserve">a typical </w:t>
      </w:r>
      <w:r>
        <w:rPr>
          <w:rFonts w:ascii="Arial" w:hAnsi="Arial" w:cs="Arial"/>
          <w:color w:val="000000"/>
        </w:rPr>
        <w:t xml:space="preserve">necessary </w:t>
      </w:r>
      <w:r w:rsidRPr="00E56C9E">
        <w:rPr>
          <w:rFonts w:ascii="Arial" w:hAnsi="Arial" w:cs="Arial"/>
          <w:color w:val="000000"/>
        </w:rPr>
        <w:t xml:space="preserve">quorum </w:t>
      </w:r>
      <w:r>
        <w:rPr>
          <w:rFonts w:ascii="Arial" w:hAnsi="Arial" w:cs="Arial"/>
          <w:color w:val="000000"/>
        </w:rPr>
        <w:t xml:space="preserve">can </w:t>
      </w:r>
      <w:r w:rsidRPr="00E56C9E">
        <w:rPr>
          <w:rFonts w:ascii="Arial" w:hAnsi="Arial" w:cs="Arial"/>
          <w:color w:val="000000"/>
        </w:rPr>
        <w:t>be around 20 or 25 per cent of nominal amount outstanding, as defined in the Terms and Conditions of the Notes.</w:t>
      </w:r>
      <w:r>
        <w:rPr>
          <w:rFonts w:ascii="Arial" w:hAnsi="Arial" w:cs="Arial"/>
          <w:color w:val="000000"/>
        </w:rPr>
        <w:t xml:space="preserve">  In such a case, t</w:t>
      </w:r>
      <w:r w:rsidRPr="00E56C9E"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</w:rPr>
        <w:t xml:space="preserve">bonds will be officially declared due and payable and the </w:t>
      </w:r>
      <w:r w:rsidRPr="00E56C9E">
        <w:rPr>
          <w:rFonts w:ascii="Arial" w:hAnsi="Arial" w:cs="Arial"/>
          <w:color w:val="000000"/>
        </w:rPr>
        <w:t xml:space="preserve">Trustee will take action against the issuer and discussions and procedures will be initiated for ‘potential restructure’. </w:t>
      </w:r>
    </w:p>
    <w:p w:rsidR="00E56C9E" w:rsidRPr="00E56C9E" w:rsidRDefault="00E56C9E" w:rsidP="00E56C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F44EE" w:rsidRPr="00DF44EE" w:rsidRDefault="00DF44EE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44EE">
        <w:rPr>
          <w:rFonts w:ascii="Arial" w:hAnsi="Arial" w:cs="Arial"/>
          <w:color w:val="000000"/>
        </w:rPr>
        <w:t xml:space="preserve">It is possible to have </w:t>
      </w:r>
      <w:proofErr w:type="gramStart"/>
      <w:r w:rsidRPr="00DF44EE">
        <w:rPr>
          <w:rFonts w:ascii="Arial" w:hAnsi="Arial" w:cs="Arial"/>
          <w:color w:val="000000"/>
        </w:rPr>
        <w:t>a CONS</w:t>
      </w:r>
      <w:proofErr w:type="gramEnd"/>
      <w:r w:rsidRPr="00DF44EE">
        <w:rPr>
          <w:rFonts w:ascii="Arial" w:hAnsi="Arial" w:cs="Arial"/>
          <w:color w:val="000000"/>
        </w:rPr>
        <w:t xml:space="preserve"> before a meeting to know what </w:t>
      </w:r>
      <w:proofErr w:type="spellStart"/>
      <w:r w:rsidRPr="00DF44EE">
        <w:rPr>
          <w:rFonts w:ascii="Arial" w:hAnsi="Arial" w:cs="Arial"/>
          <w:color w:val="000000"/>
        </w:rPr>
        <w:t>noteholders</w:t>
      </w:r>
      <w:proofErr w:type="spellEnd"/>
      <w:r w:rsidRPr="00DF44EE">
        <w:rPr>
          <w:rFonts w:ascii="Arial" w:hAnsi="Arial" w:cs="Arial"/>
          <w:color w:val="000000"/>
        </w:rPr>
        <w:t xml:space="preserve"> think (for example: Lehman Brothers)</w:t>
      </w:r>
    </w:p>
    <w:p w:rsidR="00DF44EE" w:rsidRPr="00DF44EE" w:rsidRDefault="00DF44EE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F44EE" w:rsidRPr="00DF44EE" w:rsidRDefault="00DF44EE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44EE">
        <w:rPr>
          <w:rFonts w:ascii="Arial" w:hAnsi="Arial" w:cs="Arial"/>
          <w:color w:val="000000"/>
        </w:rPr>
        <w:t xml:space="preserve">The main difference(s) between CONS and XMET </w:t>
      </w:r>
      <w:proofErr w:type="gramStart"/>
      <w:r w:rsidRPr="00DF44EE">
        <w:rPr>
          <w:rFonts w:ascii="Arial" w:hAnsi="Arial" w:cs="Arial"/>
          <w:color w:val="000000"/>
        </w:rPr>
        <w:t>are :</w:t>
      </w:r>
      <w:proofErr w:type="gramEnd"/>
    </w:p>
    <w:p w:rsidR="00DF44EE" w:rsidRPr="00DF44EE" w:rsidRDefault="00DF44EE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F44EE" w:rsidRPr="00DF44EE" w:rsidRDefault="00DF44EE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44EE">
        <w:rPr>
          <w:rFonts w:ascii="Arial" w:hAnsi="Arial" w:cs="Arial"/>
          <w:color w:val="000000"/>
        </w:rPr>
        <w:t>CONS: only electronic voting</w:t>
      </w:r>
    </w:p>
    <w:p w:rsidR="00DF44EE" w:rsidRPr="00DF44EE" w:rsidRDefault="00DF44EE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44EE">
        <w:rPr>
          <w:rFonts w:ascii="Arial" w:hAnsi="Arial" w:cs="Arial"/>
          <w:color w:val="000000"/>
        </w:rPr>
        <w:tab/>
        <w:t>Option Abstain not available</w:t>
      </w:r>
    </w:p>
    <w:p w:rsidR="00DF44EE" w:rsidRPr="00DF44EE" w:rsidRDefault="00DF44EE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44EE">
        <w:rPr>
          <w:rFonts w:ascii="Arial" w:hAnsi="Arial" w:cs="Arial"/>
          <w:color w:val="000000"/>
        </w:rPr>
        <w:tab/>
        <w:t xml:space="preserve">Different % of quorum may be required </w:t>
      </w:r>
      <w:proofErr w:type="spellStart"/>
      <w:r w:rsidRPr="00DF44EE">
        <w:rPr>
          <w:rFonts w:ascii="Arial" w:hAnsi="Arial" w:cs="Arial"/>
          <w:color w:val="000000"/>
        </w:rPr>
        <w:t>vs</w:t>
      </w:r>
      <w:proofErr w:type="spellEnd"/>
      <w:r w:rsidRPr="00DF44EE">
        <w:rPr>
          <w:rFonts w:ascii="Arial" w:hAnsi="Arial" w:cs="Arial"/>
          <w:color w:val="000000"/>
        </w:rPr>
        <w:t xml:space="preserve"> XMET</w:t>
      </w:r>
    </w:p>
    <w:p w:rsidR="00DF44EE" w:rsidRPr="00DF44EE" w:rsidRDefault="00DF44EE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F44EE" w:rsidRPr="00DF44EE" w:rsidRDefault="00DF44EE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44EE">
        <w:rPr>
          <w:rFonts w:ascii="Arial" w:hAnsi="Arial" w:cs="Arial"/>
          <w:color w:val="000000"/>
        </w:rPr>
        <w:t>XMET: allow physical attendance for the voting</w:t>
      </w:r>
    </w:p>
    <w:p w:rsidR="00DF44EE" w:rsidRPr="00DF44EE" w:rsidRDefault="00DF44EE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44EE">
        <w:rPr>
          <w:rFonts w:ascii="Arial" w:hAnsi="Arial" w:cs="Arial"/>
          <w:color w:val="000000"/>
        </w:rPr>
        <w:tab/>
        <w:t xml:space="preserve">Or proxy voting  </w:t>
      </w:r>
    </w:p>
    <w:p w:rsidR="00DF44EE" w:rsidRPr="00DF44EE" w:rsidRDefault="00DF44EE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44EE">
        <w:rPr>
          <w:rFonts w:ascii="Arial" w:hAnsi="Arial" w:cs="Arial"/>
          <w:color w:val="000000"/>
        </w:rPr>
        <w:tab/>
        <w:t>Option Abstain available</w:t>
      </w:r>
    </w:p>
    <w:p w:rsidR="00744C2E" w:rsidRDefault="00DF44EE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44EE">
        <w:rPr>
          <w:rFonts w:ascii="Arial" w:hAnsi="Arial" w:cs="Arial"/>
          <w:color w:val="000000"/>
        </w:rPr>
        <w:tab/>
        <w:t xml:space="preserve">Different % of quorum may be required </w:t>
      </w:r>
      <w:proofErr w:type="spellStart"/>
      <w:r w:rsidRPr="00DF44EE">
        <w:rPr>
          <w:rFonts w:ascii="Arial" w:hAnsi="Arial" w:cs="Arial"/>
          <w:color w:val="000000"/>
        </w:rPr>
        <w:t>vs</w:t>
      </w:r>
      <w:proofErr w:type="spellEnd"/>
      <w:r w:rsidRPr="00DF44EE">
        <w:rPr>
          <w:rFonts w:ascii="Arial" w:hAnsi="Arial" w:cs="Arial"/>
          <w:color w:val="000000"/>
        </w:rPr>
        <w:t xml:space="preserve"> CONS</w:t>
      </w:r>
    </w:p>
    <w:p w:rsidR="00744C2E" w:rsidRDefault="00744C2E" w:rsidP="00744C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577ED" w:rsidRPr="00B8758E" w:rsidRDefault="002577ED" w:rsidP="00B8758E">
      <w:pPr>
        <w:numPr>
          <w:ilvl w:val="0"/>
          <w:numId w:val="4"/>
        </w:numPr>
        <w:autoSpaceDE w:val="0"/>
        <w:autoSpaceDN w:val="0"/>
        <w:adjustRightInd w:val="0"/>
        <w:rPr>
          <w:rStyle w:val="IntenseReference"/>
        </w:rPr>
      </w:pPr>
      <w:r w:rsidRPr="00B8758E">
        <w:rPr>
          <w:rStyle w:val="IntenseReference"/>
        </w:rPr>
        <w:t>Specifics of the US market</w:t>
      </w:r>
    </w:p>
    <w:p w:rsidR="00E43CD8" w:rsidRDefault="00E43CD8" w:rsidP="00B8758E">
      <w:pPr>
        <w:ind w:left="720"/>
        <w:rPr>
          <w:rFonts w:ascii="Arial" w:hAnsi="Arial" w:cs="Arial"/>
        </w:rPr>
      </w:pPr>
    </w:p>
    <w:p w:rsidR="00E43CD8" w:rsidRDefault="00E43CD8" w:rsidP="00B8758E">
      <w:pPr>
        <w:ind w:left="360"/>
        <w:rPr>
          <w:rFonts w:ascii="Arial" w:hAnsi="Arial" w:cs="Arial"/>
        </w:rPr>
      </w:pPr>
      <w:r w:rsidRPr="00866950">
        <w:rPr>
          <w:rFonts w:ascii="Arial" w:hAnsi="Arial" w:cs="Arial"/>
        </w:rPr>
        <w:t xml:space="preserve">There are conditions whereby the account holder can consent with a fee or consent without a fee. These conditions are represented by different options. Consent with a fee </w:t>
      </w:r>
      <w:r w:rsidR="00463A53">
        <w:rPr>
          <w:rFonts w:ascii="Arial" w:hAnsi="Arial" w:cs="Arial"/>
        </w:rPr>
        <w:t>would typically</w:t>
      </w:r>
      <w:r w:rsidRPr="00866950">
        <w:rPr>
          <w:rFonts w:ascii="Arial" w:hAnsi="Arial" w:cs="Arial"/>
        </w:rPr>
        <w:t xml:space="preserve"> have an earlier deadline. </w:t>
      </w:r>
    </w:p>
    <w:p w:rsidR="00E43CD8" w:rsidRDefault="00E43CD8" w:rsidP="00E43CD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577ED" w:rsidRDefault="002577ED" w:rsidP="00B8758E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E56C9E" w:rsidRPr="00463A53" w:rsidRDefault="00463A53" w:rsidP="00463A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are the options to be </w:t>
      </w:r>
      <w:r w:rsidR="00E56C9E" w:rsidRPr="00463A53">
        <w:rPr>
          <w:rFonts w:ascii="Arial" w:hAnsi="Arial" w:cs="Arial"/>
        </w:rPr>
        <w:t>used for Tender and Consent and Exchange and consent</w:t>
      </w:r>
      <w:r>
        <w:rPr>
          <w:rFonts w:ascii="Arial" w:hAnsi="Arial" w:cs="Arial"/>
        </w:rPr>
        <w:t>?</w:t>
      </w:r>
    </w:p>
    <w:p w:rsidR="00E56C9E" w:rsidRDefault="00E56C9E" w:rsidP="00E56C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56C9E" w:rsidRPr="00E56C9E" w:rsidRDefault="00E56C9E" w:rsidP="00B8758E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  <w:r w:rsidRPr="00E56C9E">
        <w:rPr>
          <w:rFonts w:ascii="Arial" w:hAnsi="Arial" w:cs="Arial"/>
          <w:color w:val="000000"/>
        </w:rPr>
        <w:t>CAEV//TEND</w:t>
      </w:r>
      <w:r w:rsidR="00DF44EE">
        <w:rPr>
          <w:rFonts w:ascii="Arial" w:hAnsi="Arial" w:cs="Arial"/>
          <w:color w:val="000000"/>
        </w:rPr>
        <w:t xml:space="preserve"> or EXOF</w:t>
      </w:r>
    </w:p>
    <w:p w:rsidR="00E56C9E" w:rsidRPr="00E56C9E" w:rsidRDefault="00E56C9E" w:rsidP="00B8758E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  <w:r w:rsidRPr="00E56C9E">
        <w:rPr>
          <w:rFonts w:ascii="Arial" w:hAnsi="Arial" w:cs="Arial"/>
          <w:color w:val="000000"/>
        </w:rPr>
        <w:t>CAMV//VOLU</w:t>
      </w:r>
    </w:p>
    <w:p w:rsidR="00E56C9E" w:rsidRPr="00E56C9E" w:rsidRDefault="00E56C9E" w:rsidP="00B8758E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  <w:r w:rsidRPr="00E56C9E">
        <w:rPr>
          <w:rFonts w:ascii="Arial" w:hAnsi="Arial" w:cs="Arial"/>
          <w:color w:val="000000"/>
        </w:rPr>
        <w:t>Options:</w:t>
      </w:r>
    </w:p>
    <w:p w:rsidR="00E56C9E" w:rsidRPr="00E56C9E" w:rsidRDefault="00E56C9E" w:rsidP="00B8758E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  <w:r w:rsidRPr="00E56C9E">
        <w:rPr>
          <w:rFonts w:ascii="Arial" w:hAnsi="Arial" w:cs="Arial"/>
          <w:color w:val="000000"/>
        </w:rPr>
        <w:t>CTEN – Consent and Tender</w:t>
      </w:r>
      <w:r w:rsidR="00DF44EE">
        <w:rPr>
          <w:rFonts w:ascii="Arial" w:hAnsi="Arial" w:cs="Arial"/>
          <w:color w:val="000000"/>
        </w:rPr>
        <w:t xml:space="preserve"> or CEXC – Consent and Exchange</w:t>
      </w:r>
    </w:p>
    <w:p w:rsidR="00DF44EE" w:rsidRPr="00E56C9E" w:rsidRDefault="00DF44EE" w:rsidP="00DF44EE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  <w:r w:rsidRPr="00E56C9E">
        <w:rPr>
          <w:rFonts w:ascii="Arial" w:hAnsi="Arial" w:cs="Arial"/>
          <w:color w:val="000000"/>
        </w:rPr>
        <w:t>CONY – Consent Granted (request to add to EIG)</w:t>
      </w:r>
    </w:p>
    <w:p w:rsidR="00E56C9E" w:rsidRPr="00E56C9E" w:rsidRDefault="00E56C9E" w:rsidP="00B8758E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  <w:r w:rsidRPr="00E56C9E">
        <w:rPr>
          <w:rFonts w:ascii="Arial" w:hAnsi="Arial" w:cs="Arial"/>
          <w:color w:val="000000"/>
        </w:rPr>
        <w:t>CONN – Consent Denied</w:t>
      </w:r>
    </w:p>
    <w:p w:rsidR="00E56C9E" w:rsidRPr="00E56C9E" w:rsidRDefault="00E56C9E" w:rsidP="00B8758E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  <w:r w:rsidRPr="00E56C9E">
        <w:rPr>
          <w:rFonts w:ascii="Arial" w:hAnsi="Arial" w:cs="Arial"/>
          <w:color w:val="000000"/>
        </w:rPr>
        <w:t>NOAC – Take No action</w:t>
      </w:r>
    </w:p>
    <w:p w:rsidR="00E56C9E" w:rsidRPr="00E56C9E" w:rsidRDefault="00E56C9E" w:rsidP="00E56C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56C9E" w:rsidRPr="00E56C9E" w:rsidRDefault="00E56C9E" w:rsidP="00E56C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56C9E">
        <w:rPr>
          <w:rFonts w:ascii="Arial" w:hAnsi="Arial" w:cs="Arial"/>
          <w:color w:val="000000"/>
        </w:rPr>
        <w:t>•</w:t>
      </w:r>
      <w:r w:rsidRPr="00E56C9E">
        <w:rPr>
          <w:rFonts w:ascii="Arial" w:hAnsi="Arial" w:cs="Arial"/>
          <w:color w:val="000000"/>
        </w:rPr>
        <w:tab/>
        <w:t xml:space="preserve">What is the difference between CONN and NOAC? </w:t>
      </w:r>
    </w:p>
    <w:p w:rsidR="00E56C9E" w:rsidRPr="00E56C9E" w:rsidRDefault="00E56C9E" w:rsidP="00E56C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56C9E">
        <w:rPr>
          <w:rFonts w:ascii="Arial" w:hAnsi="Arial" w:cs="Arial"/>
          <w:color w:val="000000"/>
        </w:rPr>
        <w:lastRenderedPageBreak/>
        <w:t>CONN – holder actively denying the consent</w:t>
      </w:r>
    </w:p>
    <w:p w:rsidR="00E56C9E" w:rsidRDefault="00E56C9E" w:rsidP="00E56C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56C9E">
        <w:rPr>
          <w:rFonts w:ascii="Arial" w:hAnsi="Arial" w:cs="Arial"/>
          <w:color w:val="000000"/>
        </w:rPr>
        <w:t>NOAC – holder is not taking any action (neither deny or accept)</w:t>
      </w:r>
    </w:p>
    <w:p w:rsidR="00E56C9E" w:rsidRDefault="00E56C9E" w:rsidP="00E56C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F44EE" w:rsidRPr="00DF44EE" w:rsidRDefault="00DF44EE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44EE">
        <w:rPr>
          <w:rFonts w:ascii="Arial" w:hAnsi="Arial" w:cs="Arial"/>
          <w:color w:val="000000"/>
        </w:rPr>
        <w:t>•</w:t>
      </w:r>
      <w:r w:rsidRPr="00DF44EE">
        <w:rPr>
          <w:rFonts w:ascii="Arial" w:hAnsi="Arial" w:cs="Arial"/>
          <w:color w:val="000000"/>
        </w:rPr>
        <w:tab/>
        <w:t>What is the difference between CEXC/CTEN and CONY</w:t>
      </w:r>
      <w:r>
        <w:rPr>
          <w:rFonts w:ascii="Arial" w:hAnsi="Arial" w:cs="Arial"/>
          <w:color w:val="000000"/>
        </w:rPr>
        <w:t>?</w:t>
      </w:r>
    </w:p>
    <w:p w:rsidR="00DF44EE" w:rsidRPr="00DF44EE" w:rsidRDefault="00DF44EE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4FB" w:rsidRDefault="00DF44EE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44EE">
        <w:rPr>
          <w:rFonts w:ascii="Arial" w:hAnsi="Arial" w:cs="Arial"/>
          <w:color w:val="000000"/>
        </w:rPr>
        <w:t>CEXC and CTEN</w:t>
      </w:r>
      <w:r w:rsidR="00C434FB">
        <w:rPr>
          <w:rFonts w:ascii="Arial" w:hAnsi="Arial" w:cs="Arial"/>
          <w:color w:val="000000"/>
        </w:rPr>
        <w:t xml:space="preserve"> </w:t>
      </w:r>
      <w:r w:rsidR="00C434FB" w:rsidRPr="00C434FB">
        <w:rPr>
          <w:rFonts w:ascii="Arial" w:hAnsi="Arial" w:cs="Arial"/>
          <w:color w:val="000000"/>
        </w:rPr>
        <w:t>–</w:t>
      </w:r>
      <w:r w:rsidR="00C434FB" w:rsidRPr="00DF44EE">
        <w:rPr>
          <w:rFonts w:ascii="Arial" w:hAnsi="Arial" w:cs="Arial"/>
          <w:color w:val="000000"/>
        </w:rPr>
        <w:t xml:space="preserve"> </w:t>
      </w:r>
      <w:r w:rsidRPr="00DF44EE">
        <w:rPr>
          <w:rFonts w:ascii="Arial" w:hAnsi="Arial" w:cs="Arial"/>
          <w:color w:val="000000"/>
        </w:rPr>
        <w:t xml:space="preserve">the holder is agreeing with the consent and surrender of securities. </w:t>
      </w:r>
    </w:p>
    <w:p w:rsidR="00DF44EE" w:rsidRDefault="00DF44EE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44EE">
        <w:rPr>
          <w:rFonts w:ascii="Arial" w:hAnsi="Arial" w:cs="Arial"/>
          <w:color w:val="000000"/>
        </w:rPr>
        <w:t>CONY</w:t>
      </w:r>
      <w:r w:rsidR="00C434FB">
        <w:rPr>
          <w:rFonts w:ascii="Arial" w:hAnsi="Arial" w:cs="Arial"/>
          <w:color w:val="000000"/>
        </w:rPr>
        <w:t xml:space="preserve"> </w:t>
      </w:r>
      <w:r w:rsidR="00C434FB" w:rsidRPr="00C434FB">
        <w:rPr>
          <w:rFonts w:ascii="Arial" w:hAnsi="Arial" w:cs="Arial"/>
          <w:color w:val="000000"/>
        </w:rPr>
        <w:t>–</w:t>
      </w:r>
      <w:r w:rsidR="00C434FB" w:rsidRPr="00DF44EE">
        <w:rPr>
          <w:rFonts w:ascii="Arial" w:hAnsi="Arial" w:cs="Arial"/>
          <w:color w:val="000000"/>
        </w:rPr>
        <w:t xml:space="preserve"> </w:t>
      </w:r>
      <w:r w:rsidRPr="00DF44EE">
        <w:rPr>
          <w:rFonts w:ascii="Arial" w:hAnsi="Arial" w:cs="Arial"/>
          <w:color w:val="000000"/>
        </w:rPr>
        <w:t xml:space="preserve">the holder is only agreeing with the </w:t>
      </w:r>
      <w:proofErr w:type="spellStart"/>
      <w:r w:rsidRPr="00DF44EE">
        <w:rPr>
          <w:rFonts w:ascii="Arial" w:hAnsi="Arial" w:cs="Arial"/>
          <w:color w:val="000000"/>
        </w:rPr>
        <w:t>consent</w:t>
      </w:r>
      <w:r w:rsidR="00C434FB">
        <w:rPr>
          <w:rFonts w:ascii="Arial" w:hAnsi="Arial" w:cs="Arial"/>
          <w:color w:val="000000"/>
        </w:rPr>
        <w:t>but</w:t>
      </w:r>
      <w:proofErr w:type="spellEnd"/>
      <w:r w:rsidR="00C434FB">
        <w:rPr>
          <w:rFonts w:ascii="Arial" w:hAnsi="Arial" w:cs="Arial"/>
          <w:color w:val="000000"/>
        </w:rPr>
        <w:t xml:space="preserve"> </w:t>
      </w:r>
      <w:r w:rsidRPr="00DF44EE">
        <w:rPr>
          <w:rFonts w:ascii="Arial" w:hAnsi="Arial" w:cs="Arial"/>
          <w:color w:val="000000"/>
        </w:rPr>
        <w:t xml:space="preserve">retaining </w:t>
      </w:r>
      <w:r w:rsidR="00C434FB">
        <w:rPr>
          <w:rFonts w:ascii="Arial" w:hAnsi="Arial" w:cs="Arial"/>
          <w:color w:val="000000"/>
        </w:rPr>
        <w:t xml:space="preserve">its </w:t>
      </w:r>
      <w:r w:rsidRPr="00DF44EE">
        <w:rPr>
          <w:rFonts w:ascii="Arial" w:hAnsi="Arial" w:cs="Arial"/>
          <w:color w:val="000000"/>
        </w:rPr>
        <w:t>holdings - not Tendering or exchanging).</w:t>
      </w:r>
    </w:p>
    <w:p w:rsidR="00DF44EE" w:rsidRPr="00DF44EE" w:rsidRDefault="00DF44EE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44EE">
        <w:rPr>
          <w:rFonts w:ascii="Arial" w:hAnsi="Arial" w:cs="Arial"/>
          <w:color w:val="000000"/>
        </w:rPr>
        <w:t xml:space="preserve">Option CONY is </w:t>
      </w:r>
      <w:r>
        <w:rPr>
          <w:rFonts w:ascii="Arial" w:hAnsi="Arial" w:cs="Arial"/>
          <w:color w:val="000000"/>
        </w:rPr>
        <w:t xml:space="preserve">also </w:t>
      </w:r>
      <w:r w:rsidRPr="00DF44EE">
        <w:rPr>
          <w:rFonts w:ascii="Arial" w:hAnsi="Arial" w:cs="Arial"/>
          <w:color w:val="000000"/>
        </w:rPr>
        <w:t>provided with option CEXC in case restrictions need to be lifted before the exchang</w:t>
      </w:r>
      <w:r>
        <w:rPr>
          <w:rFonts w:ascii="Arial" w:hAnsi="Arial" w:cs="Arial"/>
          <w:color w:val="000000"/>
        </w:rPr>
        <w:t>e.</w:t>
      </w:r>
    </w:p>
    <w:p w:rsidR="00DF44EE" w:rsidRPr="00DF44EE" w:rsidRDefault="00DF44EE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F44EE">
        <w:rPr>
          <w:rFonts w:ascii="Arial" w:hAnsi="Arial" w:cs="Arial"/>
          <w:color w:val="000000"/>
        </w:rPr>
        <w:tab/>
      </w:r>
    </w:p>
    <w:p w:rsidR="00CF27AE" w:rsidRDefault="000717E9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717E9">
        <w:rPr>
          <w:rFonts w:ascii="Arial" w:hAnsi="Arial" w:cs="Arial"/>
          <w:color w:val="000000"/>
        </w:rPr>
        <w:t>•</w:t>
      </w:r>
      <w:r w:rsidRPr="000717E9">
        <w:rPr>
          <w:rFonts w:ascii="Arial" w:hAnsi="Arial" w:cs="Arial"/>
          <w:color w:val="000000"/>
        </w:rPr>
        <w:tab/>
      </w:r>
      <w:r w:rsidR="00CF27AE">
        <w:rPr>
          <w:rFonts w:ascii="Arial" w:hAnsi="Arial" w:cs="Arial"/>
          <w:color w:val="000000"/>
        </w:rPr>
        <w:t>What event can occur after the offer becomes compulsory?</w:t>
      </w:r>
    </w:p>
    <w:p w:rsidR="00E56C9E" w:rsidRDefault="00CF27AE" w:rsidP="00DF4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CF27AE">
        <w:rPr>
          <w:rFonts w:ascii="Arial" w:hAnsi="Arial" w:cs="Arial"/>
          <w:color w:val="000000"/>
        </w:rPr>
        <w:t>he tender/exchange becomes mandatory. Holders who elected NOAC or CONN will be subject to a second event</w:t>
      </w:r>
      <w:r>
        <w:rPr>
          <w:rFonts w:ascii="Arial" w:hAnsi="Arial" w:cs="Arial"/>
          <w:color w:val="000000"/>
        </w:rPr>
        <w:t xml:space="preserve"> (MAND) that will be</w:t>
      </w:r>
      <w:r w:rsidRPr="00CF27AE">
        <w:rPr>
          <w:rFonts w:ascii="Arial" w:hAnsi="Arial" w:cs="Arial"/>
          <w:color w:val="000000"/>
        </w:rPr>
        <w:t xml:space="preserve"> usually a merger (equities) or a tender (fixed income).</w:t>
      </w:r>
    </w:p>
    <w:p w:rsidR="00E56C9E" w:rsidRDefault="00E56C9E" w:rsidP="00E56C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834C9" w:rsidRPr="00866950" w:rsidRDefault="009834C9" w:rsidP="009834C9">
      <w:pPr>
        <w:autoSpaceDE w:val="0"/>
        <w:autoSpaceDN w:val="0"/>
        <w:adjustRightInd w:val="0"/>
        <w:rPr>
          <w:rFonts w:ascii="Arial" w:hAnsi="Arial" w:cs="Arial"/>
        </w:rPr>
      </w:pPr>
    </w:p>
    <w:p w:rsidR="00FF046C" w:rsidRDefault="00FF046C" w:rsidP="00B8758E">
      <w:pPr>
        <w:pStyle w:val="ListParagraph"/>
        <w:rPr>
          <w:rFonts w:ascii="Arial" w:hAnsi="Arial" w:cs="Arial"/>
        </w:rPr>
      </w:pPr>
    </w:p>
    <w:p w:rsidR="000E449C" w:rsidRPr="00256798" w:rsidRDefault="000E449C" w:rsidP="009834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F046C" w:rsidRPr="00866950" w:rsidRDefault="00FF046C" w:rsidP="009834C9">
      <w:pPr>
        <w:autoSpaceDE w:val="0"/>
        <w:autoSpaceDN w:val="0"/>
        <w:adjustRightInd w:val="0"/>
        <w:rPr>
          <w:rFonts w:ascii="Arial" w:hAnsi="Arial" w:cs="Arial"/>
        </w:rPr>
      </w:pPr>
    </w:p>
    <w:p w:rsidR="00121CFF" w:rsidRDefault="00121CFF" w:rsidP="00256798">
      <w:pPr>
        <w:rPr>
          <w:rFonts w:ascii="Arial" w:hAnsi="Arial" w:cs="Arial"/>
        </w:rPr>
      </w:pPr>
    </w:p>
    <w:p w:rsidR="006349C0" w:rsidRDefault="006349C0" w:rsidP="00256798">
      <w:pPr>
        <w:rPr>
          <w:rFonts w:ascii="Arial" w:hAnsi="Arial" w:cs="Arial"/>
        </w:rPr>
      </w:pPr>
    </w:p>
    <w:p w:rsidR="00A86106" w:rsidRPr="008134EE" w:rsidRDefault="00A86106" w:rsidP="00256798">
      <w:pPr>
        <w:rPr>
          <w:rFonts w:ascii="Arial" w:hAnsi="Arial" w:cs="Arial"/>
          <w:color w:val="4F81BD"/>
        </w:rPr>
      </w:pPr>
    </w:p>
    <w:sectPr w:rsidR="00A86106" w:rsidRPr="008134EE" w:rsidSect="0025679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31" w:rsidRDefault="00DF1531" w:rsidP="00784E70">
      <w:r>
        <w:separator/>
      </w:r>
    </w:p>
  </w:endnote>
  <w:endnote w:type="continuationSeparator" w:id="0">
    <w:p w:rsidR="00DF1531" w:rsidRDefault="00DF1531" w:rsidP="0078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31" w:rsidRDefault="00DF1531" w:rsidP="00784E70">
      <w:r>
        <w:separator/>
      </w:r>
    </w:p>
  </w:footnote>
  <w:footnote w:type="continuationSeparator" w:id="0">
    <w:p w:rsidR="00DF1531" w:rsidRDefault="00DF1531" w:rsidP="00784E70">
      <w:r>
        <w:continuationSeparator/>
      </w:r>
    </w:p>
  </w:footnote>
  <w:footnote w:id="1">
    <w:p w:rsidR="00784E70" w:rsidRPr="00784E70" w:rsidRDefault="00784E7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784E70">
        <w:rPr>
          <w:lang w:val="en-GB"/>
        </w:rPr>
        <w:t>The final document will be updated in Q4 2013 upon results of the SR2014 maintenance (codes, etc.)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49B"/>
    <w:multiLevelType w:val="hybridMultilevel"/>
    <w:tmpl w:val="B4386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5176"/>
    <w:multiLevelType w:val="hybridMultilevel"/>
    <w:tmpl w:val="8656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76CAA"/>
    <w:multiLevelType w:val="hybridMultilevel"/>
    <w:tmpl w:val="249861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72395"/>
    <w:multiLevelType w:val="hybridMultilevel"/>
    <w:tmpl w:val="A560E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C3F58"/>
    <w:multiLevelType w:val="hybridMultilevel"/>
    <w:tmpl w:val="F11A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96"/>
    <w:rsid w:val="000462A4"/>
    <w:rsid w:val="00057590"/>
    <w:rsid w:val="000717E9"/>
    <w:rsid w:val="00096234"/>
    <w:rsid w:val="000A648D"/>
    <w:rsid w:val="000B5B75"/>
    <w:rsid w:val="000D2770"/>
    <w:rsid w:val="000E449C"/>
    <w:rsid w:val="000E56BE"/>
    <w:rsid w:val="00121CFF"/>
    <w:rsid w:val="00166499"/>
    <w:rsid w:val="00172BD8"/>
    <w:rsid w:val="00181DDD"/>
    <w:rsid w:val="00197BF0"/>
    <w:rsid w:val="001E4CCF"/>
    <w:rsid w:val="001F58CC"/>
    <w:rsid w:val="002242F9"/>
    <w:rsid w:val="00253637"/>
    <w:rsid w:val="00256798"/>
    <w:rsid w:val="002577ED"/>
    <w:rsid w:val="00272B56"/>
    <w:rsid w:val="00277A3F"/>
    <w:rsid w:val="002854C6"/>
    <w:rsid w:val="00293683"/>
    <w:rsid w:val="002958CA"/>
    <w:rsid w:val="002C2B32"/>
    <w:rsid w:val="002D58D6"/>
    <w:rsid w:val="002D6E33"/>
    <w:rsid w:val="002E1018"/>
    <w:rsid w:val="003024DA"/>
    <w:rsid w:val="00306682"/>
    <w:rsid w:val="00316B72"/>
    <w:rsid w:val="00320EC2"/>
    <w:rsid w:val="00354F77"/>
    <w:rsid w:val="00364444"/>
    <w:rsid w:val="00370125"/>
    <w:rsid w:val="00376349"/>
    <w:rsid w:val="003B25D2"/>
    <w:rsid w:val="004346A3"/>
    <w:rsid w:val="00463A53"/>
    <w:rsid w:val="0047678F"/>
    <w:rsid w:val="004C5271"/>
    <w:rsid w:val="004E0672"/>
    <w:rsid w:val="004F7F57"/>
    <w:rsid w:val="00532F3E"/>
    <w:rsid w:val="005824BB"/>
    <w:rsid w:val="00587AC8"/>
    <w:rsid w:val="00597339"/>
    <w:rsid w:val="005E7A63"/>
    <w:rsid w:val="005F7543"/>
    <w:rsid w:val="005F7674"/>
    <w:rsid w:val="00621FA1"/>
    <w:rsid w:val="006349C0"/>
    <w:rsid w:val="00636B1D"/>
    <w:rsid w:val="00652454"/>
    <w:rsid w:val="00655BE9"/>
    <w:rsid w:val="006D295B"/>
    <w:rsid w:val="006F12F9"/>
    <w:rsid w:val="00707AB0"/>
    <w:rsid w:val="00744C2E"/>
    <w:rsid w:val="00776C0F"/>
    <w:rsid w:val="00784E70"/>
    <w:rsid w:val="008134EE"/>
    <w:rsid w:val="00866950"/>
    <w:rsid w:val="00873132"/>
    <w:rsid w:val="00874FF1"/>
    <w:rsid w:val="008768B3"/>
    <w:rsid w:val="00877BE1"/>
    <w:rsid w:val="00880FF4"/>
    <w:rsid w:val="00885DE2"/>
    <w:rsid w:val="008904BA"/>
    <w:rsid w:val="00891686"/>
    <w:rsid w:val="008D275F"/>
    <w:rsid w:val="008E242B"/>
    <w:rsid w:val="009124F1"/>
    <w:rsid w:val="009249EE"/>
    <w:rsid w:val="00924B6A"/>
    <w:rsid w:val="00951F1A"/>
    <w:rsid w:val="00957CD9"/>
    <w:rsid w:val="00963F47"/>
    <w:rsid w:val="00971C92"/>
    <w:rsid w:val="009834C9"/>
    <w:rsid w:val="009B13CA"/>
    <w:rsid w:val="009D604E"/>
    <w:rsid w:val="00A23169"/>
    <w:rsid w:val="00A23C18"/>
    <w:rsid w:val="00A67AF3"/>
    <w:rsid w:val="00A77131"/>
    <w:rsid w:val="00A84D59"/>
    <w:rsid w:val="00A86106"/>
    <w:rsid w:val="00A90821"/>
    <w:rsid w:val="00A9723B"/>
    <w:rsid w:val="00AB094D"/>
    <w:rsid w:val="00AE25E4"/>
    <w:rsid w:val="00AE466E"/>
    <w:rsid w:val="00B34A82"/>
    <w:rsid w:val="00B360DD"/>
    <w:rsid w:val="00B54CBA"/>
    <w:rsid w:val="00B77840"/>
    <w:rsid w:val="00B8758E"/>
    <w:rsid w:val="00BC0905"/>
    <w:rsid w:val="00BC1D12"/>
    <w:rsid w:val="00C213BA"/>
    <w:rsid w:val="00C217C8"/>
    <w:rsid w:val="00C37D9B"/>
    <w:rsid w:val="00C434FB"/>
    <w:rsid w:val="00C46550"/>
    <w:rsid w:val="00CB329B"/>
    <w:rsid w:val="00CB6DD3"/>
    <w:rsid w:val="00CD7E28"/>
    <w:rsid w:val="00CE2DA1"/>
    <w:rsid w:val="00CF27AE"/>
    <w:rsid w:val="00D163B5"/>
    <w:rsid w:val="00D379D7"/>
    <w:rsid w:val="00D63F7A"/>
    <w:rsid w:val="00D769BF"/>
    <w:rsid w:val="00D92033"/>
    <w:rsid w:val="00D9671E"/>
    <w:rsid w:val="00DE6ED8"/>
    <w:rsid w:val="00DF1531"/>
    <w:rsid w:val="00DF44EE"/>
    <w:rsid w:val="00DF5BD5"/>
    <w:rsid w:val="00E148FB"/>
    <w:rsid w:val="00E15F66"/>
    <w:rsid w:val="00E43CD8"/>
    <w:rsid w:val="00E56C9E"/>
    <w:rsid w:val="00E877FF"/>
    <w:rsid w:val="00EC22EE"/>
    <w:rsid w:val="00EE5BDD"/>
    <w:rsid w:val="00EE7DE7"/>
    <w:rsid w:val="00F24096"/>
    <w:rsid w:val="00F63B53"/>
    <w:rsid w:val="00FD2541"/>
    <w:rsid w:val="00FF046C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FB"/>
    <w:pPr>
      <w:ind w:left="720"/>
    </w:pPr>
  </w:style>
  <w:style w:type="table" w:styleId="TableGrid">
    <w:name w:val="Table Grid"/>
    <w:basedOn w:val="TableNormal"/>
    <w:uiPriority w:val="59"/>
    <w:rsid w:val="008134E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D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D9B"/>
    <w:rPr>
      <w:rFonts w:ascii="Tahoma" w:hAnsi="Tahoma" w:cs="Tahoma"/>
      <w:sz w:val="16"/>
      <w:szCs w:val="16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B8758E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qFormat/>
    <w:rsid w:val="00D9671E"/>
    <w:pPr>
      <w:spacing w:before="120" w:after="240"/>
      <w:jc w:val="center"/>
    </w:pPr>
    <w:rPr>
      <w:rFonts w:eastAsia="MS Mincho"/>
      <w:sz w:val="56"/>
      <w:szCs w:val="20"/>
      <w:u w:val="double"/>
      <w:lang w:val="en-GB"/>
    </w:rPr>
  </w:style>
  <w:style w:type="character" w:customStyle="1" w:styleId="TitleChar">
    <w:name w:val="Title Char"/>
    <w:basedOn w:val="DefaultParagraphFont"/>
    <w:link w:val="Title"/>
    <w:rsid w:val="00D9671E"/>
    <w:rPr>
      <w:rFonts w:eastAsia="MS Mincho"/>
      <w:sz w:val="56"/>
      <w:u w:val="double"/>
      <w:lang w:eastAsia="en-US"/>
    </w:rPr>
  </w:style>
  <w:style w:type="paragraph" w:styleId="TOC1">
    <w:name w:val="toc 1"/>
    <w:basedOn w:val="Normal"/>
    <w:next w:val="Normal"/>
    <w:autoRedefine/>
    <w:uiPriority w:val="39"/>
    <w:rsid w:val="00D9671E"/>
    <w:pPr>
      <w:spacing w:before="120" w:after="120"/>
    </w:pPr>
    <w:rPr>
      <w:rFonts w:eastAsia="MS Mincho"/>
      <w:b/>
      <w:caps/>
      <w:sz w:val="20"/>
      <w:szCs w:val="20"/>
    </w:rPr>
  </w:style>
  <w:style w:type="paragraph" w:customStyle="1" w:styleId="Decisions">
    <w:name w:val="Decisions"/>
    <w:basedOn w:val="BlockText"/>
    <w:link w:val="DecisionsChar"/>
    <w:qFormat/>
    <w:rsid w:val="00181D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ind w:left="0" w:right="0"/>
      <w:jc w:val="both"/>
    </w:pPr>
    <w:rPr>
      <w:rFonts w:ascii="Arial" w:eastAsia="Times New Roman" w:hAnsi="Arial" w:cs="Arial"/>
      <w:i w:val="0"/>
      <w:iCs w:val="0"/>
      <w:color w:val="008000"/>
      <w:sz w:val="20"/>
      <w:szCs w:val="20"/>
      <w:lang w:val="en-GB"/>
    </w:rPr>
  </w:style>
  <w:style w:type="character" w:customStyle="1" w:styleId="DecisionsChar">
    <w:name w:val="Decisions Char"/>
    <w:basedOn w:val="DefaultParagraphFont"/>
    <w:link w:val="Decisions"/>
    <w:rsid w:val="00181DDD"/>
    <w:rPr>
      <w:rFonts w:ascii="Arial" w:hAnsi="Arial" w:cs="Arial"/>
      <w:color w:val="008000"/>
      <w:lang w:eastAsia="en-US"/>
    </w:rPr>
  </w:style>
  <w:style w:type="paragraph" w:styleId="BlockText">
    <w:name w:val="Block Text"/>
    <w:basedOn w:val="Normal"/>
    <w:uiPriority w:val="99"/>
    <w:semiHidden/>
    <w:unhideWhenUsed/>
    <w:rsid w:val="00181DD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4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E70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4E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71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C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C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C9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FB"/>
    <w:pPr>
      <w:ind w:left="720"/>
    </w:pPr>
  </w:style>
  <w:style w:type="table" w:styleId="TableGrid">
    <w:name w:val="Table Grid"/>
    <w:basedOn w:val="TableNormal"/>
    <w:uiPriority w:val="59"/>
    <w:rsid w:val="008134E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D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D9B"/>
    <w:rPr>
      <w:rFonts w:ascii="Tahoma" w:hAnsi="Tahoma" w:cs="Tahoma"/>
      <w:sz w:val="16"/>
      <w:szCs w:val="16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B8758E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qFormat/>
    <w:rsid w:val="00D9671E"/>
    <w:pPr>
      <w:spacing w:before="120" w:after="240"/>
      <w:jc w:val="center"/>
    </w:pPr>
    <w:rPr>
      <w:rFonts w:eastAsia="MS Mincho"/>
      <w:sz w:val="56"/>
      <w:szCs w:val="20"/>
      <w:u w:val="double"/>
      <w:lang w:val="en-GB"/>
    </w:rPr>
  </w:style>
  <w:style w:type="character" w:customStyle="1" w:styleId="TitleChar">
    <w:name w:val="Title Char"/>
    <w:basedOn w:val="DefaultParagraphFont"/>
    <w:link w:val="Title"/>
    <w:rsid w:val="00D9671E"/>
    <w:rPr>
      <w:rFonts w:eastAsia="MS Mincho"/>
      <w:sz w:val="56"/>
      <w:u w:val="double"/>
      <w:lang w:eastAsia="en-US"/>
    </w:rPr>
  </w:style>
  <w:style w:type="paragraph" w:styleId="TOC1">
    <w:name w:val="toc 1"/>
    <w:basedOn w:val="Normal"/>
    <w:next w:val="Normal"/>
    <w:autoRedefine/>
    <w:uiPriority w:val="39"/>
    <w:rsid w:val="00D9671E"/>
    <w:pPr>
      <w:spacing w:before="120" w:after="120"/>
    </w:pPr>
    <w:rPr>
      <w:rFonts w:eastAsia="MS Mincho"/>
      <w:b/>
      <w:caps/>
      <w:sz w:val="20"/>
      <w:szCs w:val="20"/>
    </w:rPr>
  </w:style>
  <w:style w:type="paragraph" w:customStyle="1" w:styleId="Decisions">
    <w:name w:val="Decisions"/>
    <w:basedOn w:val="BlockText"/>
    <w:link w:val="DecisionsChar"/>
    <w:qFormat/>
    <w:rsid w:val="00181D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ind w:left="0" w:right="0"/>
      <w:jc w:val="both"/>
    </w:pPr>
    <w:rPr>
      <w:rFonts w:ascii="Arial" w:eastAsia="Times New Roman" w:hAnsi="Arial" w:cs="Arial"/>
      <w:i w:val="0"/>
      <w:iCs w:val="0"/>
      <w:color w:val="008000"/>
      <w:sz w:val="20"/>
      <w:szCs w:val="20"/>
      <w:lang w:val="en-GB"/>
    </w:rPr>
  </w:style>
  <w:style w:type="character" w:customStyle="1" w:styleId="DecisionsChar">
    <w:name w:val="Decisions Char"/>
    <w:basedOn w:val="DefaultParagraphFont"/>
    <w:link w:val="Decisions"/>
    <w:rsid w:val="00181DDD"/>
    <w:rPr>
      <w:rFonts w:ascii="Arial" w:hAnsi="Arial" w:cs="Arial"/>
      <w:color w:val="008000"/>
      <w:lang w:eastAsia="en-US"/>
    </w:rPr>
  </w:style>
  <w:style w:type="paragraph" w:styleId="BlockText">
    <w:name w:val="Block Text"/>
    <w:basedOn w:val="Normal"/>
    <w:uiPriority w:val="99"/>
    <w:semiHidden/>
    <w:unhideWhenUsed/>
    <w:rsid w:val="00181DD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4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E70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4E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71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C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C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C9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8ABD-858E-4AFD-A295-6AB7A7BD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6763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ISITC CA Working Group Summary on US Consent Events</vt:lpstr>
    </vt:vector>
  </TitlesOfParts>
  <Company>BBH&amp;Co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ISITC CA Working Group Summary on US Consent Events</dc:title>
  <dc:creator>bs97082</dc:creator>
  <cp:lastModifiedBy>LITTRE Jacques</cp:lastModifiedBy>
  <cp:revision>3</cp:revision>
  <cp:lastPrinted>2013-02-21T12:57:00Z</cp:lastPrinted>
  <dcterms:created xsi:type="dcterms:W3CDTF">2013-08-29T11:27:00Z</dcterms:created>
  <dcterms:modified xsi:type="dcterms:W3CDTF">2013-08-29T11:28:00Z</dcterms:modified>
</cp:coreProperties>
</file>