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41" w:rsidRPr="00CC79E6" w:rsidRDefault="00CC79E6">
      <w:pPr>
        <w:rPr>
          <w:b/>
          <w:sz w:val="36"/>
          <w:szCs w:val="36"/>
        </w:rPr>
      </w:pPr>
      <w:r w:rsidRPr="00CC79E6">
        <w:rPr>
          <w:b/>
          <w:sz w:val="36"/>
          <w:szCs w:val="36"/>
        </w:rPr>
        <w:t>CA378 – TNDP MP – Questions from MDPUG on Draft MP</w:t>
      </w:r>
    </w:p>
    <w:p w:rsidR="00CC79E6" w:rsidRPr="00CC79E6" w:rsidRDefault="00CC79E6" w:rsidP="00CC79E6">
      <w:pPr>
        <w:pStyle w:val="ListParagraph"/>
        <w:numPr>
          <w:ilvl w:val="0"/>
          <w:numId w:val="1"/>
        </w:numPr>
        <w:rPr>
          <w:rFonts w:ascii="Arial" w:hAnsi="Arial" w:cs="Arial"/>
          <w:b/>
        </w:rPr>
      </w:pPr>
      <w:r w:rsidRPr="00CC79E6">
        <w:rPr>
          <w:rFonts w:ascii="Arial" w:hAnsi="Arial" w:cs="Arial"/>
          <w:b/>
        </w:rPr>
        <w:t>Please can you just confirm that you are going to remove the following statement from the MP?</w:t>
      </w:r>
    </w:p>
    <w:p w:rsidR="00CC79E6" w:rsidRDefault="00CC79E6" w:rsidP="00CC79E6">
      <w:pPr>
        <w:pStyle w:val="ListParagraph"/>
        <w:numPr>
          <w:ilvl w:val="0"/>
          <w:numId w:val="2"/>
        </w:numPr>
        <w:rPr>
          <w:b/>
          <w:bCs/>
          <w:sz w:val="24"/>
          <w:szCs w:val="24"/>
        </w:rPr>
      </w:pPr>
      <w:r>
        <w:rPr>
          <w:rFonts w:ascii="Arial" w:hAnsi="Arial" w:cs="Arial"/>
        </w:rPr>
        <w:t>“</w:t>
      </w:r>
      <w:r>
        <w:rPr>
          <w:b/>
          <w:bCs/>
          <w:sz w:val="24"/>
          <w:szCs w:val="24"/>
        </w:rPr>
        <w:t xml:space="preserve">Limitation of uses – </w:t>
      </w:r>
      <w:r>
        <w:rPr>
          <w:sz w:val="24"/>
          <w:szCs w:val="24"/>
        </w:rPr>
        <w:t>While applicable for global events (e.g. Australia)</w:t>
      </w:r>
      <w:r>
        <w:rPr>
          <w:b/>
          <w:bCs/>
          <w:sz w:val="24"/>
          <w:szCs w:val="24"/>
        </w:rPr>
        <w:t xml:space="preserve"> </w:t>
      </w:r>
      <w:r>
        <w:rPr>
          <w:sz w:val="24"/>
          <w:szCs w:val="24"/>
        </w:rPr>
        <w:t>Deemed Rate should not be used in the U.S.  The applicable rate would appear on the MT564 / CANO</w:t>
      </w:r>
      <w:proofErr w:type="gramStart"/>
      <w:r>
        <w:rPr>
          <w:sz w:val="24"/>
          <w:szCs w:val="24"/>
        </w:rPr>
        <w:t>  (</w:t>
      </w:r>
      <w:proofErr w:type="gramEnd"/>
      <w:r>
        <w:rPr>
          <w:sz w:val="24"/>
          <w:szCs w:val="24"/>
        </w:rPr>
        <w:t xml:space="preserve">for example GRSS for cash dividends) .  </w:t>
      </w:r>
    </w:p>
    <w:p w:rsidR="00CC79E6" w:rsidRDefault="00CC79E6" w:rsidP="00CC79E6">
      <w:pPr>
        <w:rPr>
          <w:rFonts w:ascii="Arial" w:hAnsi="Arial" w:cs="Arial"/>
          <w:sz w:val="20"/>
          <w:szCs w:val="20"/>
        </w:rPr>
      </w:pPr>
      <w:r>
        <w:rPr>
          <w:rFonts w:ascii="Arial" w:hAnsi="Arial" w:cs="Arial"/>
          <w:sz w:val="20"/>
          <w:szCs w:val="20"/>
        </w:rPr>
        <w:t>The “DEEM” Qualifier is present in the 564 examples for 871m and 305c and you said on the SMPG call that the US did plan to use this Qualifier</w:t>
      </w:r>
    </w:p>
    <w:p w:rsidR="00CC79E6" w:rsidRPr="00CC79E6" w:rsidRDefault="00CC79E6" w:rsidP="00CC79E6">
      <w:pPr>
        <w:pStyle w:val="ListParagraph"/>
        <w:numPr>
          <w:ilvl w:val="0"/>
          <w:numId w:val="1"/>
        </w:numPr>
        <w:rPr>
          <w:rFonts w:ascii="Arial" w:hAnsi="Arial" w:cs="Arial"/>
          <w:b/>
          <w:sz w:val="20"/>
          <w:szCs w:val="20"/>
        </w:rPr>
      </w:pPr>
      <w:r w:rsidRPr="00CC79E6">
        <w:rPr>
          <w:rFonts w:ascii="Arial" w:hAnsi="Arial" w:cs="Arial"/>
          <w:b/>
        </w:rPr>
        <w:t>Also, in the 564 examples for 871m and 305c this is shown as:</w:t>
      </w:r>
    </w:p>
    <w:p w:rsidR="00CC79E6" w:rsidRDefault="00CC79E6" w:rsidP="00CC79E6">
      <w:pPr>
        <w:autoSpaceDE w:val="0"/>
        <w:autoSpaceDN w:val="0"/>
        <w:rPr>
          <w:rFonts w:ascii="Arial" w:hAnsi="Arial" w:cs="Arial"/>
          <w:color w:val="FF0000"/>
          <w:sz w:val="24"/>
          <w:szCs w:val="24"/>
        </w:rPr>
      </w:pPr>
      <w:proofErr w:type="gramStart"/>
      <w:r>
        <w:rPr>
          <w:rFonts w:ascii="Arial" w:hAnsi="Arial" w:cs="Arial"/>
          <w:color w:val="FF0000"/>
          <w:sz w:val="24"/>
          <w:szCs w:val="24"/>
        </w:rPr>
        <w:t>:92A</w:t>
      </w:r>
      <w:proofErr w:type="gramEnd"/>
      <w:r>
        <w:rPr>
          <w:rFonts w:ascii="Arial" w:hAnsi="Arial" w:cs="Arial"/>
          <w:color w:val="FF0000"/>
          <w:sz w:val="24"/>
          <w:szCs w:val="24"/>
        </w:rPr>
        <w:t>::DEEM//USD0,1328</w:t>
      </w:r>
    </w:p>
    <w:p w:rsidR="00CC79E6" w:rsidRDefault="00CC79E6" w:rsidP="00CC79E6">
      <w:pPr>
        <w:rPr>
          <w:rFonts w:ascii="Arial" w:hAnsi="Arial" w:cs="Arial"/>
          <w:sz w:val="20"/>
          <w:szCs w:val="20"/>
        </w:rPr>
      </w:pPr>
      <w:r>
        <w:rPr>
          <w:rFonts w:ascii="Arial" w:hAnsi="Arial" w:cs="Arial"/>
          <w:sz w:val="20"/>
          <w:szCs w:val="20"/>
        </w:rPr>
        <w:t>I think it should be:</w:t>
      </w:r>
    </w:p>
    <w:p w:rsidR="00CC79E6" w:rsidRDefault="00CC79E6" w:rsidP="00CC79E6">
      <w:pPr>
        <w:autoSpaceDE w:val="0"/>
        <w:autoSpaceDN w:val="0"/>
        <w:rPr>
          <w:rFonts w:ascii="Arial" w:hAnsi="Arial" w:cs="Arial"/>
          <w:color w:val="FF0000"/>
          <w:sz w:val="24"/>
          <w:szCs w:val="24"/>
        </w:rPr>
      </w:pPr>
      <w:proofErr w:type="gramStart"/>
      <w:r>
        <w:rPr>
          <w:rFonts w:ascii="Arial" w:hAnsi="Arial" w:cs="Arial"/>
          <w:color w:val="FF0000"/>
          <w:sz w:val="24"/>
          <w:szCs w:val="24"/>
        </w:rPr>
        <w:t>:92</w:t>
      </w:r>
      <w:r>
        <w:rPr>
          <w:rFonts w:ascii="Arial" w:hAnsi="Arial" w:cs="Arial"/>
          <w:b/>
          <w:bCs/>
          <w:color w:val="FF0000"/>
          <w:sz w:val="24"/>
          <w:szCs w:val="24"/>
        </w:rPr>
        <w:t>F</w:t>
      </w:r>
      <w:proofErr w:type="gramEnd"/>
      <w:r>
        <w:rPr>
          <w:rFonts w:ascii="Arial" w:hAnsi="Arial" w:cs="Arial"/>
          <w:color w:val="FF0000"/>
          <w:sz w:val="24"/>
          <w:szCs w:val="24"/>
        </w:rPr>
        <w:t>::DEEM//USD0,1328</w:t>
      </w:r>
    </w:p>
    <w:p w:rsidR="00CC79E6" w:rsidRDefault="00CC79E6" w:rsidP="00CC79E6">
      <w:pPr>
        <w:rPr>
          <w:rFonts w:ascii="Arial" w:hAnsi="Arial" w:cs="Arial"/>
          <w:sz w:val="20"/>
          <w:szCs w:val="20"/>
        </w:rPr>
      </w:pPr>
      <w:r>
        <w:rPr>
          <w:rFonts w:ascii="Arial" w:hAnsi="Arial" w:cs="Arial"/>
          <w:sz w:val="20"/>
          <w:szCs w:val="20"/>
        </w:rPr>
        <w:t>Please can you amend?</w:t>
      </w:r>
    </w:p>
    <w:p w:rsidR="00CC79E6" w:rsidRPr="00CC79E6" w:rsidRDefault="00CC79E6" w:rsidP="00CC79E6">
      <w:pPr>
        <w:pStyle w:val="ListParagraph"/>
        <w:numPr>
          <w:ilvl w:val="0"/>
          <w:numId w:val="1"/>
        </w:numPr>
        <w:rPr>
          <w:rFonts w:ascii="Arial" w:hAnsi="Arial" w:cs="Arial"/>
          <w:b/>
          <w:sz w:val="20"/>
          <w:szCs w:val="20"/>
        </w:rPr>
      </w:pPr>
      <w:r w:rsidRPr="00CC79E6">
        <w:rPr>
          <w:rFonts w:ascii="Arial" w:hAnsi="Arial" w:cs="Arial"/>
          <w:b/>
        </w:rPr>
        <w:t>I am concerned about the part of the Market Practice that states:</w:t>
      </w:r>
    </w:p>
    <w:p w:rsidR="00CC79E6" w:rsidRDefault="00CC79E6" w:rsidP="00CC79E6">
      <w:pPr>
        <w:rPr>
          <w:rFonts w:ascii="Arial" w:hAnsi="Arial" w:cs="Arial"/>
          <w:sz w:val="20"/>
          <w:szCs w:val="20"/>
        </w:rPr>
      </w:pPr>
      <w:r>
        <w:rPr>
          <w:rFonts w:ascii="Arial" w:hAnsi="Arial" w:cs="Arial"/>
          <w:sz w:val="20"/>
          <w:szCs w:val="20"/>
        </w:rPr>
        <w:t>“</w:t>
      </w:r>
      <w:r>
        <w:rPr>
          <w:b/>
          <w:bCs/>
          <w:sz w:val="24"/>
          <w:szCs w:val="24"/>
        </w:rPr>
        <w:t>Please note that for 871m events, corporate action messaging is not recommended for derivatives or options.  The notice of the 871m event needs to be triggered by another corporate action event that has a DEP impact.  For example an Exchange Traded Note linked to a Cash dividend on a common stock.”</w:t>
      </w:r>
    </w:p>
    <w:p w:rsidR="00CC79E6" w:rsidRDefault="00CC79E6" w:rsidP="00CC79E6">
      <w:pPr>
        <w:rPr>
          <w:rFonts w:ascii="Arial" w:hAnsi="Arial" w:cs="Arial"/>
          <w:sz w:val="20"/>
          <w:szCs w:val="20"/>
        </w:rPr>
      </w:pPr>
      <w:r>
        <w:rPr>
          <w:rFonts w:ascii="Arial" w:hAnsi="Arial" w:cs="Arial"/>
          <w:sz w:val="20"/>
          <w:szCs w:val="20"/>
        </w:rPr>
        <w:t>A DEP is triggered by a corporate action on an underlying security for derivatives and options, so I don’t see the distinction.</w:t>
      </w:r>
    </w:p>
    <w:p w:rsidR="00CC79E6" w:rsidRDefault="00CC79E6" w:rsidP="00CC79E6">
      <w:pPr>
        <w:rPr>
          <w:rFonts w:ascii="Arial" w:hAnsi="Arial" w:cs="Arial"/>
          <w:sz w:val="20"/>
          <w:szCs w:val="20"/>
        </w:rPr>
      </w:pPr>
      <w:r>
        <w:rPr>
          <w:rFonts w:ascii="Arial" w:hAnsi="Arial" w:cs="Arial"/>
          <w:sz w:val="20"/>
          <w:szCs w:val="20"/>
        </w:rPr>
        <w:t>Is this statement just saying that the DTCC will not announce these events on derivatives?  In that case I don’t think it should be included in the Market Practice, or should be more explicit.</w:t>
      </w:r>
    </w:p>
    <w:p w:rsidR="00CC79E6" w:rsidRDefault="00CC79E6" w:rsidP="00CC79E6">
      <w:pPr>
        <w:rPr>
          <w:rFonts w:ascii="Arial" w:hAnsi="Arial" w:cs="Arial"/>
          <w:sz w:val="20"/>
          <w:szCs w:val="20"/>
        </w:rPr>
      </w:pPr>
      <w:r>
        <w:rPr>
          <w:rFonts w:ascii="Arial" w:hAnsi="Arial" w:cs="Arial"/>
          <w:sz w:val="20"/>
          <w:szCs w:val="20"/>
        </w:rPr>
        <w:t>Please can you comment?</w:t>
      </w:r>
      <w:bookmarkStart w:id="0" w:name="_GoBack"/>
      <w:bookmarkEnd w:id="0"/>
    </w:p>
    <w:p w:rsidR="00CC79E6" w:rsidRPr="00CC79E6" w:rsidRDefault="00CC79E6" w:rsidP="00CC79E6">
      <w:pPr>
        <w:pStyle w:val="ListParagraph"/>
        <w:numPr>
          <w:ilvl w:val="0"/>
          <w:numId w:val="1"/>
        </w:numPr>
        <w:rPr>
          <w:rFonts w:ascii="Arial" w:hAnsi="Arial" w:cs="Arial"/>
          <w:b/>
          <w:sz w:val="20"/>
          <w:szCs w:val="20"/>
        </w:rPr>
      </w:pPr>
      <w:r w:rsidRPr="00CC79E6">
        <w:rPr>
          <w:rFonts w:ascii="Arial" w:hAnsi="Arial" w:cs="Arial"/>
          <w:b/>
        </w:rPr>
        <w:t>The “ITYP” Qualifier – Type of Income – is not included in the example messages.  Is this needed?</w:t>
      </w:r>
    </w:p>
    <w:p w:rsidR="00CC79E6" w:rsidRDefault="00CC79E6"/>
    <w:sectPr w:rsidR="00CC7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A27C7"/>
    <w:multiLevelType w:val="hybridMultilevel"/>
    <w:tmpl w:val="1C22CD66"/>
    <w:lvl w:ilvl="0" w:tplc="B6F4375C">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2FB6555"/>
    <w:multiLevelType w:val="hybridMultilevel"/>
    <w:tmpl w:val="264C9C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E6"/>
    <w:rsid w:val="00786441"/>
    <w:rsid w:val="00CC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CC79E6"/>
    <w:rPr>
      <w:rFonts w:ascii="Calibri" w:hAnsi="Calibri" w:cs="Calibri"/>
    </w:rPr>
  </w:style>
  <w:style w:type="paragraph" w:styleId="ListParagraph">
    <w:name w:val="List Paragraph"/>
    <w:basedOn w:val="Normal"/>
    <w:link w:val="ListParagraphChar"/>
    <w:uiPriority w:val="34"/>
    <w:qFormat/>
    <w:rsid w:val="00CC79E6"/>
    <w:pPr>
      <w:ind w:left="720"/>
      <w:contextualSpacing/>
      <w:jc w:val="both"/>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CC79E6"/>
    <w:rPr>
      <w:rFonts w:ascii="Calibri" w:hAnsi="Calibri" w:cs="Calibri"/>
    </w:rPr>
  </w:style>
  <w:style w:type="paragraph" w:styleId="ListParagraph">
    <w:name w:val="List Paragraph"/>
    <w:basedOn w:val="Normal"/>
    <w:link w:val="ListParagraphChar"/>
    <w:uiPriority w:val="34"/>
    <w:qFormat/>
    <w:rsid w:val="00CC79E6"/>
    <w:pPr>
      <w:ind w:left="720"/>
      <w:contextualSpacing/>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1245</Characters>
  <Application>Microsoft Office Word</Application>
  <DocSecurity>0</DocSecurity>
  <Lines>10</Lines>
  <Paragraphs>2</Paragraphs>
  <ScaleCrop>false</ScaleCrop>
  <Company>SWIFT</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LITTRE Jacques</dc:creator>
  <cp:lastModifiedBy>LITTRE Jacques</cp:lastModifiedBy>
  <cp:revision>1</cp:revision>
  <dcterms:created xsi:type="dcterms:W3CDTF">2018-11-27T10:04:00Z</dcterms:created>
  <dcterms:modified xsi:type="dcterms:W3CDTF">2018-11-27T10:07:00Z</dcterms:modified>
</cp:coreProperties>
</file>