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C38" w:rsidRDefault="004A5CD4" w:rsidP="004A5CD4">
      <w:pPr>
        <w:jc w:val="both"/>
        <w:rPr>
          <w:color w:val="1F497D"/>
        </w:rPr>
      </w:pPr>
      <w:r w:rsidRPr="00316C38">
        <w:rPr>
          <w:b/>
          <w:color w:val="1F497D"/>
        </w:rPr>
        <w:t xml:space="preserve">Problem </w:t>
      </w:r>
      <w:r w:rsidR="00316C38" w:rsidRPr="00316C38">
        <w:rPr>
          <w:b/>
          <w:color w:val="1F497D"/>
        </w:rPr>
        <w:t>Statement:</w:t>
      </w:r>
      <w:r>
        <w:rPr>
          <w:color w:val="1F497D"/>
        </w:rPr>
        <w:t xml:space="preserve"> </w:t>
      </w:r>
      <w:r w:rsidR="00316C38">
        <w:rPr>
          <w:color w:val="1F497D"/>
        </w:rPr>
        <w:t xml:space="preserve">SWIFT recommended that EXRI events are to be processed as CHOS </w:t>
      </w:r>
    </w:p>
    <w:p w:rsidR="00316C38" w:rsidRDefault="00316C38" w:rsidP="004A5CD4">
      <w:pPr>
        <w:jc w:val="both"/>
        <w:rPr>
          <w:color w:val="1F497D"/>
        </w:rPr>
      </w:pPr>
    </w:p>
    <w:p w:rsidR="00716CCD" w:rsidRDefault="00716CCD" w:rsidP="004A5CD4">
      <w:pPr>
        <w:jc w:val="both"/>
        <w:rPr>
          <w:color w:val="1F497D"/>
        </w:rPr>
      </w:pPr>
      <w:r w:rsidRPr="00316C38">
        <w:rPr>
          <w:b/>
          <w:color w:val="1F497D"/>
        </w:rPr>
        <w:t>Introduction</w:t>
      </w:r>
      <w:r>
        <w:rPr>
          <w:color w:val="1F497D"/>
        </w:rPr>
        <w:t>:</w:t>
      </w:r>
      <w:r w:rsidR="00316C38">
        <w:rPr>
          <w:color w:val="1F497D"/>
        </w:rPr>
        <w:t xml:space="preserve"> </w:t>
      </w:r>
    </w:p>
    <w:p w:rsidR="00C33CBA" w:rsidRDefault="00716CCD" w:rsidP="004A5CD4">
      <w:pPr>
        <w:jc w:val="both"/>
        <w:rPr>
          <w:color w:val="1F497D"/>
        </w:rPr>
      </w:pPr>
      <w:r>
        <w:rPr>
          <w:color w:val="1F497D"/>
        </w:rPr>
        <w:t xml:space="preserve">When there </w:t>
      </w:r>
      <w:r w:rsidR="00706276">
        <w:rPr>
          <w:color w:val="1F497D"/>
        </w:rPr>
        <w:t>is a Ri</w:t>
      </w:r>
      <w:r w:rsidR="00C33CBA">
        <w:rPr>
          <w:color w:val="1F497D"/>
        </w:rPr>
        <w:t>ghts Exercise (interchangeably termed as Rights Issue) event</w:t>
      </w:r>
      <w:r w:rsidR="00706276">
        <w:rPr>
          <w:color w:val="1F497D"/>
        </w:rPr>
        <w:t xml:space="preserve">, normally the event processing will </w:t>
      </w:r>
      <w:r w:rsidR="00C33CBA">
        <w:rPr>
          <w:color w:val="1F497D"/>
        </w:rPr>
        <w:t xml:space="preserve">carry 2 types of </w:t>
      </w:r>
      <w:r>
        <w:rPr>
          <w:color w:val="1F497D"/>
        </w:rPr>
        <w:t>distributions:</w:t>
      </w:r>
      <w:r w:rsidR="00C33CBA">
        <w:rPr>
          <w:color w:val="1F497D"/>
        </w:rPr>
        <w:t xml:space="preserve"> </w:t>
      </w:r>
    </w:p>
    <w:p w:rsidR="00C33CBA" w:rsidRPr="00C33CBA" w:rsidRDefault="00C33CBA" w:rsidP="004A5CD4">
      <w:pPr>
        <w:pStyle w:val="ListParagraph"/>
        <w:numPr>
          <w:ilvl w:val="0"/>
          <w:numId w:val="1"/>
        </w:numPr>
        <w:jc w:val="both"/>
        <w:rPr>
          <w:color w:val="1F497D"/>
        </w:rPr>
      </w:pPr>
      <w:r w:rsidRPr="00C33CBA">
        <w:rPr>
          <w:color w:val="1F497D"/>
        </w:rPr>
        <w:t xml:space="preserve">The first distribution </w:t>
      </w:r>
      <w:r w:rsidR="00706276" w:rsidRPr="00C33CBA">
        <w:rPr>
          <w:color w:val="1F497D"/>
        </w:rPr>
        <w:t>is the</w:t>
      </w:r>
      <w:r>
        <w:rPr>
          <w:color w:val="1F497D"/>
        </w:rPr>
        <w:t xml:space="preserve"> Nil-Paid</w:t>
      </w:r>
      <w:r w:rsidR="00706276" w:rsidRPr="00C33CBA">
        <w:rPr>
          <w:color w:val="1F497D"/>
        </w:rPr>
        <w:t xml:space="preserve"> Rights (based on </w:t>
      </w:r>
      <w:r>
        <w:rPr>
          <w:color w:val="1F497D"/>
        </w:rPr>
        <w:t>investor</w:t>
      </w:r>
      <w:r w:rsidR="00706276" w:rsidRPr="00C33CBA">
        <w:rPr>
          <w:color w:val="1F497D"/>
        </w:rPr>
        <w:t>s</w:t>
      </w:r>
      <w:r>
        <w:rPr>
          <w:color w:val="1F497D"/>
        </w:rPr>
        <w:t>’ share</w:t>
      </w:r>
      <w:r w:rsidR="00706276" w:rsidRPr="00C33CBA">
        <w:rPr>
          <w:color w:val="1F497D"/>
        </w:rPr>
        <w:t>holding</w:t>
      </w:r>
      <w:r>
        <w:rPr>
          <w:color w:val="1F497D"/>
        </w:rPr>
        <w:t>s</w:t>
      </w:r>
      <w:r w:rsidR="00706276" w:rsidRPr="00C33CBA">
        <w:rPr>
          <w:color w:val="1F497D"/>
        </w:rPr>
        <w:t xml:space="preserve"> on Record Date or date equivalent to Record date) which is processed as CAEV//RHDI (Distribution of the Intermediate Securities). </w:t>
      </w:r>
      <w:r w:rsidRPr="00C33CBA">
        <w:rPr>
          <w:color w:val="1F497D"/>
        </w:rPr>
        <w:t>In most cases, RHDI is processed under Mandatory category</w:t>
      </w:r>
      <w:r>
        <w:rPr>
          <w:color w:val="1F497D"/>
        </w:rPr>
        <w:t xml:space="preserve"> (CAMV//MAND) as investors</w:t>
      </w:r>
      <w:r w:rsidRPr="00C33CBA">
        <w:rPr>
          <w:color w:val="1F497D"/>
        </w:rPr>
        <w:t xml:space="preserve"> will receive the rights based on their parent holdings in the company on ‘mandatory’ basis. </w:t>
      </w:r>
    </w:p>
    <w:p w:rsidR="004A5CD4" w:rsidRDefault="00706276" w:rsidP="00C33CBA">
      <w:pPr>
        <w:pStyle w:val="ListParagraph"/>
        <w:numPr>
          <w:ilvl w:val="0"/>
          <w:numId w:val="1"/>
        </w:numPr>
        <w:jc w:val="both"/>
        <w:rPr>
          <w:color w:val="1F497D"/>
        </w:rPr>
      </w:pPr>
      <w:r w:rsidRPr="00C33CBA">
        <w:rPr>
          <w:color w:val="1F497D"/>
        </w:rPr>
        <w:t xml:space="preserve">The second distribution </w:t>
      </w:r>
      <w:r w:rsidR="00C33CBA">
        <w:rPr>
          <w:color w:val="1F497D"/>
        </w:rPr>
        <w:t xml:space="preserve">comes </w:t>
      </w:r>
      <w:r w:rsidRPr="00C33CBA">
        <w:rPr>
          <w:color w:val="1F497D"/>
        </w:rPr>
        <w:t>later when investors wish to participate in the event and exercise their righ</w:t>
      </w:r>
      <w:r w:rsidR="00716CCD">
        <w:rPr>
          <w:color w:val="1F497D"/>
        </w:rPr>
        <w:t xml:space="preserve">ts. This event ideally </w:t>
      </w:r>
      <w:r w:rsidRPr="00C33CBA">
        <w:rPr>
          <w:color w:val="1F497D"/>
        </w:rPr>
        <w:t>is processed as CAEV/</w:t>
      </w:r>
      <w:r w:rsidR="00716CCD">
        <w:rPr>
          <w:color w:val="1F497D"/>
        </w:rPr>
        <w:t xml:space="preserve">/EXRI and investors are not obliged to exercise their rights. </w:t>
      </w:r>
    </w:p>
    <w:p w:rsidR="00716CCD" w:rsidRDefault="00716CCD" w:rsidP="00716CCD">
      <w:pPr>
        <w:jc w:val="both"/>
        <w:rPr>
          <w:color w:val="1F497D"/>
        </w:rPr>
      </w:pPr>
    </w:p>
    <w:p w:rsidR="00716CCD" w:rsidRDefault="00716CCD" w:rsidP="00716CCD">
      <w:pPr>
        <w:jc w:val="both"/>
        <w:rPr>
          <w:color w:val="1F497D"/>
        </w:rPr>
      </w:pPr>
      <w:r w:rsidRPr="00716CCD">
        <w:rPr>
          <w:b/>
          <w:color w:val="1F497D"/>
        </w:rPr>
        <w:t xml:space="preserve">Content </w:t>
      </w:r>
      <w:r>
        <w:rPr>
          <w:color w:val="1F497D"/>
        </w:rPr>
        <w:t xml:space="preserve">: </w:t>
      </w:r>
    </w:p>
    <w:p w:rsidR="000519D9" w:rsidRDefault="00716CCD" w:rsidP="000519D9">
      <w:pPr>
        <w:jc w:val="both"/>
        <w:rPr>
          <w:color w:val="1F497D"/>
        </w:rPr>
      </w:pPr>
      <w:r>
        <w:rPr>
          <w:color w:val="1F497D"/>
        </w:rPr>
        <w:t>Theoretically RHDI (</w:t>
      </w:r>
      <w:r w:rsidR="000519D9">
        <w:rPr>
          <w:color w:val="1F497D"/>
        </w:rPr>
        <w:t xml:space="preserve">Refer to 1, </w:t>
      </w:r>
      <w:r>
        <w:rPr>
          <w:color w:val="1F497D"/>
        </w:rPr>
        <w:t>Distribution of the Intermediate Securities) is processed as Mandatory (</w:t>
      </w:r>
      <w:r w:rsidR="000519D9">
        <w:rPr>
          <w:color w:val="1F497D"/>
        </w:rPr>
        <w:t xml:space="preserve">Refer to 2, </w:t>
      </w:r>
      <w:r>
        <w:rPr>
          <w:color w:val="1F497D"/>
        </w:rPr>
        <w:t xml:space="preserve">CAMV//MAND) </w:t>
      </w:r>
      <w:r w:rsidR="000519D9">
        <w:rPr>
          <w:color w:val="1F497D"/>
        </w:rPr>
        <w:t>based on the</w:t>
      </w:r>
      <w:r>
        <w:rPr>
          <w:color w:val="1F497D"/>
        </w:rPr>
        <w:t xml:space="preserve"> parent holdings in the </w:t>
      </w:r>
      <w:r w:rsidR="00853817">
        <w:rPr>
          <w:color w:val="1F497D"/>
        </w:rPr>
        <w:t xml:space="preserve">issuing </w:t>
      </w:r>
      <w:r>
        <w:rPr>
          <w:color w:val="1F497D"/>
        </w:rPr>
        <w:t>company</w:t>
      </w:r>
      <w:r w:rsidR="00D92C1F">
        <w:rPr>
          <w:color w:val="1F497D"/>
        </w:rPr>
        <w:t xml:space="preserve"> (</w:t>
      </w:r>
      <w:r w:rsidR="000519D9">
        <w:rPr>
          <w:color w:val="1F497D"/>
        </w:rPr>
        <w:t>refer to 3,</w:t>
      </w:r>
      <w:r w:rsidR="00D92C1F">
        <w:rPr>
          <w:color w:val="1F497D"/>
        </w:rPr>
        <w:t xml:space="preserve"> ISIN of shares in the issuing company</w:t>
      </w:r>
      <w:r w:rsidR="000519D9">
        <w:rPr>
          <w:color w:val="1F497D"/>
        </w:rPr>
        <w:t xml:space="preserve">). So the Mandatory handling of this event is already addressed under RHDI and Custodians are widely adopting this SWIFT recommendation. </w:t>
      </w:r>
    </w:p>
    <w:p w:rsidR="000519D9" w:rsidRPr="000519D9" w:rsidRDefault="000519D9" w:rsidP="000519D9">
      <w:pPr>
        <w:pBdr>
          <w:top w:val="single" w:sz="4" w:space="1" w:color="auto"/>
          <w:left w:val="single" w:sz="4" w:space="4" w:color="auto"/>
          <w:bottom w:val="single" w:sz="4" w:space="1" w:color="auto"/>
          <w:right w:val="single" w:sz="4" w:space="4" w:color="auto"/>
        </w:pBdr>
        <w:jc w:val="both"/>
        <w:rPr>
          <w:color w:val="1F497D"/>
        </w:rPr>
      </w:pPr>
      <w:r w:rsidRPr="000519D9">
        <w:rPr>
          <w:rFonts w:ascii="Times New Roman" w:hAnsi="Times New Roman"/>
          <w:sz w:val="20"/>
          <w:szCs w:val="20"/>
          <w:lang w:eastAsia="en-US"/>
        </w:rPr>
        <w:t>:</w:t>
      </w:r>
      <w:r w:rsidRPr="000519D9">
        <w:rPr>
          <w:color w:val="1F497D"/>
        </w:rPr>
        <w:t>23G:NEWM</w:t>
      </w:r>
    </w:p>
    <w:p w:rsidR="000519D9" w:rsidRPr="000519D9" w:rsidRDefault="000519D9" w:rsidP="000519D9">
      <w:pPr>
        <w:pBdr>
          <w:top w:val="single" w:sz="4" w:space="1" w:color="auto"/>
          <w:left w:val="single" w:sz="4" w:space="4" w:color="auto"/>
          <w:bottom w:val="single" w:sz="4" w:space="1" w:color="auto"/>
          <w:right w:val="single" w:sz="4" w:space="4" w:color="auto"/>
        </w:pBdr>
        <w:jc w:val="both"/>
        <w:rPr>
          <w:color w:val="1F497D"/>
          <w:highlight w:val="yellow"/>
        </w:rPr>
      </w:pPr>
      <w:r w:rsidRPr="000519D9">
        <w:rPr>
          <w:color w:val="1F497D"/>
          <w:highlight w:val="yellow"/>
        </w:rPr>
        <w:t>:22F::CAEV//RHDI</w:t>
      </w:r>
      <w:r>
        <w:rPr>
          <w:color w:val="1F497D"/>
          <w:highlight w:val="yellow"/>
        </w:rPr>
        <w:t xml:space="preserve"> </w:t>
      </w:r>
      <w:r w:rsidRPr="000519D9">
        <w:rPr>
          <w:color w:val="1F497D"/>
        </w:rPr>
        <w:t>…………….</w:t>
      </w:r>
      <w:r w:rsidRPr="000519D9">
        <w:rPr>
          <w:b/>
          <w:color w:val="1F497D"/>
        </w:rPr>
        <w:t>1</w:t>
      </w:r>
    </w:p>
    <w:p w:rsidR="000519D9" w:rsidRPr="000519D9" w:rsidRDefault="000519D9" w:rsidP="000519D9">
      <w:pPr>
        <w:pBdr>
          <w:top w:val="single" w:sz="4" w:space="1" w:color="auto"/>
          <w:left w:val="single" w:sz="4" w:space="4" w:color="auto"/>
          <w:bottom w:val="single" w:sz="4" w:space="1" w:color="auto"/>
          <w:right w:val="single" w:sz="4" w:space="4" w:color="auto"/>
        </w:pBdr>
        <w:jc w:val="both"/>
        <w:rPr>
          <w:color w:val="1F497D"/>
        </w:rPr>
      </w:pPr>
      <w:r w:rsidRPr="000519D9">
        <w:rPr>
          <w:color w:val="1F497D"/>
          <w:highlight w:val="yellow"/>
        </w:rPr>
        <w:t>:22F::CAMV//MAND</w:t>
      </w:r>
      <w:r>
        <w:rPr>
          <w:color w:val="1F497D"/>
        </w:rPr>
        <w:t>…………</w:t>
      </w:r>
      <w:r w:rsidRPr="000519D9">
        <w:rPr>
          <w:b/>
          <w:color w:val="1F497D"/>
        </w:rPr>
        <w:t>.2</w:t>
      </w:r>
    </w:p>
    <w:p w:rsidR="000519D9" w:rsidRPr="000519D9" w:rsidRDefault="000519D9" w:rsidP="000519D9">
      <w:pPr>
        <w:pBdr>
          <w:top w:val="single" w:sz="4" w:space="1" w:color="auto"/>
          <w:left w:val="single" w:sz="4" w:space="4" w:color="auto"/>
          <w:bottom w:val="single" w:sz="4" w:space="1" w:color="auto"/>
          <w:right w:val="single" w:sz="4" w:space="4" w:color="auto"/>
        </w:pBdr>
        <w:jc w:val="both"/>
        <w:rPr>
          <w:color w:val="1F497D"/>
        </w:rPr>
      </w:pPr>
      <w:r w:rsidRPr="000519D9">
        <w:rPr>
          <w:color w:val="1F497D"/>
        </w:rPr>
        <w:t>:98A::PREP//20180315</w:t>
      </w:r>
    </w:p>
    <w:p w:rsidR="000519D9" w:rsidRPr="000519D9" w:rsidRDefault="000519D9" w:rsidP="000519D9">
      <w:pPr>
        <w:pBdr>
          <w:top w:val="single" w:sz="4" w:space="1" w:color="auto"/>
          <w:left w:val="single" w:sz="4" w:space="4" w:color="auto"/>
          <w:bottom w:val="single" w:sz="4" w:space="1" w:color="auto"/>
          <w:right w:val="single" w:sz="4" w:space="4" w:color="auto"/>
        </w:pBdr>
        <w:jc w:val="both"/>
        <w:rPr>
          <w:color w:val="1F497D"/>
        </w:rPr>
      </w:pPr>
      <w:r w:rsidRPr="000519D9">
        <w:rPr>
          <w:color w:val="1F497D"/>
        </w:rPr>
        <w:t>:25D::PROC//COMP</w:t>
      </w:r>
    </w:p>
    <w:p w:rsidR="000519D9" w:rsidRPr="000519D9" w:rsidRDefault="000519D9" w:rsidP="000519D9">
      <w:pPr>
        <w:pBdr>
          <w:top w:val="single" w:sz="4" w:space="1" w:color="auto"/>
          <w:left w:val="single" w:sz="4" w:space="4" w:color="auto"/>
          <w:bottom w:val="single" w:sz="4" w:space="1" w:color="auto"/>
          <w:right w:val="single" w:sz="4" w:space="4" w:color="auto"/>
        </w:pBdr>
        <w:jc w:val="both"/>
        <w:rPr>
          <w:color w:val="1F497D"/>
        </w:rPr>
      </w:pPr>
      <w:r w:rsidRPr="000519D9">
        <w:rPr>
          <w:color w:val="1F497D"/>
        </w:rPr>
        <w:t>:16S:GENL</w:t>
      </w:r>
    </w:p>
    <w:p w:rsidR="000519D9" w:rsidRPr="000519D9" w:rsidRDefault="000519D9" w:rsidP="000519D9">
      <w:pPr>
        <w:pBdr>
          <w:top w:val="single" w:sz="4" w:space="1" w:color="auto"/>
          <w:left w:val="single" w:sz="4" w:space="4" w:color="auto"/>
          <w:bottom w:val="single" w:sz="4" w:space="1" w:color="auto"/>
          <w:right w:val="single" w:sz="4" w:space="4" w:color="auto"/>
        </w:pBdr>
        <w:jc w:val="both"/>
        <w:rPr>
          <w:color w:val="1F497D"/>
        </w:rPr>
      </w:pPr>
      <w:r w:rsidRPr="000519D9">
        <w:rPr>
          <w:color w:val="1F497D"/>
        </w:rPr>
        <w:t>:16R:USECU</w:t>
      </w:r>
    </w:p>
    <w:p w:rsidR="000519D9" w:rsidRPr="000519D9" w:rsidRDefault="000519D9" w:rsidP="000519D9">
      <w:pPr>
        <w:pBdr>
          <w:top w:val="single" w:sz="4" w:space="1" w:color="auto"/>
          <w:left w:val="single" w:sz="4" w:space="4" w:color="auto"/>
          <w:bottom w:val="single" w:sz="4" w:space="1" w:color="auto"/>
          <w:right w:val="single" w:sz="4" w:space="4" w:color="auto"/>
        </w:pBdr>
        <w:jc w:val="both"/>
        <w:rPr>
          <w:color w:val="1F497D"/>
          <w:highlight w:val="yellow"/>
        </w:rPr>
      </w:pPr>
      <w:r w:rsidRPr="000519D9">
        <w:rPr>
          <w:color w:val="1F497D"/>
          <w:highlight w:val="yellow"/>
        </w:rPr>
        <w:t>:35B:ISIN SG1EC70XXXXX</w:t>
      </w:r>
      <w:r w:rsidRPr="000519D9">
        <w:rPr>
          <w:color w:val="1F497D"/>
        </w:rPr>
        <w:t>…..</w:t>
      </w:r>
      <w:r w:rsidRPr="000519D9">
        <w:rPr>
          <w:b/>
          <w:color w:val="1F497D"/>
        </w:rPr>
        <w:t>3</w:t>
      </w:r>
    </w:p>
    <w:p w:rsidR="000519D9" w:rsidRPr="000519D9" w:rsidRDefault="000519D9" w:rsidP="000519D9">
      <w:pPr>
        <w:pBdr>
          <w:top w:val="single" w:sz="4" w:space="1" w:color="auto"/>
          <w:left w:val="single" w:sz="4" w:space="4" w:color="auto"/>
          <w:bottom w:val="single" w:sz="4" w:space="1" w:color="auto"/>
          <w:right w:val="single" w:sz="4" w:space="4" w:color="auto"/>
        </w:pBdr>
        <w:jc w:val="both"/>
        <w:rPr>
          <w:color w:val="1F497D"/>
        </w:rPr>
      </w:pPr>
      <w:r w:rsidRPr="000519D9">
        <w:rPr>
          <w:color w:val="1F497D"/>
          <w:highlight w:val="yellow"/>
        </w:rPr>
        <w:t>FJ BENJAMIN</w:t>
      </w:r>
      <w:r w:rsidRPr="000519D9">
        <w:rPr>
          <w:color w:val="1F497D"/>
        </w:rPr>
        <w:t xml:space="preserve"> </w:t>
      </w:r>
    </w:p>
    <w:p w:rsidR="000519D9" w:rsidRPr="000519D9" w:rsidRDefault="000519D9" w:rsidP="000519D9">
      <w:pPr>
        <w:pBdr>
          <w:top w:val="single" w:sz="4" w:space="1" w:color="auto"/>
          <w:left w:val="single" w:sz="4" w:space="4" w:color="auto"/>
          <w:bottom w:val="single" w:sz="4" w:space="1" w:color="auto"/>
          <w:right w:val="single" w:sz="4" w:space="4" w:color="auto"/>
        </w:pBdr>
        <w:jc w:val="both"/>
        <w:rPr>
          <w:color w:val="1F497D"/>
        </w:rPr>
      </w:pPr>
      <w:r w:rsidRPr="000519D9">
        <w:rPr>
          <w:color w:val="1F497D"/>
        </w:rPr>
        <w:t>:16R:ACCTINFO</w:t>
      </w:r>
    </w:p>
    <w:p w:rsidR="000519D9" w:rsidRPr="000519D9" w:rsidRDefault="000519D9" w:rsidP="000519D9">
      <w:pPr>
        <w:jc w:val="center"/>
        <w:rPr>
          <w:color w:val="1F497D"/>
          <w:sz w:val="16"/>
          <w:szCs w:val="16"/>
        </w:rPr>
      </w:pPr>
      <w:r w:rsidRPr="000519D9">
        <w:rPr>
          <w:color w:val="1F497D"/>
          <w:sz w:val="16"/>
          <w:szCs w:val="16"/>
        </w:rPr>
        <w:t>Example of MT564 NEWM : For a new Rights Distribution event based on ordinary shares of issuing company</w:t>
      </w:r>
    </w:p>
    <w:p w:rsidR="000519D9" w:rsidRDefault="000519D9" w:rsidP="004A5CD4">
      <w:pPr>
        <w:jc w:val="both"/>
        <w:rPr>
          <w:color w:val="1F497D"/>
        </w:rPr>
      </w:pPr>
    </w:p>
    <w:p w:rsidR="000519D9" w:rsidRDefault="000519D9" w:rsidP="004A5CD4">
      <w:pPr>
        <w:jc w:val="both"/>
        <w:rPr>
          <w:color w:val="1F497D"/>
        </w:rPr>
      </w:pPr>
      <w:r>
        <w:rPr>
          <w:color w:val="1F497D"/>
        </w:rPr>
        <w:t>To notify investors on the details of the rights exercise event, a whole new set of advices (from MT564 to MT566) will be sent to eligible investors carrying CAEV//EXRI</w:t>
      </w:r>
      <w:r w:rsidR="00926119">
        <w:rPr>
          <w:color w:val="1F497D"/>
        </w:rPr>
        <w:t xml:space="preserve"> (Refer to 1) based on ISIN of the Rights (Refer to 3). </w:t>
      </w:r>
    </w:p>
    <w:p w:rsidR="000519D9" w:rsidRPr="000519D9" w:rsidRDefault="000519D9" w:rsidP="000519D9">
      <w:pPr>
        <w:pBdr>
          <w:top w:val="single" w:sz="4" w:space="1" w:color="auto"/>
          <w:left w:val="single" w:sz="4" w:space="4" w:color="auto"/>
          <w:bottom w:val="single" w:sz="4" w:space="1" w:color="auto"/>
          <w:right w:val="single" w:sz="4" w:space="4" w:color="auto"/>
        </w:pBdr>
        <w:jc w:val="both"/>
        <w:rPr>
          <w:color w:val="1F497D"/>
        </w:rPr>
      </w:pPr>
      <w:r>
        <w:rPr>
          <w:rFonts w:ascii="Times New Roman" w:hAnsi="Times New Roman"/>
          <w:sz w:val="14"/>
          <w:szCs w:val="14"/>
          <w:lang w:eastAsia="en-US"/>
        </w:rPr>
        <w:t>:</w:t>
      </w:r>
      <w:r w:rsidRPr="000519D9">
        <w:rPr>
          <w:color w:val="1F497D"/>
        </w:rPr>
        <w:t>23G:NEWM</w:t>
      </w:r>
    </w:p>
    <w:p w:rsidR="000519D9" w:rsidRPr="000519D9" w:rsidRDefault="000519D9" w:rsidP="000519D9">
      <w:pPr>
        <w:pBdr>
          <w:top w:val="single" w:sz="4" w:space="1" w:color="auto"/>
          <w:left w:val="single" w:sz="4" w:space="4" w:color="auto"/>
          <w:bottom w:val="single" w:sz="4" w:space="1" w:color="auto"/>
          <w:right w:val="single" w:sz="4" w:space="4" w:color="auto"/>
        </w:pBdr>
        <w:jc w:val="both"/>
        <w:rPr>
          <w:color w:val="1F497D"/>
        </w:rPr>
      </w:pPr>
      <w:r w:rsidRPr="000519D9">
        <w:rPr>
          <w:color w:val="1F497D"/>
          <w:highlight w:val="yellow"/>
        </w:rPr>
        <w:t>:22F::CAEV//EXRI</w:t>
      </w:r>
      <w:r>
        <w:rPr>
          <w:color w:val="1F497D"/>
        </w:rPr>
        <w:t>……………….</w:t>
      </w:r>
      <w:r w:rsidRPr="000519D9">
        <w:rPr>
          <w:b/>
          <w:color w:val="1F497D"/>
        </w:rPr>
        <w:t>1</w:t>
      </w:r>
    </w:p>
    <w:p w:rsidR="000519D9" w:rsidRPr="000519D9" w:rsidRDefault="000519D9" w:rsidP="000519D9">
      <w:pPr>
        <w:pBdr>
          <w:top w:val="single" w:sz="4" w:space="1" w:color="auto"/>
          <w:left w:val="single" w:sz="4" w:space="4" w:color="auto"/>
          <w:bottom w:val="single" w:sz="4" w:space="1" w:color="auto"/>
          <w:right w:val="single" w:sz="4" w:space="4" w:color="auto"/>
        </w:pBdr>
        <w:jc w:val="both"/>
        <w:rPr>
          <w:color w:val="1F497D"/>
        </w:rPr>
      </w:pPr>
      <w:r w:rsidRPr="000519D9">
        <w:rPr>
          <w:color w:val="1F497D"/>
          <w:highlight w:val="yellow"/>
        </w:rPr>
        <w:t>:22F::CAMV//VOLU</w:t>
      </w:r>
      <w:r>
        <w:rPr>
          <w:color w:val="1F497D"/>
        </w:rPr>
        <w:t>…………….</w:t>
      </w:r>
      <w:r w:rsidRPr="000519D9">
        <w:rPr>
          <w:b/>
          <w:color w:val="1F497D"/>
        </w:rPr>
        <w:t>2</w:t>
      </w:r>
    </w:p>
    <w:p w:rsidR="000519D9" w:rsidRPr="000519D9" w:rsidRDefault="000519D9" w:rsidP="000519D9">
      <w:pPr>
        <w:pBdr>
          <w:top w:val="single" w:sz="4" w:space="1" w:color="auto"/>
          <w:left w:val="single" w:sz="4" w:space="4" w:color="auto"/>
          <w:bottom w:val="single" w:sz="4" w:space="1" w:color="auto"/>
          <w:right w:val="single" w:sz="4" w:space="4" w:color="auto"/>
        </w:pBdr>
        <w:jc w:val="both"/>
        <w:rPr>
          <w:color w:val="1F497D"/>
        </w:rPr>
      </w:pPr>
      <w:r w:rsidRPr="000519D9">
        <w:rPr>
          <w:color w:val="1F497D"/>
        </w:rPr>
        <w:t>:98A::PREP//20180315</w:t>
      </w:r>
    </w:p>
    <w:p w:rsidR="000519D9" w:rsidRPr="000519D9" w:rsidRDefault="000519D9" w:rsidP="000519D9">
      <w:pPr>
        <w:pBdr>
          <w:top w:val="single" w:sz="4" w:space="1" w:color="auto"/>
          <w:left w:val="single" w:sz="4" w:space="4" w:color="auto"/>
          <w:bottom w:val="single" w:sz="4" w:space="1" w:color="auto"/>
          <w:right w:val="single" w:sz="4" w:space="4" w:color="auto"/>
        </w:pBdr>
        <w:jc w:val="both"/>
        <w:rPr>
          <w:color w:val="1F497D"/>
        </w:rPr>
      </w:pPr>
      <w:r w:rsidRPr="000519D9">
        <w:rPr>
          <w:color w:val="1F497D"/>
        </w:rPr>
        <w:t>:25D::PROC//COMP</w:t>
      </w:r>
    </w:p>
    <w:p w:rsidR="000519D9" w:rsidRPr="000519D9" w:rsidRDefault="000519D9" w:rsidP="000519D9">
      <w:pPr>
        <w:pBdr>
          <w:top w:val="single" w:sz="4" w:space="1" w:color="auto"/>
          <w:left w:val="single" w:sz="4" w:space="4" w:color="auto"/>
          <w:bottom w:val="single" w:sz="4" w:space="1" w:color="auto"/>
          <w:right w:val="single" w:sz="4" w:space="4" w:color="auto"/>
        </w:pBdr>
        <w:jc w:val="both"/>
        <w:rPr>
          <w:color w:val="1F497D"/>
        </w:rPr>
      </w:pPr>
      <w:r w:rsidRPr="000519D9">
        <w:rPr>
          <w:color w:val="1F497D"/>
        </w:rPr>
        <w:t>:16S:GENL</w:t>
      </w:r>
    </w:p>
    <w:p w:rsidR="000519D9" w:rsidRPr="000519D9" w:rsidRDefault="000519D9" w:rsidP="000519D9">
      <w:pPr>
        <w:pBdr>
          <w:top w:val="single" w:sz="4" w:space="1" w:color="auto"/>
          <w:left w:val="single" w:sz="4" w:space="4" w:color="auto"/>
          <w:bottom w:val="single" w:sz="4" w:space="1" w:color="auto"/>
          <w:right w:val="single" w:sz="4" w:space="4" w:color="auto"/>
        </w:pBdr>
        <w:jc w:val="both"/>
        <w:rPr>
          <w:color w:val="1F497D"/>
        </w:rPr>
      </w:pPr>
      <w:r w:rsidRPr="000519D9">
        <w:rPr>
          <w:color w:val="1F497D"/>
        </w:rPr>
        <w:t>:16R:USECU</w:t>
      </w:r>
    </w:p>
    <w:p w:rsidR="000519D9" w:rsidRPr="000519D9" w:rsidRDefault="000519D9" w:rsidP="000519D9">
      <w:pPr>
        <w:pBdr>
          <w:top w:val="single" w:sz="4" w:space="1" w:color="auto"/>
          <w:left w:val="single" w:sz="4" w:space="4" w:color="auto"/>
          <w:bottom w:val="single" w:sz="4" w:space="1" w:color="auto"/>
          <w:right w:val="single" w:sz="4" w:space="4" w:color="auto"/>
        </w:pBdr>
        <w:jc w:val="both"/>
        <w:rPr>
          <w:color w:val="1F497D"/>
          <w:highlight w:val="yellow"/>
        </w:rPr>
      </w:pPr>
      <w:r w:rsidRPr="000519D9">
        <w:rPr>
          <w:color w:val="1F497D"/>
          <w:highlight w:val="yellow"/>
        </w:rPr>
        <w:t>:35B:ISIN SG1EC70XXXXX</w:t>
      </w:r>
      <w:r w:rsidRPr="000519D9">
        <w:rPr>
          <w:color w:val="1F497D"/>
        </w:rPr>
        <w:t>……</w:t>
      </w:r>
      <w:r w:rsidRPr="000519D9">
        <w:rPr>
          <w:b/>
          <w:color w:val="1F497D"/>
        </w:rPr>
        <w:t>3</w:t>
      </w:r>
    </w:p>
    <w:p w:rsidR="000519D9" w:rsidRPr="000519D9" w:rsidRDefault="000519D9" w:rsidP="000519D9">
      <w:pPr>
        <w:pBdr>
          <w:top w:val="single" w:sz="4" w:space="1" w:color="auto"/>
          <w:left w:val="single" w:sz="4" w:space="4" w:color="auto"/>
          <w:bottom w:val="single" w:sz="4" w:space="1" w:color="auto"/>
          <w:right w:val="single" w:sz="4" w:space="4" w:color="auto"/>
        </w:pBdr>
        <w:jc w:val="both"/>
        <w:rPr>
          <w:color w:val="1F497D"/>
        </w:rPr>
      </w:pPr>
      <w:r w:rsidRPr="000519D9">
        <w:rPr>
          <w:color w:val="1F497D"/>
          <w:highlight w:val="yellow"/>
        </w:rPr>
        <w:t>FJ BENJAMIN R</w:t>
      </w:r>
    </w:p>
    <w:p w:rsidR="000519D9" w:rsidRDefault="000519D9" w:rsidP="000519D9">
      <w:pPr>
        <w:pBdr>
          <w:top w:val="single" w:sz="4" w:space="1" w:color="auto"/>
          <w:left w:val="single" w:sz="4" w:space="4" w:color="auto"/>
          <w:bottom w:val="single" w:sz="4" w:space="1" w:color="auto"/>
          <w:right w:val="single" w:sz="4" w:space="4" w:color="auto"/>
        </w:pBdr>
        <w:jc w:val="both"/>
        <w:rPr>
          <w:color w:val="1F497D"/>
        </w:rPr>
      </w:pPr>
      <w:r w:rsidRPr="000519D9">
        <w:rPr>
          <w:color w:val="1F497D"/>
        </w:rPr>
        <w:t>:16R:ACCTINFO</w:t>
      </w:r>
    </w:p>
    <w:p w:rsidR="00926119" w:rsidRPr="000519D9" w:rsidRDefault="00926119" w:rsidP="00926119">
      <w:pPr>
        <w:jc w:val="center"/>
        <w:rPr>
          <w:color w:val="1F497D"/>
          <w:sz w:val="16"/>
          <w:szCs w:val="16"/>
        </w:rPr>
      </w:pPr>
      <w:r w:rsidRPr="000519D9">
        <w:rPr>
          <w:color w:val="1F497D"/>
          <w:sz w:val="16"/>
          <w:szCs w:val="16"/>
        </w:rPr>
        <w:t xml:space="preserve">Example of MT564 NEWM : For a new Rights </w:t>
      </w:r>
      <w:r>
        <w:rPr>
          <w:color w:val="1F497D"/>
          <w:sz w:val="16"/>
          <w:szCs w:val="16"/>
        </w:rPr>
        <w:t xml:space="preserve">Exercise </w:t>
      </w:r>
      <w:r w:rsidRPr="000519D9">
        <w:rPr>
          <w:color w:val="1F497D"/>
          <w:sz w:val="16"/>
          <w:szCs w:val="16"/>
        </w:rPr>
        <w:t xml:space="preserve">event based on </w:t>
      </w:r>
      <w:r>
        <w:rPr>
          <w:color w:val="1F497D"/>
          <w:sz w:val="16"/>
          <w:szCs w:val="16"/>
        </w:rPr>
        <w:t>Rights</w:t>
      </w:r>
      <w:r w:rsidRPr="000519D9">
        <w:rPr>
          <w:color w:val="1F497D"/>
          <w:sz w:val="16"/>
          <w:szCs w:val="16"/>
        </w:rPr>
        <w:t xml:space="preserve"> of issuing company</w:t>
      </w:r>
    </w:p>
    <w:p w:rsidR="000519D9" w:rsidRDefault="000519D9" w:rsidP="004A5CD4">
      <w:pPr>
        <w:jc w:val="both"/>
        <w:rPr>
          <w:color w:val="1F497D"/>
        </w:rPr>
      </w:pPr>
    </w:p>
    <w:p w:rsidR="004A5CD4" w:rsidRDefault="00926119" w:rsidP="004A5CD4">
      <w:pPr>
        <w:jc w:val="both"/>
        <w:rPr>
          <w:color w:val="1F497D"/>
        </w:rPr>
      </w:pPr>
      <w:r>
        <w:rPr>
          <w:color w:val="1F497D"/>
        </w:rPr>
        <w:t xml:space="preserve">Point 2 in the example above is in question, although it is recommended for SWIFT users to use CAMV//CHOS however </w:t>
      </w:r>
      <w:r w:rsidR="00853817">
        <w:rPr>
          <w:color w:val="1F497D"/>
        </w:rPr>
        <w:t xml:space="preserve">the usage of CHOS does not fully fit the definition </w:t>
      </w:r>
      <w:r w:rsidR="00D92C1F">
        <w:rPr>
          <w:color w:val="1F497D"/>
        </w:rPr>
        <w:t xml:space="preserve">of </w:t>
      </w:r>
      <w:r>
        <w:rPr>
          <w:color w:val="1F497D"/>
        </w:rPr>
        <w:t xml:space="preserve">exercise of rights </w:t>
      </w:r>
      <w:r w:rsidR="00853817">
        <w:rPr>
          <w:color w:val="1F497D"/>
        </w:rPr>
        <w:t>in some market</w:t>
      </w:r>
      <w:r w:rsidR="00D92C1F">
        <w:rPr>
          <w:color w:val="1F497D"/>
        </w:rPr>
        <w:t>s</w:t>
      </w:r>
      <w:r w:rsidR="00853817">
        <w:rPr>
          <w:color w:val="1F497D"/>
        </w:rPr>
        <w:t xml:space="preserve">. Going back to the fundamental </w:t>
      </w:r>
      <w:r w:rsidR="00D92C1F">
        <w:rPr>
          <w:color w:val="1F497D"/>
        </w:rPr>
        <w:t xml:space="preserve">of </w:t>
      </w:r>
      <w:r>
        <w:rPr>
          <w:color w:val="1F497D"/>
        </w:rPr>
        <w:t>theory of Rights Exercise</w:t>
      </w:r>
      <w:r w:rsidR="00D92C1F">
        <w:rPr>
          <w:color w:val="1F497D"/>
        </w:rPr>
        <w:t>, investors are normally given the flexibility to opt for the following:</w:t>
      </w:r>
    </w:p>
    <w:p w:rsidR="004A5CD4" w:rsidRDefault="004A5CD4" w:rsidP="004A5CD4">
      <w:pPr>
        <w:pStyle w:val="ListParagraph"/>
        <w:ind w:hanging="360"/>
        <w:jc w:val="both"/>
        <w:rPr>
          <w:color w:val="1F497D"/>
        </w:rPr>
      </w:pPr>
      <w:r>
        <w:rPr>
          <w:color w:val="1F497D"/>
        </w:rPr>
        <w:lastRenderedPageBreak/>
        <w:t>a.</w:t>
      </w:r>
      <w:r>
        <w:rPr>
          <w:rFonts w:ascii="Times New Roman" w:hAnsi="Times New Roman"/>
          <w:color w:val="1F497D"/>
          <w:sz w:val="14"/>
          <w:szCs w:val="14"/>
        </w:rPr>
        <w:t>      </w:t>
      </w:r>
      <w:r>
        <w:rPr>
          <w:color w:val="1F497D"/>
        </w:rPr>
        <w:t xml:space="preserve">If holders are keen to participate in the event, clients will send their instructions and pay to relevant subscription cost. </w:t>
      </w:r>
    </w:p>
    <w:p w:rsidR="00D92C1F" w:rsidRDefault="004A5CD4" w:rsidP="00D92C1F">
      <w:pPr>
        <w:pStyle w:val="ListParagraph"/>
        <w:ind w:hanging="360"/>
        <w:jc w:val="both"/>
        <w:rPr>
          <w:color w:val="1F497D"/>
        </w:rPr>
      </w:pPr>
      <w:r>
        <w:rPr>
          <w:color w:val="1F497D"/>
        </w:rPr>
        <w:t>b.</w:t>
      </w:r>
      <w:r>
        <w:rPr>
          <w:rFonts w:ascii="Times New Roman" w:hAnsi="Times New Roman"/>
          <w:color w:val="1F497D"/>
          <w:sz w:val="14"/>
          <w:szCs w:val="14"/>
        </w:rPr>
        <w:t>     </w:t>
      </w:r>
      <w:r>
        <w:rPr>
          <w:color w:val="1F497D"/>
        </w:rPr>
        <w:t xml:space="preserve">Otherwise, company may apply default which will result in </w:t>
      </w:r>
      <w:r w:rsidR="00D92C1F">
        <w:rPr>
          <w:color w:val="1F497D"/>
        </w:rPr>
        <w:t xml:space="preserve">rights being </w:t>
      </w:r>
      <w:r w:rsidR="00DC1268">
        <w:rPr>
          <w:color w:val="1F497D"/>
        </w:rPr>
        <w:t>lapsed:</w:t>
      </w:r>
      <w:r w:rsidR="00926119">
        <w:rPr>
          <w:color w:val="1F497D"/>
        </w:rPr>
        <w:t xml:space="preserve"> </w:t>
      </w:r>
    </w:p>
    <w:p w:rsidR="00D92C1F" w:rsidRDefault="00D92C1F" w:rsidP="00D92C1F">
      <w:pPr>
        <w:pStyle w:val="ListParagraph"/>
        <w:jc w:val="both"/>
        <w:rPr>
          <w:color w:val="1F497D"/>
        </w:rPr>
      </w:pPr>
      <w:r>
        <w:rPr>
          <w:color w:val="1F497D"/>
        </w:rPr>
        <w:t>i. In most markets, when rights are marked as ‘Lapse’</w:t>
      </w:r>
      <w:r w:rsidR="004A5CD4">
        <w:rPr>
          <w:color w:val="1F497D"/>
        </w:rPr>
        <w:t xml:space="preserve">, the holders will not benefit / gain anything from the lapse exercise except removal of the expired rights from holders’ securities accounts. </w:t>
      </w:r>
    </w:p>
    <w:p w:rsidR="004A5CD4" w:rsidRDefault="00D92C1F" w:rsidP="00D92C1F">
      <w:pPr>
        <w:pStyle w:val="ListParagraph"/>
        <w:jc w:val="both"/>
        <w:rPr>
          <w:color w:val="1F497D"/>
        </w:rPr>
      </w:pPr>
      <w:r>
        <w:rPr>
          <w:color w:val="1F497D"/>
        </w:rPr>
        <w:t xml:space="preserve">ii. On the other hand, in few other markets, ‘Lapse’ may mean issuers will convert the lapsed rights into monetary value and the proceeds will be credited into investors’ cash account. </w:t>
      </w:r>
    </w:p>
    <w:p w:rsidR="00926119" w:rsidRDefault="00926119" w:rsidP="00926119">
      <w:pPr>
        <w:jc w:val="both"/>
        <w:rPr>
          <w:color w:val="1F497D"/>
        </w:rPr>
      </w:pPr>
    </w:p>
    <w:p w:rsidR="00926119" w:rsidRDefault="00926119" w:rsidP="00926119">
      <w:pPr>
        <w:jc w:val="both"/>
        <w:rPr>
          <w:color w:val="1F497D"/>
        </w:rPr>
      </w:pPr>
      <w:r>
        <w:rPr>
          <w:color w:val="1F497D"/>
        </w:rPr>
        <w:t xml:space="preserve">Below demonstrates some market practices in the Asian countries on lapse </w:t>
      </w:r>
      <w:r w:rsidR="004F7E07">
        <w:rPr>
          <w:color w:val="1F497D"/>
        </w:rPr>
        <w:t xml:space="preserve">handling: </w:t>
      </w:r>
    </w:p>
    <w:tbl>
      <w:tblPr>
        <w:tblStyle w:val="TableGrid"/>
        <w:tblW w:w="9810" w:type="dxa"/>
        <w:tblLook w:val="04A0" w:firstRow="1" w:lastRow="0" w:firstColumn="1" w:lastColumn="0" w:noHBand="0" w:noVBand="1"/>
      </w:tblPr>
      <w:tblGrid>
        <w:gridCol w:w="2981"/>
        <w:gridCol w:w="6829"/>
      </w:tblGrid>
      <w:tr w:rsidR="004F7E07" w:rsidTr="00DC1268">
        <w:trPr>
          <w:trHeight w:val="273"/>
        </w:trPr>
        <w:tc>
          <w:tcPr>
            <w:tcW w:w="2981" w:type="dxa"/>
            <w:shd w:val="clear" w:color="auto" w:fill="D9D9D9" w:themeFill="background1" w:themeFillShade="D9"/>
          </w:tcPr>
          <w:p w:rsidR="004F7E07" w:rsidRPr="004F7E07" w:rsidRDefault="004F7E07" w:rsidP="00926119">
            <w:pPr>
              <w:jc w:val="both"/>
              <w:rPr>
                <w:b/>
              </w:rPr>
            </w:pPr>
            <w:r w:rsidRPr="004F7E07">
              <w:rPr>
                <w:b/>
              </w:rPr>
              <w:t>Market</w:t>
            </w:r>
          </w:p>
        </w:tc>
        <w:tc>
          <w:tcPr>
            <w:tcW w:w="6829" w:type="dxa"/>
            <w:shd w:val="clear" w:color="auto" w:fill="D9D9D9" w:themeFill="background1" w:themeFillShade="D9"/>
          </w:tcPr>
          <w:p w:rsidR="004F7E07" w:rsidRPr="004F7E07" w:rsidRDefault="004F7E07" w:rsidP="00926119">
            <w:pPr>
              <w:jc w:val="both"/>
              <w:rPr>
                <w:b/>
              </w:rPr>
            </w:pPr>
            <w:r w:rsidRPr="004F7E07">
              <w:rPr>
                <w:b/>
              </w:rPr>
              <w:t>Handling of Lapse Rights</w:t>
            </w:r>
          </w:p>
        </w:tc>
      </w:tr>
      <w:tr w:rsidR="004F7E07" w:rsidTr="00DC1268">
        <w:trPr>
          <w:trHeight w:val="258"/>
        </w:trPr>
        <w:tc>
          <w:tcPr>
            <w:tcW w:w="2981" w:type="dxa"/>
          </w:tcPr>
          <w:p w:rsidR="00DC1268" w:rsidRDefault="00DC1268" w:rsidP="00926119">
            <w:pPr>
              <w:jc w:val="both"/>
              <w:rPr>
                <w:color w:val="1F497D"/>
              </w:rPr>
            </w:pPr>
            <w:r>
              <w:rPr>
                <w:color w:val="1F497D"/>
              </w:rPr>
              <w:t>Australia</w:t>
            </w:r>
          </w:p>
        </w:tc>
        <w:tc>
          <w:tcPr>
            <w:tcW w:w="6829" w:type="dxa"/>
          </w:tcPr>
          <w:p w:rsidR="004F7E07" w:rsidRDefault="00F6768C" w:rsidP="00F6768C">
            <w:pPr>
              <w:jc w:val="both"/>
              <w:rPr>
                <w:color w:val="1F497D"/>
              </w:rPr>
            </w:pPr>
            <w:r>
              <w:rPr>
                <w:color w:val="1F497D"/>
              </w:rPr>
              <w:t xml:space="preserve">Default option is lapse. The handling varies : </w:t>
            </w:r>
          </w:p>
          <w:p w:rsidR="00F6768C" w:rsidRDefault="00F6768C" w:rsidP="00F6768C">
            <w:pPr>
              <w:pStyle w:val="ListParagraph"/>
              <w:numPr>
                <w:ilvl w:val="0"/>
                <w:numId w:val="3"/>
              </w:numPr>
              <w:jc w:val="both"/>
              <w:rPr>
                <w:color w:val="1F497D"/>
              </w:rPr>
            </w:pPr>
            <w:r w:rsidRPr="00F6768C">
              <w:rPr>
                <w:color w:val="1F497D"/>
              </w:rPr>
              <w:t>Upon expiry, lapsed rights will be removed from investors’ accounts and will not result in any benefits / proceeds distribution to the investors</w:t>
            </w:r>
          </w:p>
          <w:p w:rsidR="00F6768C" w:rsidRPr="00F6768C" w:rsidRDefault="00F6768C" w:rsidP="00F6768C">
            <w:pPr>
              <w:pStyle w:val="ListParagraph"/>
              <w:numPr>
                <w:ilvl w:val="0"/>
                <w:numId w:val="3"/>
              </w:numPr>
              <w:jc w:val="both"/>
              <w:rPr>
                <w:color w:val="1F497D"/>
              </w:rPr>
            </w:pPr>
            <w:r>
              <w:rPr>
                <w:color w:val="1F497D"/>
              </w:rPr>
              <w:t>Some issuing companies do distribute proceeds to investors on lapsed rights</w:t>
            </w:r>
          </w:p>
        </w:tc>
      </w:tr>
      <w:tr w:rsidR="004F7E07" w:rsidTr="00DC1268">
        <w:trPr>
          <w:trHeight w:val="273"/>
        </w:trPr>
        <w:tc>
          <w:tcPr>
            <w:tcW w:w="2981" w:type="dxa"/>
          </w:tcPr>
          <w:p w:rsidR="004F7E07" w:rsidRDefault="0040681C" w:rsidP="00926119">
            <w:pPr>
              <w:jc w:val="both"/>
              <w:rPr>
                <w:color w:val="1F497D"/>
              </w:rPr>
            </w:pPr>
            <w:r>
              <w:rPr>
                <w:color w:val="1F497D"/>
              </w:rPr>
              <w:t>China</w:t>
            </w:r>
          </w:p>
        </w:tc>
        <w:tc>
          <w:tcPr>
            <w:tcW w:w="6829" w:type="dxa"/>
          </w:tcPr>
          <w:p w:rsidR="004F7E07" w:rsidRDefault="00FB51E6" w:rsidP="00926119">
            <w:pPr>
              <w:jc w:val="both"/>
              <w:rPr>
                <w:color w:val="1F497D"/>
              </w:rPr>
            </w:pPr>
            <w:r>
              <w:rPr>
                <w:color w:val="1F497D"/>
              </w:rPr>
              <w:t>Default option is lapse. Upon expiry, lapsed rights will be removed from investors’ accounts and will not result in any benefits / proceeds distribution to the investors</w:t>
            </w:r>
          </w:p>
        </w:tc>
      </w:tr>
      <w:tr w:rsidR="0040681C" w:rsidTr="00DC1268">
        <w:trPr>
          <w:trHeight w:val="273"/>
        </w:trPr>
        <w:tc>
          <w:tcPr>
            <w:tcW w:w="2981" w:type="dxa"/>
          </w:tcPr>
          <w:p w:rsidR="0040681C" w:rsidRDefault="0040681C" w:rsidP="0040681C">
            <w:pPr>
              <w:jc w:val="both"/>
              <w:rPr>
                <w:color w:val="1F497D"/>
              </w:rPr>
            </w:pPr>
            <w:r>
              <w:rPr>
                <w:color w:val="1F497D"/>
              </w:rPr>
              <w:t>Indonesia</w:t>
            </w:r>
          </w:p>
        </w:tc>
        <w:tc>
          <w:tcPr>
            <w:tcW w:w="6829" w:type="dxa"/>
          </w:tcPr>
          <w:p w:rsidR="0040681C" w:rsidRDefault="0040681C" w:rsidP="0040681C">
            <w:pPr>
              <w:jc w:val="both"/>
              <w:rPr>
                <w:color w:val="1F497D"/>
              </w:rPr>
            </w:pPr>
            <w:r>
              <w:rPr>
                <w:color w:val="1F497D"/>
              </w:rPr>
              <w:t>Default option is lapse. Upon expiry, lapsed rights will be removed from investors’ accounts and will not result in any benefits / proceeds distribution to the investors</w:t>
            </w:r>
          </w:p>
        </w:tc>
      </w:tr>
      <w:tr w:rsidR="0040681C" w:rsidTr="00DC1268">
        <w:trPr>
          <w:trHeight w:val="805"/>
        </w:trPr>
        <w:tc>
          <w:tcPr>
            <w:tcW w:w="2981" w:type="dxa"/>
          </w:tcPr>
          <w:p w:rsidR="0040681C" w:rsidRDefault="0040681C" w:rsidP="0040681C">
            <w:pPr>
              <w:jc w:val="both"/>
              <w:rPr>
                <w:color w:val="1F497D"/>
              </w:rPr>
            </w:pPr>
            <w:r>
              <w:rPr>
                <w:color w:val="1F497D"/>
              </w:rPr>
              <w:t>Malaysia</w:t>
            </w:r>
          </w:p>
        </w:tc>
        <w:tc>
          <w:tcPr>
            <w:tcW w:w="6829" w:type="dxa"/>
          </w:tcPr>
          <w:p w:rsidR="0040681C" w:rsidRDefault="0040681C" w:rsidP="0040681C">
            <w:pPr>
              <w:jc w:val="both"/>
              <w:rPr>
                <w:color w:val="1F497D"/>
              </w:rPr>
            </w:pPr>
            <w:r>
              <w:rPr>
                <w:color w:val="1F497D"/>
              </w:rPr>
              <w:t>Default option is lapse. Upon expiry, lapsed rights will be removed from investors’ accounts and will not result in any benefits / proceeds distribution to the investors</w:t>
            </w:r>
          </w:p>
        </w:tc>
      </w:tr>
      <w:tr w:rsidR="0040681C" w:rsidTr="00DC1268">
        <w:trPr>
          <w:trHeight w:val="273"/>
        </w:trPr>
        <w:tc>
          <w:tcPr>
            <w:tcW w:w="2981" w:type="dxa"/>
          </w:tcPr>
          <w:p w:rsidR="0040681C" w:rsidRDefault="0040681C" w:rsidP="0040681C">
            <w:pPr>
              <w:jc w:val="both"/>
              <w:rPr>
                <w:color w:val="1F497D"/>
              </w:rPr>
            </w:pPr>
            <w:r>
              <w:rPr>
                <w:color w:val="1F497D"/>
              </w:rPr>
              <w:t>Philippines</w:t>
            </w:r>
          </w:p>
        </w:tc>
        <w:tc>
          <w:tcPr>
            <w:tcW w:w="6829" w:type="dxa"/>
          </w:tcPr>
          <w:p w:rsidR="0040681C" w:rsidRDefault="0040681C" w:rsidP="0040681C">
            <w:pPr>
              <w:jc w:val="both"/>
              <w:rPr>
                <w:color w:val="1F497D"/>
              </w:rPr>
            </w:pPr>
            <w:r>
              <w:rPr>
                <w:color w:val="1F497D"/>
              </w:rPr>
              <w:t>Default option is lapse. Upon expiry, lapsed rights will be removed from investors’ accounts and will not result in any benefits / proceeds distribution to the investors</w:t>
            </w:r>
          </w:p>
        </w:tc>
      </w:tr>
      <w:tr w:rsidR="0040681C" w:rsidTr="00DC1268">
        <w:trPr>
          <w:trHeight w:val="258"/>
        </w:trPr>
        <w:tc>
          <w:tcPr>
            <w:tcW w:w="2981" w:type="dxa"/>
          </w:tcPr>
          <w:p w:rsidR="0040681C" w:rsidRDefault="0040681C" w:rsidP="0040681C">
            <w:pPr>
              <w:jc w:val="both"/>
              <w:rPr>
                <w:color w:val="1F497D"/>
              </w:rPr>
            </w:pPr>
            <w:r>
              <w:rPr>
                <w:color w:val="1F497D"/>
              </w:rPr>
              <w:t>Singapore</w:t>
            </w:r>
          </w:p>
        </w:tc>
        <w:tc>
          <w:tcPr>
            <w:tcW w:w="6829" w:type="dxa"/>
          </w:tcPr>
          <w:p w:rsidR="0040681C" w:rsidRDefault="0040681C" w:rsidP="0040681C">
            <w:pPr>
              <w:jc w:val="both"/>
              <w:rPr>
                <w:color w:val="1F497D"/>
              </w:rPr>
            </w:pPr>
            <w:r>
              <w:rPr>
                <w:color w:val="1F497D"/>
              </w:rPr>
              <w:t>Default option is lapse. Upon expiry, lapsed rights will be removed from investors’ accounts and will not result in any benefits / proceeds distribution to the investors</w:t>
            </w:r>
          </w:p>
        </w:tc>
      </w:tr>
      <w:tr w:rsidR="0040681C" w:rsidTr="00DC1268">
        <w:trPr>
          <w:trHeight w:val="273"/>
        </w:trPr>
        <w:tc>
          <w:tcPr>
            <w:tcW w:w="2981" w:type="dxa"/>
          </w:tcPr>
          <w:p w:rsidR="0040681C" w:rsidRDefault="0040681C" w:rsidP="0040681C">
            <w:pPr>
              <w:jc w:val="both"/>
              <w:rPr>
                <w:color w:val="1F497D"/>
              </w:rPr>
            </w:pPr>
            <w:r>
              <w:rPr>
                <w:color w:val="1F497D"/>
              </w:rPr>
              <w:t>Thailand</w:t>
            </w:r>
          </w:p>
        </w:tc>
        <w:tc>
          <w:tcPr>
            <w:tcW w:w="6829" w:type="dxa"/>
          </w:tcPr>
          <w:p w:rsidR="0040681C" w:rsidRDefault="0040681C" w:rsidP="0040681C">
            <w:pPr>
              <w:jc w:val="both"/>
              <w:rPr>
                <w:color w:val="1F497D"/>
              </w:rPr>
            </w:pPr>
            <w:r>
              <w:rPr>
                <w:color w:val="1F497D"/>
              </w:rPr>
              <w:t>Default option is lapse. Upon expiry, lapsed rights will be removed from investors’ accounts and will not result in any benefits / proceeds distribution to the investors</w:t>
            </w:r>
          </w:p>
        </w:tc>
      </w:tr>
      <w:tr w:rsidR="0040681C" w:rsidTr="00DC1268">
        <w:trPr>
          <w:trHeight w:val="258"/>
        </w:trPr>
        <w:tc>
          <w:tcPr>
            <w:tcW w:w="2981" w:type="dxa"/>
          </w:tcPr>
          <w:p w:rsidR="0040681C" w:rsidRDefault="0040681C" w:rsidP="0040681C">
            <w:pPr>
              <w:jc w:val="both"/>
              <w:rPr>
                <w:color w:val="1F497D"/>
              </w:rPr>
            </w:pPr>
            <w:r>
              <w:rPr>
                <w:color w:val="1F497D"/>
              </w:rPr>
              <w:t>Vietnam</w:t>
            </w:r>
          </w:p>
        </w:tc>
        <w:tc>
          <w:tcPr>
            <w:tcW w:w="6829" w:type="dxa"/>
          </w:tcPr>
          <w:p w:rsidR="0040681C" w:rsidRDefault="0040681C" w:rsidP="0040681C">
            <w:pPr>
              <w:jc w:val="both"/>
              <w:rPr>
                <w:color w:val="1F497D"/>
              </w:rPr>
            </w:pPr>
            <w:r>
              <w:rPr>
                <w:color w:val="1F497D"/>
              </w:rPr>
              <w:t>Default option is lapse. Upon expiry, lapsed rights will be removed from investors’ accounts and will not result in any benefits / proceeds distribution to the investors</w:t>
            </w:r>
          </w:p>
        </w:tc>
      </w:tr>
      <w:tr w:rsidR="009C4FC6" w:rsidTr="00DC1268">
        <w:trPr>
          <w:trHeight w:val="258"/>
        </w:trPr>
        <w:tc>
          <w:tcPr>
            <w:tcW w:w="2981" w:type="dxa"/>
          </w:tcPr>
          <w:p w:rsidR="009C4FC6" w:rsidRDefault="009C4FC6" w:rsidP="0040681C">
            <w:pPr>
              <w:jc w:val="both"/>
              <w:rPr>
                <w:color w:val="1F497D"/>
              </w:rPr>
            </w:pPr>
            <w:r>
              <w:rPr>
                <w:color w:val="1F497D"/>
              </w:rPr>
              <w:t xml:space="preserve">UK </w:t>
            </w:r>
          </w:p>
        </w:tc>
        <w:tc>
          <w:tcPr>
            <w:tcW w:w="6829" w:type="dxa"/>
          </w:tcPr>
          <w:p w:rsidR="009C4FC6" w:rsidRDefault="009C4FC6" w:rsidP="009C4FC6">
            <w:pPr>
              <w:rPr>
                <w:color w:val="1F497D"/>
                <w:lang w:eastAsia="en-US"/>
              </w:rPr>
            </w:pPr>
            <w:r>
              <w:rPr>
                <w:color w:val="1F497D"/>
                <w:lang w:eastAsia="en-US"/>
              </w:rPr>
              <w:t>The default option for UK Rights Issues is to Lapse except in the case of entitlements to be claimed from the market from stock loans or open market trades where the counterparty default will be to Exercise.</w:t>
            </w:r>
          </w:p>
          <w:p w:rsidR="009C4FC6" w:rsidRDefault="009C4FC6" w:rsidP="009C4FC6">
            <w:pPr>
              <w:rPr>
                <w:color w:val="1F497D"/>
                <w:lang w:eastAsia="en-US"/>
              </w:rPr>
            </w:pPr>
          </w:p>
          <w:p w:rsidR="009C4FC6" w:rsidRDefault="009C4FC6" w:rsidP="009C4FC6">
            <w:pPr>
              <w:jc w:val="both"/>
              <w:rPr>
                <w:color w:val="1F497D"/>
              </w:rPr>
            </w:pPr>
            <w:r>
              <w:rPr>
                <w:color w:val="1F497D"/>
                <w:lang w:eastAsia="en-US"/>
              </w:rPr>
              <w:t xml:space="preserve">Most UK Rights Issues are underwritten and for rights that have not been taken up at the deadline, the underwriters will either attempt to find subscribers or take them up themselves (at the Issue Price). If the underwriter finds subscribers then the sale proceeds (after deduction of the issue price and sale expenses) will be distributed to the relevant shareholders as </w:t>
            </w:r>
            <w:r w:rsidRPr="009C4FC6">
              <w:rPr>
                <w:bCs/>
                <w:color w:val="1F497D"/>
                <w:lang w:eastAsia="en-US"/>
              </w:rPr>
              <w:t>lapsed proceeds</w:t>
            </w:r>
          </w:p>
        </w:tc>
        <w:bookmarkStart w:id="0" w:name="_GoBack"/>
        <w:bookmarkEnd w:id="0"/>
      </w:tr>
    </w:tbl>
    <w:p w:rsidR="00D92C1F" w:rsidRDefault="00D92C1F" w:rsidP="00D92C1F">
      <w:pPr>
        <w:jc w:val="both"/>
        <w:rPr>
          <w:color w:val="1F497D"/>
        </w:rPr>
      </w:pPr>
    </w:p>
    <w:p w:rsidR="009C4FC6" w:rsidRDefault="009C4FC6" w:rsidP="00D92C1F">
      <w:pPr>
        <w:jc w:val="both"/>
        <w:rPr>
          <w:color w:val="1F497D"/>
        </w:rPr>
      </w:pPr>
    </w:p>
    <w:p w:rsidR="009C4FC6" w:rsidRDefault="009C4FC6" w:rsidP="00D92C1F">
      <w:pPr>
        <w:jc w:val="both"/>
        <w:rPr>
          <w:color w:val="1F497D"/>
        </w:rPr>
      </w:pPr>
    </w:p>
    <w:p w:rsidR="00926119" w:rsidRPr="00926119" w:rsidRDefault="00FB51E6" w:rsidP="00D92C1F">
      <w:pPr>
        <w:jc w:val="both"/>
        <w:rPr>
          <w:b/>
          <w:color w:val="1F497D"/>
        </w:rPr>
      </w:pPr>
      <w:r>
        <w:rPr>
          <w:b/>
          <w:color w:val="1F497D"/>
        </w:rPr>
        <w:lastRenderedPageBreak/>
        <w:t>Argument:</w:t>
      </w:r>
      <w:r w:rsidR="00926119">
        <w:rPr>
          <w:b/>
          <w:color w:val="1F497D"/>
        </w:rPr>
        <w:t xml:space="preserve"> </w:t>
      </w:r>
    </w:p>
    <w:p w:rsidR="00FB51E6" w:rsidRPr="00C43B45" w:rsidRDefault="00FB51E6" w:rsidP="00C43B45">
      <w:pPr>
        <w:pStyle w:val="ListParagraph"/>
        <w:numPr>
          <w:ilvl w:val="0"/>
          <w:numId w:val="5"/>
        </w:numPr>
        <w:jc w:val="both"/>
        <w:rPr>
          <w:color w:val="1F497D"/>
        </w:rPr>
      </w:pPr>
      <w:r w:rsidRPr="00C43B45">
        <w:rPr>
          <w:color w:val="1F497D"/>
        </w:rPr>
        <w:t xml:space="preserve">This article questions the usage of recommended code of CHOS for EXRI events. </w:t>
      </w:r>
    </w:p>
    <w:p w:rsidR="004F7E07" w:rsidRDefault="004F7E07" w:rsidP="004A5CD4">
      <w:pPr>
        <w:jc w:val="both"/>
        <w:rPr>
          <w:color w:val="1F497D"/>
        </w:rPr>
      </w:pPr>
    </w:p>
    <w:p w:rsidR="00C43B45" w:rsidRPr="00333735" w:rsidRDefault="00C43B45" w:rsidP="00333735">
      <w:pPr>
        <w:pStyle w:val="ListParagraph"/>
        <w:numPr>
          <w:ilvl w:val="0"/>
          <w:numId w:val="6"/>
        </w:numPr>
        <w:jc w:val="both"/>
        <w:rPr>
          <w:color w:val="1F497D"/>
        </w:rPr>
      </w:pPr>
      <w:r w:rsidRPr="00333735">
        <w:rPr>
          <w:color w:val="1F497D"/>
        </w:rPr>
        <w:t xml:space="preserve">The sample from few markets above illustrate that handling of rights purely by voluntary basis i.e. investors need to send in their instructions to confirm their participation in the EXRI event and pay corresponding Subscription Fees. If Default Option applies, which in most cases would be Lapse, then the lapse rights will be removed from investors’ account and investors will not enjoy any monetary benefits. </w:t>
      </w:r>
    </w:p>
    <w:p w:rsidR="00C43B45" w:rsidRDefault="00C43B45" w:rsidP="004A5CD4">
      <w:pPr>
        <w:jc w:val="both"/>
        <w:rPr>
          <w:color w:val="1F497D"/>
        </w:rPr>
      </w:pPr>
    </w:p>
    <w:p w:rsidR="004A5CD4" w:rsidRDefault="004A5CD4" w:rsidP="00333735">
      <w:pPr>
        <w:ind w:left="1080"/>
        <w:jc w:val="both"/>
        <w:rPr>
          <w:color w:val="1F497D"/>
        </w:rPr>
      </w:pPr>
      <w:r>
        <w:rPr>
          <w:color w:val="1F497D"/>
        </w:rPr>
        <w:t xml:space="preserve">CHOS on the other hand best fit events where holders have the obligation to receive the benefits (on mandatory basis) by their preferred distribution option (if clients send in their instructions) or by default option (if nil client instruction). A simple example would be Dividend </w:t>
      </w:r>
      <w:r w:rsidR="00FB51E6">
        <w:rPr>
          <w:color w:val="1F497D"/>
        </w:rPr>
        <w:t>with</w:t>
      </w:r>
      <w:r>
        <w:rPr>
          <w:color w:val="1F497D"/>
        </w:rPr>
        <w:t xml:space="preserve"> Options event where clients can opt for HKD or USD, and the payment of this event will result in payment of HKD (by client preference) or USD (by client preference or default) at the end of the event lifecycle. </w:t>
      </w:r>
      <w:r w:rsidR="00C43B45">
        <w:rPr>
          <w:color w:val="1F497D"/>
        </w:rPr>
        <w:t xml:space="preserve"> </w:t>
      </w:r>
    </w:p>
    <w:p w:rsidR="00C43B45" w:rsidRDefault="00C43B45" w:rsidP="004A5CD4">
      <w:pPr>
        <w:jc w:val="both"/>
        <w:rPr>
          <w:color w:val="1F497D"/>
        </w:rPr>
      </w:pPr>
    </w:p>
    <w:p w:rsidR="00C43B45" w:rsidRDefault="00C43B45" w:rsidP="00333735">
      <w:pPr>
        <w:ind w:left="1080"/>
        <w:jc w:val="both"/>
        <w:rPr>
          <w:color w:val="1F497D"/>
        </w:rPr>
      </w:pPr>
      <w:r>
        <w:rPr>
          <w:color w:val="1F497D"/>
        </w:rPr>
        <w:t xml:space="preserve">Another example where holders have the obligation to receive the benefits would be handling of lapsed rights which will result in monetary benefit paid to investors as illustrated by Australia market practice. </w:t>
      </w:r>
    </w:p>
    <w:p w:rsidR="00C43B45" w:rsidRDefault="00C43B45" w:rsidP="004A5CD4">
      <w:pPr>
        <w:jc w:val="both"/>
        <w:rPr>
          <w:color w:val="1F497D"/>
        </w:rPr>
      </w:pPr>
    </w:p>
    <w:p w:rsidR="00C43B45" w:rsidRPr="00333735" w:rsidRDefault="00C43B45" w:rsidP="00333735">
      <w:pPr>
        <w:pStyle w:val="ListParagraph"/>
        <w:numPr>
          <w:ilvl w:val="0"/>
          <w:numId w:val="6"/>
        </w:numPr>
        <w:jc w:val="both"/>
        <w:rPr>
          <w:color w:val="1F497D"/>
        </w:rPr>
      </w:pPr>
      <w:r w:rsidRPr="00333735">
        <w:rPr>
          <w:color w:val="1F497D"/>
        </w:rPr>
        <w:t>Even more so, EXRI events</w:t>
      </w:r>
      <w:r w:rsidR="00333735">
        <w:rPr>
          <w:color w:val="1F497D"/>
        </w:rPr>
        <w:t xml:space="preserve"> are normally announced based on the</w:t>
      </w:r>
      <w:r w:rsidRPr="00333735">
        <w:rPr>
          <w:color w:val="1F497D"/>
        </w:rPr>
        <w:t xml:space="preserve"> Rights ISIN / Securit</w:t>
      </w:r>
      <w:r w:rsidR="00333735">
        <w:rPr>
          <w:color w:val="1F497D"/>
        </w:rPr>
        <w:t>y Code which carry</w:t>
      </w:r>
      <w:r w:rsidRPr="00333735">
        <w:rPr>
          <w:color w:val="1F497D"/>
        </w:rPr>
        <w:t xml:space="preserve"> a whole series of MT564 – MT5</w:t>
      </w:r>
      <w:r w:rsidR="00333735">
        <w:rPr>
          <w:color w:val="1F497D"/>
        </w:rPr>
        <w:t xml:space="preserve">66, </w:t>
      </w:r>
      <w:r w:rsidRPr="00333735">
        <w:rPr>
          <w:color w:val="1F497D"/>
        </w:rPr>
        <w:t>compared to RHDI events which are announced based on the ordinary shares of the issuing company. Hence the two events (RHDI and EXRI) are to be handled separately</w:t>
      </w:r>
      <w:r w:rsidR="00333735">
        <w:rPr>
          <w:color w:val="1F497D"/>
        </w:rPr>
        <w:t xml:space="preserve"> due to the event nature</w:t>
      </w:r>
      <w:r w:rsidRPr="00333735">
        <w:rPr>
          <w:color w:val="1F497D"/>
        </w:rPr>
        <w:t xml:space="preserve"> </w:t>
      </w:r>
      <w:r w:rsidR="00333735">
        <w:rPr>
          <w:color w:val="1F497D"/>
        </w:rPr>
        <w:t>and do not have to be treated as ‘the whole package’ (Referring to verbal phone conversation dated 6</w:t>
      </w:r>
      <w:r w:rsidR="00333735" w:rsidRPr="00333735">
        <w:rPr>
          <w:color w:val="1F497D"/>
          <w:vertAlign w:val="superscript"/>
        </w:rPr>
        <w:t>th</w:t>
      </w:r>
      <w:r w:rsidR="00333735">
        <w:rPr>
          <w:color w:val="1F497D"/>
        </w:rPr>
        <w:t xml:space="preserve"> Aug 2018)</w:t>
      </w:r>
    </w:p>
    <w:p w:rsidR="00C43B45" w:rsidRDefault="00C43B45" w:rsidP="004A5CD4">
      <w:pPr>
        <w:jc w:val="both"/>
        <w:rPr>
          <w:color w:val="1F497D"/>
        </w:rPr>
      </w:pPr>
    </w:p>
    <w:p w:rsidR="00C43B45" w:rsidRDefault="00C43B45" w:rsidP="00C43B45">
      <w:pPr>
        <w:pStyle w:val="ListParagraph"/>
        <w:numPr>
          <w:ilvl w:val="0"/>
          <w:numId w:val="5"/>
        </w:numPr>
        <w:jc w:val="both"/>
        <w:rPr>
          <w:color w:val="1F497D"/>
        </w:rPr>
      </w:pPr>
      <w:r>
        <w:rPr>
          <w:color w:val="1F497D"/>
        </w:rPr>
        <w:t xml:space="preserve">If CHOS is applicable to EXRI events where there is presence of Lapse handling, what about </w:t>
      </w:r>
    </w:p>
    <w:p w:rsidR="00C43B45" w:rsidRPr="00C43B45" w:rsidRDefault="00C43B45" w:rsidP="00333735">
      <w:pPr>
        <w:ind w:firstLine="720"/>
        <w:jc w:val="both"/>
        <w:rPr>
          <w:color w:val="1F497D"/>
        </w:rPr>
      </w:pPr>
      <w:r>
        <w:rPr>
          <w:color w:val="1F497D"/>
        </w:rPr>
        <w:t>Handling of other ‘Voluntary’ events which also carry Lapse handling such as CAEV//EXWA?</w:t>
      </w:r>
    </w:p>
    <w:p w:rsidR="00C43B45" w:rsidRDefault="00C43B45" w:rsidP="004A5CD4">
      <w:pPr>
        <w:jc w:val="both"/>
        <w:rPr>
          <w:color w:val="1F497D"/>
        </w:rPr>
      </w:pPr>
    </w:p>
    <w:p w:rsidR="004A5CD4" w:rsidRPr="00C43B45" w:rsidRDefault="00310300" w:rsidP="004A5CD4">
      <w:pPr>
        <w:jc w:val="both"/>
        <w:rPr>
          <w:b/>
          <w:color w:val="1F497D"/>
        </w:rPr>
      </w:pPr>
      <w:r>
        <w:rPr>
          <w:b/>
          <w:color w:val="1F497D"/>
        </w:rPr>
        <w:t>Recommendation</w:t>
      </w:r>
      <w:r w:rsidR="00C43B45" w:rsidRPr="00C43B45">
        <w:rPr>
          <w:b/>
          <w:color w:val="1F497D"/>
        </w:rPr>
        <w:t xml:space="preserve">: </w:t>
      </w:r>
    </w:p>
    <w:p w:rsidR="004A5CD4" w:rsidRDefault="004A5CD4" w:rsidP="004F7E07">
      <w:pPr>
        <w:jc w:val="both"/>
        <w:rPr>
          <w:color w:val="1F497D"/>
        </w:rPr>
      </w:pPr>
      <w:r>
        <w:rPr>
          <w:color w:val="1F497D"/>
        </w:rPr>
        <w:t xml:space="preserve">With clear differences in the nature of the event handling between </w:t>
      </w:r>
      <w:r w:rsidR="00C43B45">
        <w:rPr>
          <w:color w:val="1F497D"/>
        </w:rPr>
        <w:t>the two different handling of lapsed rights,</w:t>
      </w:r>
      <w:r>
        <w:rPr>
          <w:color w:val="1F497D"/>
        </w:rPr>
        <w:t xml:space="preserve"> </w:t>
      </w:r>
      <w:r w:rsidR="00310300" w:rsidRPr="00310300">
        <w:rPr>
          <w:color w:val="2F5496" w:themeColor="accent5" w:themeShade="BF"/>
        </w:rPr>
        <w:t>SWIFT standard should give flexibility on the code for Exercise of Rights to VOLU and CHOS depending on the market practices.</w:t>
      </w:r>
      <w:r w:rsidR="00C43B45" w:rsidRPr="00310300">
        <w:rPr>
          <w:color w:val="2F5496" w:themeColor="accent5" w:themeShade="BF"/>
        </w:rPr>
        <w:t xml:space="preserve"> </w:t>
      </w:r>
      <w:r w:rsidRPr="00310300">
        <w:rPr>
          <w:color w:val="2F5496" w:themeColor="accent5" w:themeShade="BF"/>
        </w:rPr>
        <w:t xml:space="preserve"> </w:t>
      </w:r>
    </w:p>
    <w:p w:rsidR="00CD030F" w:rsidRDefault="00CD030F"/>
    <w:sectPr w:rsidR="00CD030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3B3" w:rsidRDefault="00CB53B3" w:rsidP="00853817">
      <w:r>
        <w:separator/>
      </w:r>
    </w:p>
  </w:endnote>
  <w:endnote w:type="continuationSeparator" w:id="0">
    <w:p w:rsidR="00CB53B3" w:rsidRDefault="00CB53B3" w:rsidP="0085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817" w:rsidRDefault="00853817">
    <w:pPr>
      <w:pStyle w:val="Footer"/>
    </w:pPr>
    <w:r>
      <w:t>INTERNAL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817" w:rsidRDefault="00853817">
    <w:pPr>
      <w:pStyle w:val="Footer"/>
    </w:pPr>
    <w:r>
      <w:t>INTERNAL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817" w:rsidRDefault="00853817">
    <w:pPr>
      <w:pStyle w:val="Footer"/>
    </w:pPr>
    <w:r>
      <w:t>INTERNAL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3B3" w:rsidRDefault="00CB53B3" w:rsidP="00853817">
      <w:r>
        <w:separator/>
      </w:r>
    </w:p>
  </w:footnote>
  <w:footnote w:type="continuationSeparator" w:id="0">
    <w:p w:rsidR="00CB53B3" w:rsidRDefault="00CB53B3" w:rsidP="00853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F8" w:rsidRDefault="00413B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E07" w:rsidRPr="004F7E07" w:rsidRDefault="004F7E07">
    <w:pPr>
      <w:pBdr>
        <w:left w:val="single" w:sz="12" w:space="11" w:color="5B9BD5" w:themeColor="accent1"/>
      </w:pBdr>
      <w:tabs>
        <w:tab w:val="left" w:pos="3620"/>
        <w:tab w:val="left" w:pos="3964"/>
      </w:tabs>
      <w:rPr>
        <w:rFonts w:asciiTheme="majorHAnsi" w:eastAsiaTheme="majorEastAsia" w:hAnsiTheme="majorHAnsi" w:cstheme="majorBidi"/>
        <w:sz w:val="18"/>
        <w:szCs w:val="18"/>
      </w:rPr>
    </w:pPr>
    <w:r w:rsidRPr="004F7E07">
      <w:rPr>
        <w:rFonts w:asciiTheme="majorHAnsi" w:eastAsiaTheme="majorEastAsia" w:hAnsiTheme="majorHAnsi" w:cstheme="majorBidi"/>
        <w:sz w:val="18"/>
        <w:szCs w:val="18"/>
      </w:rPr>
      <w:t>CAEV//EXRI: CHOS or VOLU?</w:t>
    </w:r>
  </w:p>
  <w:p w:rsidR="00853817" w:rsidRDefault="008538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F8" w:rsidRDefault="00413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2169"/>
    <w:multiLevelType w:val="hybridMultilevel"/>
    <w:tmpl w:val="C0368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854AFC"/>
    <w:multiLevelType w:val="hybridMultilevel"/>
    <w:tmpl w:val="7DF0E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56352"/>
    <w:multiLevelType w:val="hybridMultilevel"/>
    <w:tmpl w:val="5AA60FE2"/>
    <w:lvl w:ilvl="0" w:tplc="9AE4C37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0A4D57"/>
    <w:multiLevelType w:val="hybridMultilevel"/>
    <w:tmpl w:val="5D8E94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507E12"/>
    <w:multiLevelType w:val="hybridMultilevel"/>
    <w:tmpl w:val="E3F8510E"/>
    <w:lvl w:ilvl="0" w:tplc="FC200D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B46CC1"/>
    <w:multiLevelType w:val="hybridMultilevel"/>
    <w:tmpl w:val="EC062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D4"/>
    <w:rsid w:val="000519D9"/>
    <w:rsid w:val="00310300"/>
    <w:rsid w:val="00316C38"/>
    <w:rsid w:val="00333735"/>
    <w:rsid w:val="003B40A1"/>
    <w:rsid w:val="003D32BD"/>
    <w:rsid w:val="0040681C"/>
    <w:rsid w:val="00413BF8"/>
    <w:rsid w:val="004A5CD4"/>
    <w:rsid w:val="004F7E07"/>
    <w:rsid w:val="006A76C5"/>
    <w:rsid w:val="00706276"/>
    <w:rsid w:val="00716CCD"/>
    <w:rsid w:val="00853817"/>
    <w:rsid w:val="00926119"/>
    <w:rsid w:val="009C4FC6"/>
    <w:rsid w:val="00BF1651"/>
    <w:rsid w:val="00C33CBA"/>
    <w:rsid w:val="00C43B45"/>
    <w:rsid w:val="00CB53B3"/>
    <w:rsid w:val="00CD030F"/>
    <w:rsid w:val="00D92C1F"/>
    <w:rsid w:val="00DC1268"/>
    <w:rsid w:val="00F6768C"/>
    <w:rsid w:val="00FB5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89B3F-C1E3-44A3-953A-88F4C143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CD4"/>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5CD4"/>
    <w:rPr>
      <w:color w:val="0563C1"/>
      <w:u w:val="single"/>
    </w:rPr>
  </w:style>
  <w:style w:type="paragraph" w:styleId="ListParagraph">
    <w:name w:val="List Paragraph"/>
    <w:basedOn w:val="Normal"/>
    <w:uiPriority w:val="34"/>
    <w:qFormat/>
    <w:rsid w:val="004A5CD4"/>
    <w:pPr>
      <w:ind w:left="720"/>
    </w:pPr>
  </w:style>
  <w:style w:type="paragraph" w:styleId="Header">
    <w:name w:val="header"/>
    <w:basedOn w:val="Normal"/>
    <w:link w:val="HeaderChar"/>
    <w:uiPriority w:val="99"/>
    <w:unhideWhenUsed/>
    <w:rsid w:val="00853817"/>
    <w:pPr>
      <w:tabs>
        <w:tab w:val="center" w:pos="4513"/>
        <w:tab w:val="right" w:pos="9026"/>
      </w:tabs>
    </w:pPr>
  </w:style>
  <w:style w:type="character" w:customStyle="1" w:styleId="HeaderChar">
    <w:name w:val="Header Char"/>
    <w:basedOn w:val="DefaultParagraphFont"/>
    <w:link w:val="Header"/>
    <w:uiPriority w:val="99"/>
    <w:rsid w:val="00853817"/>
    <w:rPr>
      <w:rFonts w:ascii="Calibri" w:hAnsi="Calibri" w:cs="Times New Roman"/>
      <w:lang w:eastAsia="en-GB"/>
    </w:rPr>
  </w:style>
  <w:style w:type="paragraph" w:styleId="Footer">
    <w:name w:val="footer"/>
    <w:basedOn w:val="Normal"/>
    <w:link w:val="FooterChar"/>
    <w:uiPriority w:val="99"/>
    <w:unhideWhenUsed/>
    <w:rsid w:val="00853817"/>
    <w:pPr>
      <w:tabs>
        <w:tab w:val="center" w:pos="4513"/>
        <w:tab w:val="right" w:pos="9026"/>
      </w:tabs>
    </w:pPr>
  </w:style>
  <w:style w:type="character" w:customStyle="1" w:styleId="FooterChar">
    <w:name w:val="Footer Char"/>
    <w:basedOn w:val="DefaultParagraphFont"/>
    <w:link w:val="Footer"/>
    <w:uiPriority w:val="99"/>
    <w:rsid w:val="00853817"/>
    <w:rPr>
      <w:rFonts w:ascii="Calibri" w:hAnsi="Calibri" w:cs="Times New Roman"/>
      <w:lang w:eastAsia="en-GB"/>
    </w:rPr>
  </w:style>
  <w:style w:type="table" w:styleId="TableGrid">
    <w:name w:val="Table Grid"/>
    <w:basedOn w:val="TableNormal"/>
    <w:uiPriority w:val="39"/>
    <w:rsid w:val="004F7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255600">
      <w:bodyDiv w:val="1"/>
      <w:marLeft w:val="0"/>
      <w:marRight w:val="0"/>
      <w:marTop w:val="0"/>
      <w:marBottom w:val="0"/>
      <w:divBdr>
        <w:top w:val="none" w:sz="0" w:space="0" w:color="auto"/>
        <w:left w:val="none" w:sz="0" w:space="0" w:color="auto"/>
        <w:bottom w:val="none" w:sz="0" w:space="0" w:color="auto"/>
        <w:right w:val="none" w:sz="0" w:space="0" w:color="auto"/>
      </w:divBdr>
    </w:div>
    <w:div w:id="1293244931">
      <w:bodyDiv w:val="1"/>
      <w:marLeft w:val="0"/>
      <w:marRight w:val="0"/>
      <w:marTop w:val="0"/>
      <w:marBottom w:val="0"/>
      <w:divBdr>
        <w:top w:val="none" w:sz="0" w:space="0" w:color="auto"/>
        <w:left w:val="none" w:sz="0" w:space="0" w:color="auto"/>
        <w:bottom w:val="none" w:sz="0" w:space="0" w:color="auto"/>
        <w:right w:val="none" w:sz="0" w:space="0" w:color="auto"/>
      </w:divBdr>
    </w:div>
    <w:div w:id="142692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1147</Words>
  <Characters>6104</Characters>
  <Application>Microsoft Office Word</Application>
  <DocSecurity>0</DocSecurity>
  <Lines>145</Lines>
  <Paragraphs>69</Paragraphs>
  <ScaleCrop>false</ScaleCrop>
  <HeadingPairs>
    <vt:vector size="2" baseType="variant">
      <vt:variant>
        <vt:lpstr>Title</vt:lpstr>
      </vt:variant>
      <vt:variant>
        <vt:i4>1</vt:i4>
      </vt:variant>
    </vt:vector>
  </HeadingPairs>
  <TitlesOfParts>
    <vt:vector size="1" baseType="lpstr">
      <vt:lpstr>w</vt:lpstr>
    </vt:vector>
  </TitlesOfParts>
  <Company>HSBC</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subject/>
  <dc:creator>nadzatullailaalias@hsbc.com.my</dc:creator>
  <cp:keywords>INTERNAL</cp:keywords>
  <dc:description>INTERNAL</dc:description>
  <cp:lastModifiedBy>monicawychow@hsbc.com.hk</cp:lastModifiedBy>
  <cp:revision>2</cp:revision>
  <dcterms:created xsi:type="dcterms:W3CDTF">2018-09-05T09:28:00Z</dcterms:created>
  <dcterms:modified xsi:type="dcterms:W3CDTF">2018-09-05T09:28:00Z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CLAINTERN</vt:lpwstr>
  </property>
</Properties>
</file>