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5B7" w:rsidRPr="00A87F19" w:rsidRDefault="005B113E" w:rsidP="006365B7">
      <w:pPr>
        <w:rPr>
          <w:b/>
          <w:lang w:val="en-GB"/>
        </w:rPr>
      </w:pPr>
      <w:r w:rsidRPr="00A87F19">
        <w:rPr>
          <w:b/>
          <w:lang w:val="en-GB"/>
        </w:rPr>
        <w:t>3.12.7</w:t>
      </w:r>
      <w:r w:rsidRPr="00A87F19">
        <w:rPr>
          <w:b/>
          <w:lang w:val="en-GB"/>
        </w:rPr>
        <w:tab/>
        <w:t>On actual and contractual payments</w:t>
      </w:r>
    </w:p>
    <w:p w:rsidR="005B113E" w:rsidRPr="00A87F19" w:rsidRDefault="005B113E" w:rsidP="006365B7">
      <w:pPr>
        <w:rPr>
          <w:lang w:val="en-GB"/>
        </w:rPr>
      </w:pPr>
    </w:p>
    <w:p w:rsidR="001C7A54" w:rsidRPr="00551AED" w:rsidRDefault="001C7A54" w:rsidP="006365B7">
      <w:pPr>
        <w:rPr>
          <w:b/>
          <w:lang w:val="en-GB"/>
        </w:rPr>
      </w:pPr>
      <w:r w:rsidRPr="00551AED">
        <w:rPr>
          <w:b/>
          <w:lang w:val="en-GB"/>
        </w:rPr>
        <w:t>3.12.7.1 In general</w:t>
      </w:r>
    </w:p>
    <w:p w:rsidR="005B113E" w:rsidRDefault="00AF294F" w:rsidP="006365B7">
      <w:pPr>
        <w:rPr>
          <w:lang w:val="en-GB"/>
        </w:rPr>
      </w:pPr>
      <w:r>
        <w:rPr>
          <w:lang w:val="en-GB"/>
        </w:rPr>
        <w:t xml:space="preserve">As a general rule </w:t>
      </w:r>
      <w:r w:rsidR="00C85FBD">
        <w:rPr>
          <w:lang w:val="en-GB"/>
        </w:rPr>
        <w:t xml:space="preserve">all </w:t>
      </w:r>
      <w:r w:rsidR="005B113E" w:rsidRPr="005B113E">
        <w:rPr>
          <w:lang w:val="en-GB"/>
        </w:rPr>
        <w:t xml:space="preserve">payments of income proceeds </w:t>
      </w:r>
      <w:r w:rsidR="005B113E">
        <w:rPr>
          <w:lang w:val="en-GB"/>
        </w:rPr>
        <w:t>or</w:t>
      </w:r>
      <w:r w:rsidR="005B113E" w:rsidRPr="005B113E">
        <w:rPr>
          <w:lang w:val="en-GB"/>
        </w:rPr>
        <w:t xml:space="preserve"> capital </w:t>
      </w:r>
      <w:r w:rsidR="00C85FBD">
        <w:rPr>
          <w:lang w:val="en-GB"/>
        </w:rPr>
        <w:t xml:space="preserve">are processed </w:t>
      </w:r>
      <w:r w:rsidR="005B113E">
        <w:rPr>
          <w:lang w:val="en-GB"/>
        </w:rPr>
        <w:t xml:space="preserve">on an actual basis, i.e. each </w:t>
      </w:r>
      <w:r>
        <w:rPr>
          <w:lang w:val="en-GB"/>
        </w:rPr>
        <w:t>intermediary</w:t>
      </w:r>
      <w:r w:rsidR="005B113E">
        <w:rPr>
          <w:lang w:val="en-GB"/>
        </w:rPr>
        <w:t xml:space="preserve"> credits the cash to its </w:t>
      </w:r>
      <w:r>
        <w:rPr>
          <w:lang w:val="en-GB"/>
        </w:rPr>
        <w:t xml:space="preserve">account holders </w:t>
      </w:r>
      <w:r w:rsidR="005B113E">
        <w:rPr>
          <w:lang w:val="en-GB"/>
        </w:rPr>
        <w:t xml:space="preserve">only </w:t>
      </w:r>
      <w:r>
        <w:rPr>
          <w:lang w:val="en-GB"/>
        </w:rPr>
        <w:t xml:space="preserve">upon </w:t>
      </w:r>
      <w:r w:rsidR="005B113E">
        <w:rPr>
          <w:lang w:val="en-GB"/>
        </w:rPr>
        <w:t xml:space="preserve">confirmed receipt of </w:t>
      </w:r>
      <w:r w:rsidR="001C7A54">
        <w:rPr>
          <w:lang w:val="en-GB"/>
        </w:rPr>
        <w:t xml:space="preserve">the funds from their </w:t>
      </w:r>
      <w:r>
        <w:rPr>
          <w:lang w:val="en-GB"/>
        </w:rPr>
        <w:t>up-chain intermediaries</w:t>
      </w:r>
      <w:r w:rsidR="00C85FBD">
        <w:rPr>
          <w:lang w:val="en-GB"/>
        </w:rPr>
        <w:t>, the chain starting with the issuer or its agent.</w:t>
      </w:r>
    </w:p>
    <w:p w:rsidR="001C7A54" w:rsidRDefault="001C7A54" w:rsidP="006365B7">
      <w:pPr>
        <w:rPr>
          <w:lang w:val="en-GB"/>
        </w:rPr>
      </w:pPr>
    </w:p>
    <w:p w:rsidR="001C7A54" w:rsidRDefault="001C7A54" w:rsidP="006365B7">
      <w:pPr>
        <w:rPr>
          <w:lang w:val="en-GB"/>
        </w:rPr>
      </w:pPr>
      <w:r>
        <w:rPr>
          <w:lang w:val="en-GB"/>
        </w:rPr>
        <w:t>With exception of (I)CSDs, any account servicer may</w:t>
      </w:r>
      <w:r w:rsidR="00040E26">
        <w:rPr>
          <w:lang w:val="en-GB"/>
        </w:rPr>
        <w:t xml:space="preserve"> – if the local regulations allow it - </w:t>
      </w:r>
      <w:r w:rsidR="000D3BB0">
        <w:rPr>
          <w:lang w:val="en-GB"/>
        </w:rPr>
        <w:t>offer</w:t>
      </w:r>
      <w:r w:rsidR="00040E26">
        <w:rPr>
          <w:lang w:val="en-GB"/>
        </w:rPr>
        <w:t xml:space="preserve"> a SLA based</w:t>
      </w:r>
      <w:r>
        <w:rPr>
          <w:lang w:val="en-GB"/>
        </w:rPr>
        <w:t xml:space="preserve"> </w:t>
      </w:r>
      <w:r w:rsidR="0019471A">
        <w:rPr>
          <w:lang w:val="en-GB"/>
        </w:rPr>
        <w:t>contractual payment</w:t>
      </w:r>
      <w:r w:rsidR="000D3BB0">
        <w:rPr>
          <w:lang w:val="en-GB"/>
        </w:rPr>
        <w:t xml:space="preserve"> service</w:t>
      </w:r>
      <w:r w:rsidR="00040E26">
        <w:rPr>
          <w:lang w:val="en-GB"/>
        </w:rPr>
        <w:t xml:space="preserve"> to its account holders</w:t>
      </w:r>
      <w:r>
        <w:rPr>
          <w:lang w:val="en-GB"/>
        </w:rPr>
        <w:t xml:space="preserve">, i.e. </w:t>
      </w:r>
      <w:r w:rsidR="00887168">
        <w:rPr>
          <w:lang w:val="en-GB"/>
        </w:rPr>
        <w:t xml:space="preserve">offer </w:t>
      </w:r>
      <w:r w:rsidR="002428FC">
        <w:rPr>
          <w:lang w:val="en-GB"/>
        </w:rPr>
        <w:t xml:space="preserve">to </w:t>
      </w:r>
      <w:r>
        <w:rPr>
          <w:lang w:val="en-GB"/>
        </w:rPr>
        <w:t xml:space="preserve">credit </w:t>
      </w:r>
      <w:r w:rsidR="00040E26">
        <w:rPr>
          <w:lang w:val="en-GB"/>
        </w:rPr>
        <w:t>proceeds</w:t>
      </w:r>
      <w:r>
        <w:rPr>
          <w:lang w:val="en-GB"/>
        </w:rPr>
        <w:t xml:space="preserve"> before the confirmed receipt of the funds</w:t>
      </w:r>
      <w:r w:rsidR="00887168">
        <w:rPr>
          <w:lang w:val="en-GB"/>
        </w:rPr>
        <w:t xml:space="preserve"> from the issuer</w:t>
      </w:r>
      <w:r>
        <w:rPr>
          <w:lang w:val="en-GB"/>
        </w:rPr>
        <w:t xml:space="preserve">, </w:t>
      </w:r>
      <w:r w:rsidR="00887168">
        <w:rPr>
          <w:lang w:val="en-GB"/>
        </w:rPr>
        <w:t xml:space="preserve">thus </w:t>
      </w:r>
      <w:r w:rsidR="00F80090">
        <w:rPr>
          <w:lang w:val="en-GB"/>
        </w:rPr>
        <w:t xml:space="preserve">granting </w:t>
      </w:r>
      <w:r w:rsidR="00040E26">
        <w:rPr>
          <w:lang w:val="en-GB"/>
        </w:rPr>
        <w:t xml:space="preserve">their clients </w:t>
      </w:r>
      <w:r w:rsidR="00F80090">
        <w:rPr>
          <w:lang w:val="en-GB"/>
        </w:rPr>
        <w:t xml:space="preserve">a short-term </w:t>
      </w:r>
      <w:r w:rsidR="00040E26">
        <w:rPr>
          <w:lang w:val="en-GB"/>
        </w:rPr>
        <w:t xml:space="preserve">cost free </w:t>
      </w:r>
      <w:r w:rsidR="00F80090">
        <w:rPr>
          <w:lang w:val="en-GB"/>
        </w:rPr>
        <w:t xml:space="preserve">credit at </w:t>
      </w:r>
      <w:r w:rsidR="002428FC">
        <w:rPr>
          <w:lang w:val="en-GB"/>
        </w:rPr>
        <w:t>the account servicer’s own risk.</w:t>
      </w:r>
    </w:p>
    <w:p w:rsidR="00F80090" w:rsidRDefault="0019471A" w:rsidP="006365B7">
      <w:pPr>
        <w:rPr>
          <w:lang w:val="en-GB"/>
        </w:rPr>
      </w:pPr>
      <w:r>
        <w:rPr>
          <w:lang w:val="en-GB"/>
        </w:rPr>
        <w:t>An account servicer may reverse a c</w:t>
      </w:r>
      <w:r w:rsidR="00F80090">
        <w:rPr>
          <w:lang w:val="en-GB"/>
        </w:rPr>
        <w:t xml:space="preserve">ontractual payment </w:t>
      </w:r>
      <w:r>
        <w:rPr>
          <w:lang w:val="en-GB"/>
        </w:rPr>
        <w:t>at its discretion</w:t>
      </w:r>
      <w:r w:rsidR="00F80090">
        <w:rPr>
          <w:lang w:val="en-GB"/>
        </w:rPr>
        <w:t xml:space="preserve"> should the expected funds not be received </w:t>
      </w:r>
      <w:r>
        <w:rPr>
          <w:lang w:val="en-GB"/>
        </w:rPr>
        <w:t xml:space="preserve">in due time </w:t>
      </w:r>
      <w:r w:rsidR="00F80090">
        <w:rPr>
          <w:lang w:val="en-GB"/>
        </w:rPr>
        <w:t>from the issuer or any intermediary</w:t>
      </w:r>
      <w:r w:rsidR="000D3BB0">
        <w:rPr>
          <w:lang w:val="en-GB"/>
        </w:rPr>
        <w:t xml:space="preserve"> up in the chain</w:t>
      </w:r>
      <w:r w:rsidR="00F80090">
        <w:rPr>
          <w:lang w:val="en-GB"/>
        </w:rPr>
        <w:t>.</w:t>
      </w:r>
    </w:p>
    <w:p w:rsidR="00F80090" w:rsidRDefault="00F80090" w:rsidP="006365B7">
      <w:pPr>
        <w:rPr>
          <w:lang w:val="en-GB"/>
        </w:rPr>
      </w:pPr>
    </w:p>
    <w:p w:rsidR="008105B1" w:rsidRPr="00551AED" w:rsidRDefault="008105B1" w:rsidP="008105B1">
      <w:pPr>
        <w:rPr>
          <w:b/>
          <w:lang w:val="en-GB"/>
        </w:rPr>
      </w:pPr>
      <w:r w:rsidRPr="00551AED">
        <w:rPr>
          <w:b/>
          <w:lang w:val="en-GB"/>
        </w:rPr>
        <w:t xml:space="preserve">3.12.7.2 Use of the </w:t>
      </w:r>
      <w:r w:rsidR="000D3BB0" w:rsidRPr="00551AED">
        <w:rPr>
          <w:b/>
          <w:lang w:val="en-GB"/>
        </w:rPr>
        <w:t>Contractual Payment Indicator (CONT)</w:t>
      </w:r>
      <w:r w:rsidR="0076501F" w:rsidRPr="00551AED">
        <w:rPr>
          <w:b/>
          <w:lang w:val="en-GB"/>
        </w:rPr>
        <w:t xml:space="preserve"> in ISO 15022</w:t>
      </w:r>
    </w:p>
    <w:p w:rsidR="000D3BB0" w:rsidRDefault="000D3BB0" w:rsidP="008105B1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4"/>
        <w:gridCol w:w="428"/>
        <w:gridCol w:w="1946"/>
        <w:gridCol w:w="2374"/>
        <w:gridCol w:w="2374"/>
      </w:tblGrid>
      <w:tr w:rsidR="000D3BB0" w:rsidTr="0076501F">
        <w:tc>
          <w:tcPr>
            <w:tcW w:w="2802" w:type="dxa"/>
            <w:gridSpan w:val="2"/>
            <w:shd w:val="clear" w:color="auto" w:fill="FFB81C"/>
          </w:tcPr>
          <w:p w:rsidR="000D3BB0" w:rsidRPr="0076501F" w:rsidRDefault="000D3BB0" w:rsidP="008105B1">
            <w:pPr>
              <w:rPr>
                <w:b/>
                <w:lang w:val="en-GB"/>
              </w:rPr>
            </w:pPr>
            <w:r w:rsidRPr="0076501F">
              <w:rPr>
                <w:b/>
                <w:lang w:val="en-GB"/>
              </w:rPr>
              <w:t>ISO 15022</w:t>
            </w:r>
          </w:p>
        </w:tc>
        <w:tc>
          <w:tcPr>
            <w:tcW w:w="6694" w:type="dxa"/>
            <w:gridSpan w:val="3"/>
            <w:shd w:val="clear" w:color="auto" w:fill="FFB81C"/>
          </w:tcPr>
          <w:p w:rsidR="000D3BB0" w:rsidRPr="0076501F" w:rsidRDefault="000D3BB0" w:rsidP="008105B1">
            <w:pPr>
              <w:rPr>
                <w:b/>
                <w:lang w:val="en-GB"/>
              </w:rPr>
            </w:pPr>
            <w:r w:rsidRPr="0076501F">
              <w:rPr>
                <w:b/>
                <w:lang w:val="en-GB"/>
              </w:rPr>
              <w:t>ISO 20022</w:t>
            </w:r>
          </w:p>
        </w:tc>
      </w:tr>
      <w:tr w:rsidR="000D3BB0" w:rsidTr="0076501F">
        <w:tc>
          <w:tcPr>
            <w:tcW w:w="2802" w:type="dxa"/>
            <w:gridSpan w:val="2"/>
            <w:tcBorders>
              <w:bottom w:val="single" w:sz="4" w:space="0" w:color="auto"/>
            </w:tcBorders>
          </w:tcPr>
          <w:p w:rsidR="000D3BB0" w:rsidRDefault="000D3BB0" w:rsidP="00CB341B">
            <w:pPr>
              <w:rPr>
                <w:lang w:val="en-GB"/>
              </w:rPr>
            </w:pPr>
            <w:r>
              <w:rPr>
                <w:lang w:val="en-GB"/>
              </w:rPr>
              <w:t>MT564 / E2 / 22</w:t>
            </w:r>
            <w:r w:rsidR="00CB341B">
              <w:rPr>
                <w:lang w:val="en-GB"/>
              </w:rPr>
              <w:t>H</w:t>
            </w:r>
            <w:r>
              <w:rPr>
                <w:lang w:val="en-GB"/>
              </w:rPr>
              <w:t xml:space="preserve"> / CONT</w:t>
            </w:r>
          </w:p>
        </w:tc>
        <w:tc>
          <w:tcPr>
            <w:tcW w:w="6694" w:type="dxa"/>
            <w:gridSpan w:val="3"/>
            <w:tcBorders>
              <w:bottom w:val="single" w:sz="4" w:space="0" w:color="auto"/>
            </w:tcBorders>
          </w:tcPr>
          <w:p w:rsidR="000D3BB0" w:rsidRPr="00617711" w:rsidRDefault="0076501F" w:rsidP="008105B1">
            <w:pPr>
              <w:rPr>
                <w:b/>
                <w:highlight w:val="darkRed"/>
                <w:lang w:val="en-GB"/>
              </w:rPr>
            </w:pPr>
            <w:r w:rsidRPr="00617711">
              <w:rPr>
                <w:b/>
                <w:color w:val="FFFFFF" w:themeColor="background1"/>
                <w:highlight w:val="red"/>
                <w:lang w:val="en-GB"/>
              </w:rPr>
              <w:t>not available</w:t>
            </w:r>
            <w:r w:rsidR="00617711" w:rsidRPr="00617711">
              <w:rPr>
                <w:b/>
                <w:color w:val="FFFFFF" w:themeColor="background1"/>
                <w:highlight w:val="red"/>
                <w:lang w:val="en-GB"/>
              </w:rPr>
              <w:t xml:space="preserve"> in seev.31</w:t>
            </w:r>
            <w:r w:rsidR="00A87F19">
              <w:rPr>
                <w:b/>
                <w:color w:val="FFFFFF" w:themeColor="background1"/>
                <w:highlight w:val="red"/>
                <w:lang w:val="en-GB"/>
              </w:rPr>
              <w:t>, will be introduced with SR 2019</w:t>
            </w:r>
          </w:p>
        </w:tc>
      </w:tr>
      <w:tr w:rsidR="000D3BB0" w:rsidRPr="0076501F" w:rsidTr="0076501F">
        <w:tc>
          <w:tcPr>
            <w:tcW w:w="2374" w:type="dxa"/>
            <w:tcBorders>
              <w:bottom w:val="single" w:sz="4" w:space="0" w:color="auto"/>
            </w:tcBorders>
            <w:shd w:val="clear" w:color="auto" w:fill="FFB81C"/>
          </w:tcPr>
          <w:p w:rsidR="000D3BB0" w:rsidRPr="0076501F" w:rsidRDefault="0076501F" w:rsidP="006365B7">
            <w:pPr>
              <w:rPr>
                <w:b/>
                <w:lang w:val="en-GB"/>
              </w:rPr>
            </w:pPr>
            <w:r w:rsidRPr="0076501F">
              <w:rPr>
                <w:b/>
                <w:lang w:val="en-GB"/>
              </w:rPr>
              <w:t>Decision Date</w:t>
            </w:r>
          </w:p>
        </w:tc>
        <w:tc>
          <w:tcPr>
            <w:tcW w:w="2374" w:type="dxa"/>
            <w:gridSpan w:val="2"/>
            <w:tcBorders>
              <w:bottom w:val="single" w:sz="4" w:space="0" w:color="auto"/>
            </w:tcBorders>
            <w:shd w:val="clear" w:color="auto" w:fill="FFB81C"/>
          </w:tcPr>
          <w:p w:rsidR="000D3BB0" w:rsidRPr="0076501F" w:rsidRDefault="0076501F" w:rsidP="006365B7">
            <w:pPr>
              <w:rPr>
                <w:b/>
                <w:lang w:val="en-GB"/>
              </w:rPr>
            </w:pPr>
            <w:r w:rsidRPr="0076501F">
              <w:rPr>
                <w:b/>
                <w:lang w:val="en-GB"/>
              </w:rPr>
              <w:t>Implementation Date</w:t>
            </w: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FFB81C"/>
          </w:tcPr>
          <w:p w:rsidR="000D3BB0" w:rsidRPr="0076501F" w:rsidRDefault="0076501F" w:rsidP="006365B7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Update Date</w:t>
            </w: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FFB81C"/>
          </w:tcPr>
          <w:p w:rsidR="000D3BB0" w:rsidRPr="0076501F" w:rsidRDefault="0076501F" w:rsidP="006365B7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Open Item Reference</w:t>
            </w:r>
          </w:p>
        </w:tc>
      </w:tr>
      <w:tr w:rsidR="0076501F" w:rsidTr="0076501F">
        <w:tc>
          <w:tcPr>
            <w:tcW w:w="2374" w:type="dxa"/>
            <w:shd w:val="clear" w:color="auto" w:fill="auto"/>
          </w:tcPr>
          <w:p w:rsidR="0076501F" w:rsidRDefault="0076501F" w:rsidP="006365B7">
            <w:pPr>
              <w:rPr>
                <w:lang w:val="en-GB"/>
              </w:rPr>
            </w:pPr>
            <w:r>
              <w:rPr>
                <w:lang w:val="en-GB"/>
              </w:rPr>
              <w:t>2018</w:t>
            </w:r>
          </w:p>
        </w:tc>
        <w:tc>
          <w:tcPr>
            <w:tcW w:w="2374" w:type="dxa"/>
            <w:gridSpan w:val="2"/>
            <w:shd w:val="clear" w:color="auto" w:fill="auto"/>
          </w:tcPr>
          <w:p w:rsidR="0076501F" w:rsidRDefault="00617711" w:rsidP="006365B7">
            <w:pPr>
              <w:rPr>
                <w:lang w:val="en-GB"/>
              </w:rPr>
            </w:pPr>
            <w:r>
              <w:rPr>
                <w:lang w:val="en-GB"/>
              </w:rPr>
              <w:t>2018</w:t>
            </w:r>
          </w:p>
        </w:tc>
        <w:tc>
          <w:tcPr>
            <w:tcW w:w="2374" w:type="dxa"/>
            <w:shd w:val="clear" w:color="auto" w:fill="auto"/>
          </w:tcPr>
          <w:p w:rsidR="0076501F" w:rsidRDefault="0076501F" w:rsidP="006365B7">
            <w:pPr>
              <w:rPr>
                <w:lang w:val="en-GB"/>
              </w:rPr>
            </w:pPr>
            <w:r>
              <w:rPr>
                <w:lang w:val="en-GB"/>
              </w:rPr>
              <w:t>n/a</w:t>
            </w:r>
          </w:p>
        </w:tc>
        <w:tc>
          <w:tcPr>
            <w:tcW w:w="2374" w:type="dxa"/>
            <w:shd w:val="clear" w:color="auto" w:fill="auto"/>
          </w:tcPr>
          <w:p w:rsidR="0076501F" w:rsidRDefault="0076501F" w:rsidP="006365B7">
            <w:pPr>
              <w:rPr>
                <w:lang w:val="en-GB"/>
              </w:rPr>
            </w:pPr>
            <w:r>
              <w:rPr>
                <w:lang w:val="en-GB"/>
              </w:rPr>
              <w:t>NEW</w:t>
            </w:r>
          </w:p>
        </w:tc>
      </w:tr>
    </w:tbl>
    <w:p w:rsidR="00F80090" w:rsidRDefault="00F80090" w:rsidP="006365B7">
      <w:pPr>
        <w:rPr>
          <w:lang w:val="en-GB"/>
        </w:rPr>
      </w:pPr>
    </w:p>
    <w:p w:rsidR="00A87F19" w:rsidRPr="00A87F19" w:rsidRDefault="00A87F19" w:rsidP="006365B7">
      <w:r w:rsidRPr="00A87F19">
        <w:t>For account holders with SLA based contractual payment services:</w:t>
      </w:r>
    </w:p>
    <w:p w:rsidR="0076501F" w:rsidRDefault="00617711" w:rsidP="006365B7">
      <w:pPr>
        <w:rPr>
          <w:lang w:val="en-GB"/>
        </w:rPr>
      </w:pPr>
      <w:r>
        <w:rPr>
          <w:lang w:val="en-GB"/>
        </w:rPr>
        <w:t>The contractual payment indicator qualifier and the</w:t>
      </w:r>
      <w:r w:rsidR="00E22567">
        <w:rPr>
          <w:lang w:val="en-GB"/>
        </w:rPr>
        <w:t xml:space="preserve"> code for</w:t>
      </w:r>
      <w:r>
        <w:rPr>
          <w:lang w:val="en-GB"/>
        </w:rPr>
        <w:t xml:space="preserve"> actual payment [</w:t>
      </w:r>
      <w:r w:rsidRPr="00617711">
        <w:rPr>
          <w:b/>
          <w:lang w:val="en-GB"/>
        </w:rPr>
        <w:t>seq. E2 :22H::CONT//ACTU</w:t>
      </w:r>
      <w:r>
        <w:rPr>
          <w:lang w:val="en-GB"/>
        </w:rPr>
        <w:t xml:space="preserve">] should be used </w:t>
      </w:r>
      <w:r w:rsidR="00E22567">
        <w:rPr>
          <w:lang w:val="en-GB"/>
        </w:rPr>
        <w:t xml:space="preserve">to inform </w:t>
      </w:r>
      <w:r w:rsidR="00A87F19">
        <w:rPr>
          <w:lang w:val="en-GB"/>
        </w:rPr>
        <w:t>them</w:t>
      </w:r>
      <w:r>
        <w:rPr>
          <w:lang w:val="en-GB"/>
        </w:rPr>
        <w:t xml:space="preserve">, that contrary to the previously agreed on </w:t>
      </w:r>
      <w:r w:rsidR="000D086A">
        <w:rPr>
          <w:lang w:val="en-GB"/>
        </w:rPr>
        <w:t xml:space="preserve">contractual </w:t>
      </w:r>
      <w:r>
        <w:rPr>
          <w:lang w:val="en-GB"/>
        </w:rPr>
        <w:t>payment</w:t>
      </w:r>
      <w:r w:rsidR="002428FC">
        <w:rPr>
          <w:lang w:val="en-GB"/>
        </w:rPr>
        <w:t xml:space="preserve"> method</w:t>
      </w:r>
      <w:r w:rsidR="00E22567">
        <w:rPr>
          <w:lang w:val="en-GB"/>
        </w:rPr>
        <w:t xml:space="preserve">, the payment for </w:t>
      </w:r>
      <w:r w:rsidR="00A87F19">
        <w:rPr>
          <w:lang w:val="en-GB"/>
        </w:rPr>
        <w:t>this</w:t>
      </w:r>
      <w:r w:rsidR="00E22567">
        <w:rPr>
          <w:lang w:val="en-GB"/>
        </w:rPr>
        <w:t xml:space="preserve"> event will be</w:t>
      </w:r>
      <w:r>
        <w:rPr>
          <w:lang w:val="en-GB"/>
        </w:rPr>
        <w:t xml:space="preserve"> </w:t>
      </w:r>
      <w:r w:rsidR="00A87F19">
        <w:rPr>
          <w:lang w:val="en-GB"/>
        </w:rPr>
        <w:t xml:space="preserve">made upon </w:t>
      </w:r>
      <w:r>
        <w:rPr>
          <w:lang w:val="en-GB"/>
        </w:rPr>
        <w:t>actual</w:t>
      </w:r>
      <w:r w:rsidR="00A87F19">
        <w:rPr>
          <w:lang w:val="en-GB"/>
        </w:rPr>
        <w:t xml:space="preserve"> receipt of the funds.</w:t>
      </w:r>
    </w:p>
    <w:p w:rsidR="008072E0" w:rsidRDefault="00A87F19" w:rsidP="006365B7">
      <w:pPr>
        <w:rPr>
          <w:lang w:val="en-GB"/>
        </w:rPr>
      </w:pPr>
      <w:r>
        <w:rPr>
          <w:lang w:val="en-GB"/>
        </w:rPr>
        <w:t xml:space="preserve">It is not recommended to use the indicator </w:t>
      </w:r>
      <w:r w:rsidR="00C61616">
        <w:rPr>
          <w:lang w:val="en-GB"/>
        </w:rPr>
        <w:t>if no SLA based contractual payment service is signed, as the actual payment method becomes then the default.</w:t>
      </w:r>
      <w:bookmarkStart w:id="0" w:name="_GoBack"/>
      <w:bookmarkEnd w:id="0"/>
    </w:p>
    <w:p w:rsidR="008072E0" w:rsidRDefault="008072E0" w:rsidP="006365B7">
      <w:pPr>
        <w:rPr>
          <w:lang w:val="en-GB"/>
        </w:rPr>
      </w:pPr>
    </w:p>
    <w:p w:rsidR="00CB341B" w:rsidRDefault="00CB341B" w:rsidP="006365B7">
      <w:pPr>
        <w:rPr>
          <w:lang w:val="en-GB"/>
        </w:rPr>
      </w:pPr>
    </w:p>
    <w:p w:rsidR="00CB341B" w:rsidRPr="00551AED" w:rsidRDefault="00CB341B" w:rsidP="006365B7">
      <w:pPr>
        <w:rPr>
          <w:b/>
          <w:lang w:val="en-GB"/>
        </w:rPr>
      </w:pPr>
      <w:r w:rsidRPr="00551AED">
        <w:rPr>
          <w:b/>
          <w:lang w:val="en-GB"/>
        </w:rPr>
        <w:t>6.12 Contractual Payment Indicator Usage</w:t>
      </w:r>
    </w:p>
    <w:p w:rsidR="00CB341B" w:rsidRDefault="00CB341B" w:rsidP="006365B7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4"/>
        <w:gridCol w:w="428"/>
        <w:gridCol w:w="1946"/>
        <w:gridCol w:w="2374"/>
        <w:gridCol w:w="2374"/>
      </w:tblGrid>
      <w:tr w:rsidR="00CB341B" w:rsidTr="004C5CC0">
        <w:tc>
          <w:tcPr>
            <w:tcW w:w="2802" w:type="dxa"/>
            <w:gridSpan w:val="2"/>
            <w:shd w:val="clear" w:color="auto" w:fill="FFB81C"/>
          </w:tcPr>
          <w:p w:rsidR="00CB341B" w:rsidRPr="0076501F" w:rsidRDefault="00CB341B" w:rsidP="004C5CC0">
            <w:pPr>
              <w:rPr>
                <w:b/>
                <w:lang w:val="en-GB"/>
              </w:rPr>
            </w:pPr>
            <w:r w:rsidRPr="0076501F">
              <w:rPr>
                <w:b/>
                <w:lang w:val="en-GB"/>
              </w:rPr>
              <w:t>ISO 15022</w:t>
            </w:r>
          </w:p>
        </w:tc>
        <w:tc>
          <w:tcPr>
            <w:tcW w:w="6694" w:type="dxa"/>
            <w:gridSpan w:val="3"/>
            <w:shd w:val="clear" w:color="auto" w:fill="FFB81C"/>
          </w:tcPr>
          <w:p w:rsidR="00CB341B" w:rsidRPr="0076501F" w:rsidRDefault="00CB341B" w:rsidP="004C5CC0">
            <w:pPr>
              <w:rPr>
                <w:b/>
                <w:lang w:val="en-GB"/>
              </w:rPr>
            </w:pPr>
            <w:r w:rsidRPr="0076501F">
              <w:rPr>
                <w:b/>
                <w:lang w:val="en-GB"/>
              </w:rPr>
              <w:t>ISO 20022</w:t>
            </w:r>
          </w:p>
        </w:tc>
      </w:tr>
      <w:tr w:rsidR="00CB341B" w:rsidTr="004C5CC0">
        <w:tc>
          <w:tcPr>
            <w:tcW w:w="2802" w:type="dxa"/>
            <w:gridSpan w:val="2"/>
            <w:tcBorders>
              <w:bottom w:val="single" w:sz="4" w:space="0" w:color="auto"/>
            </w:tcBorders>
          </w:tcPr>
          <w:p w:rsidR="00CB341B" w:rsidRDefault="00CB341B" w:rsidP="00CB341B">
            <w:pPr>
              <w:rPr>
                <w:lang w:val="en-GB"/>
              </w:rPr>
            </w:pPr>
            <w:r>
              <w:rPr>
                <w:lang w:val="en-GB"/>
              </w:rPr>
              <w:t>MT566 / D2 / 22H / CONT</w:t>
            </w:r>
          </w:p>
        </w:tc>
        <w:tc>
          <w:tcPr>
            <w:tcW w:w="6694" w:type="dxa"/>
            <w:gridSpan w:val="3"/>
            <w:tcBorders>
              <w:bottom w:val="single" w:sz="4" w:space="0" w:color="auto"/>
            </w:tcBorders>
          </w:tcPr>
          <w:p w:rsidR="00CB341B" w:rsidRDefault="00CB341B" w:rsidP="004C5CC0">
            <w:pPr>
              <w:rPr>
                <w:lang w:val="en-GB"/>
              </w:rPr>
            </w:pPr>
            <w:r>
              <w:rPr>
                <w:lang w:val="en-GB"/>
              </w:rPr>
              <w:t xml:space="preserve">seev.36 </w:t>
            </w:r>
            <w:r w:rsidR="00B850C6">
              <w:rPr>
                <w:lang w:val="en-GB"/>
              </w:rPr>
              <w:t>– E2 / Cash Movement Details / Contractual Payment Indicator</w:t>
            </w:r>
          </w:p>
        </w:tc>
      </w:tr>
      <w:tr w:rsidR="00CB341B" w:rsidRPr="0076501F" w:rsidTr="004C5CC0">
        <w:tc>
          <w:tcPr>
            <w:tcW w:w="2374" w:type="dxa"/>
            <w:tcBorders>
              <w:bottom w:val="single" w:sz="4" w:space="0" w:color="auto"/>
            </w:tcBorders>
            <w:shd w:val="clear" w:color="auto" w:fill="FFB81C"/>
          </w:tcPr>
          <w:p w:rsidR="00CB341B" w:rsidRPr="0076501F" w:rsidRDefault="00CB341B" w:rsidP="004C5CC0">
            <w:pPr>
              <w:rPr>
                <w:b/>
                <w:lang w:val="en-GB"/>
              </w:rPr>
            </w:pPr>
            <w:r w:rsidRPr="0076501F">
              <w:rPr>
                <w:b/>
                <w:lang w:val="en-GB"/>
              </w:rPr>
              <w:t>Decision Date</w:t>
            </w:r>
          </w:p>
        </w:tc>
        <w:tc>
          <w:tcPr>
            <w:tcW w:w="2374" w:type="dxa"/>
            <w:gridSpan w:val="2"/>
            <w:tcBorders>
              <w:bottom w:val="single" w:sz="4" w:space="0" w:color="auto"/>
            </w:tcBorders>
            <w:shd w:val="clear" w:color="auto" w:fill="FFB81C"/>
          </w:tcPr>
          <w:p w:rsidR="00CB341B" w:rsidRPr="0076501F" w:rsidRDefault="00CB341B" w:rsidP="004C5CC0">
            <w:pPr>
              <w:rPr>
                <w:b/>
                <w:lang w:val="en-GB"/>
              </w:rPr>
            </w:pPr>
            <w:r w:rsidRPr="0076501F">
              <w:rPr>
                <w:b/>
                <w:lang w:val="en-GB"/>
              </w:rPr>
              <w:t>Implementation Date</w:t>
            </w: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FFB81C"/>
          </w:tcPr>
          <w:p w:rsidR="00CB341B" w:rsidRPr="0076501F" w:rsidRDefault="00CB341B" w:rsidP="004C5CC0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Update Date</w:t>
            </w: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FFB81C"/>
          </w:tcPr>
          <w:p w:rsidR="00CB341B" w:rsidRPr="0076501F" w:rsidRDefault="00CB341B" w:rsidP="004C5CC0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Open Item Reference</w:t>
            </w:r>
          </w:p>
        </w:tc>
      </w:tr>
      <w:tr w:rsidR="00CB341B" w:rsidTr="004C5CC0">
        <w:tc>
          <w:tcPr>
            <w:tcW w:w="2374" w:type="dxa"/>
            <w:shd w:val="clear" w:color="auto" w:fill="auto"/>
          </w:tcPr>
          <w:p w:rsidR="00CB341B" w:rsidRDefault="00CB341B" w:rsidP="004C5CC0">
            <w:pPr>
              <w:rPr>
                <w:lang w:val="en-GB"/>
              </w:rPr>
            </w:pPr>
            <w:r>
              <w:rPr>
                <w:lang w:val="en-GB"/>
              </w:rPr>
              <w:t>2018</w:t>
            </w:r>
          </w:p>
        </w:tc>
        <w:tc>
          <w:tcPr>
            <w:tcW w:w="2374" w:type="dxa"/>
            <w:gridSpan w:val="2"/>
            <w:shd w:val="clear" w:color="auto" w:fill="auto"/>
          </w:tcPr>
          <w:p w:rsidR="00CB341B" w:rsidRDefault="00CB341B" w:rsidP="004C5CC0">
            <w:pPr>
              <w:rPr>
                <w:lang w:val="en-GB"/>
              </w:rPr>
            </w:pPr>
            <w:r>
              <w:rPr>
                <w:lang w:val="en-GB"/>
              </w:rPr>
              <w:t>2018</w:t>
            </w:r>
          </w:p>
        </w:tc>
        <w:tc>
          <w:tcPr>
            <w:tcW w:w="2374" w:type="dxa"/>
            <w:shd w:val="clear" w:color="auto" w:fill="auto"/>
          </w:tcPr>
          <w:p w:rsidR="00CB341B" w:rsidRDefault="00CB341B" w:rsidP="004C5CC0">
            <w:pPr>
              <w:rPr>
                <w:lang w:val="en-GB"/>
              </w:rPr>
            </w:pPr>
            <w:r>
              <w:rPr>
                <w:lang w:val="en-GB"/>
              </w:rPr>
              <w:t>n/a</w:t>
            </w:r>
          </w:p>
        </w:tc>
        <w:tc>
          <w:tcPr>
            <w:tcW w:w="2374" w:type="dxa"/>
            <w:shd w:val="clear" w:color="auto" w:fill="auto"/>
          </w:tcPr>
          <w:p w:rsidR="00CB341B" w:rsidRDefault="00CB341B" w:rsidP="004C5CC0">
            <w:pPr>
              <w:rPr>
                <w:lang w:val="en-GB"/>
              </w:rPr>
            </w:pPr>
            <w:r>
              <w:rPr>
                <w:lang w:val="en-GB"/>
              </w:rPr>
              <w:t>NEW</w:t>
            </w:r>
          </w:p>
        </w:tc>
      </w:tr>
    </w:tbl>
    <w:p w:rsidR="00CB341B" w:rsidRDefault="00CB341B" w:rsidP="006365B7">
      <w:pPr>
        <w:rPr>
          <w:lang w:val="en-GB"/>
        </w:rPr>
      </w:pPr>
    </w:p>
    <w:p w:rsidR="00B850C6" w:rsidRDefault="00707FA0" w:rsidP="006365B7">
      <w:pPr>
        <w:rPr>
          <w:lang w:val="en-GB"/>
        </w:rPr>
      </w:pPr>
      <w:r>
        <w:rPr>
          <w:lang w:val="en-GB"/>
        </w:rPr>
        <w:t xml:space="preserve">In comparison </w:t>
      </w:r>
      <w:r w:rsidR="006861AC">
        <w:rPr>
          <w:lang w:val="en-GB"/>
        </w:rPr>
        <w:t>to the usage in t</w:t>
      </w:r>
      <w:r>
        <w:rPr>
          <w:lang w:val="en-GB"/>
        </w:rPr>
        <w:t>he N</w:t>
      </w:r>
      <w:r w:rsidR="006861AC">
        <w:rPr>
          <w:lang w:val="en-GB"/>
        </w:rPr>
        <w:t xml:space="preserve">otification Message </w:t>
      </w:r>
      <w:r w:rsidR="006861AC" w:rsidRPr="00B850C6">
        <w:rPr>
          <w:b/>
          <w:lang w:val="en-GB"/>
        </w:rPr>
        <w:t>[MT564 – seev.31</w:t>
      </w:r>
      <w:r w:rsidR="006861AC">
        <w:rPr>
          <w:lang w:val="en-GB"/>
        </w:rPr>
        <w:t xml:space="preserve">] (see 3.12.7), </w:t>
      </w:r>
      <w:r>
        <w:rPr>
          <w:lang w:val="en-GB"/>
        </w:rPr>
        <w:t xml:space="preserve">the </w:t>
      </w:r>
      <w:r w:rsidR="00B850C6">
        <w:rPr>
          <w:lang w:val="en-GB"/>
        </w:rPr>
        <w:t xml:space="preserve">usage of the Contractual Payment Indicator in </w:t>
      </w:r>
      <w:r w:rsidR="006861AC">
        <w:rPr>
          <w:lang w:val="en-GB"/>
        </w:rPr>
        <w:t xml:space="preserve">the </w:t>
      </w:r>
      <w:r w:rsidR="00B850C6">
        <w:rPr>
          <w:lang w:val="en-GB"/>
        </w:rPr>
        <w:t xml:space="preserve">Confirmation </w:t>
      </w:r>
      <w:r w:rsidR="006861AC">
        <w:rPr>
          <w:lang w:val="en-GB"/>
        </w:rPr>
        <w:t>M</w:t>
      </w:r>
      <w:r w:rsidR="00B850C6">
        <w:rPr>
          <w:lang w:val="en-GB"/>
        </w:rPr>
        <w:t>essage [</w:t>
      </w:r>
      <w:r w:rsidR="00B850C6" w:rsidRPr="00B850C6">
        <w:rPr>
          <w:b/>
          <w:lang w:val="en-GB"/>
        </w:rPr>
        <w:t>MT566 – seev36</w:t>
      </w:r>
      <w:r w:rsidR="00B850C6">
        <w:rPr>
          <w:lang w:val="en-GB"/>
        </w:rPr>
        <w:t xml:space="preserve">] differs </w:t>
      </w:r>
      <w:r w:rsidR="006861AC">
        <w:rPr>
          <w:lang w:val="en-GB"/>
        </w:rPr>
        <w:t>as there are two codes</w:t>
      </w:r>
      <w:r w:rsidR="00001BFB">
        <w:rPr>
          <w:lang w:val="en-GB"/>
        </w:rPr>
        <w:t xml:space="preserve">: </w:t>
      </w:r>
      <w:r w:rsidR="006861AC">
        <w:rPr>
          <w:lang w:val="en-GB"/>
        </w:rPr>
        <w:t>Actual [</w:t>
      </w:r>
      <w:r w:rsidR="006861AC" w:rsidRPr="006861AC">
        <w:rPr>
          <w:b/>
          <w:lang w:val="en-GB"/>
        </w:rPr>
        <w:t>ACTU</w:t>
      </w:r>
      <w:r w:rsidR="006861AC">
        <w:rPr>
          <w:lang w:val="en-GB"/>
        </w:rPr>
        <w:t>]</w:t>
      </w:r>
      <w:r w:rsidR="007A75F0">
        <w:rPr>
          <w:lang w:val="en-GB"/>
        </w:rPr>
        <w:t xml:space="preserve"> and Contractual [</w:t>
      </w:r>
      <w:r w:rsidR="007A75F0" w:rsidRPr="006861AC">
        <w:rPr>
          <w:b/>
          <w:lang w:val="en-GB"/>
        </w:rPr>
        <w:t>CONT</w:t>
      </w:r>
      <w:r w:rsidR="007A75F0">
        <w:rPr>
          <w:lang w:val="en-GB"/>
        </w:rPr>
        <w:t>]</w:t>
      </w:r>
      <w:r w:rsidR="006861AC">
        <w:rPr>
          <w:lang w:val="en-GB"/>
        </w:rPr>
        <w:t>.</w:t>
      </w:r>
    </w:p>
    <w:p w:rsidR="006861AC" w:rsidRDefault="007A75F0" w:rsidP="006365B7">
      <w:pPr>
        <w:rPr>
          <w:lang w:val="en-GB"/>
        </w:rPr>
      </w:pPr>
      <w:r>
        <w:rPr>
          <w:lang w:val="en-GB"/>
        </w:rPr>
        <w:t>By setting the appropriate code, an</w:t>
      </w:r>
      <w:r w:rsidR="006861AC">
        <w:rPr>
          <w:lang w:val="en-GB"/>
        </w:rPr>
        <w:t xml:space="preserve"> account servicer </w:t>
      </w:r>
      <w:r>
        <w:rPr>
          <w:lang w:val="en-GB"/>
        </w:rPr>
        <w:t>informs the account holder whether the payment was executed upon receipt of the proceeds from the issuer [</w:t>
      </w:r>
      <w:r w:rsidRPr="006861AC">
        <w:rPr>
          <w:b/>
          <w:lang w:val="en-GB"/>
        </w:rPr>
        <w:t>ACTU</w:t>
      </w:r>
      <w:r>
        <w:rPr>
          <w:lang w:val="en-GB"/>
        </w:rPr>
        <w:t>] or not [</w:t>
      </w:r>
      <w:r w:rsidRPr="006861AC">
        <w:rPr>
          <w:b/>
          <w:lang w:val="en-GB"/>
        </w:rPr>
        <w:t>CONT</w:t>
      </w:r>
      <w:r>
        <w:rPr>
          <w:lang w:val="en-GB"/>
        </w:rPr>
        <w:t>].</w:t>
      </w:r>
    </w:p>
    <w:p w:rsidR="006861AC" w:rsidRDefault="006861AC" w:rsidP="006365B7">
      <w:pPr>
        <w:rPr>
          <w:lang w:val="en-GB"/>
        </w:rPr>
      </w:pPr>
    </w:p>
    <w:sectPr w:rsidR="006861AC" w:rsidSect="00A06BB3">
      <w:footerReference w:type="default" r:id="rId12"/>
      <w:pgSz w:w="11907" w:h="16839" w:code="9"/>
      <w:pgMar w:top="1985" w:right="737" w:bottom="1134" w:left="1814" w:header="703" w:footer="703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13E" w:rsidRDefault="005B113E" w:rsidP="00D91F59">
      <w:r>
        <w:separator/>
      </w:r>
    </w:p>
  </w:endnote>
  <w:endnote w:type="continuationSeparator" w:id="0">
    <w:p w:rsidR="005B113E" w:rsidRDefault="005B113E" w:rsidP="00D91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redit Suisse Type Light">
    <w:panose1 w:val="020B0303040503020204"/>
    <w:charset w:val="00"/>
    <w:family w:val="swiss"/>
    <w:pitch w:val="variable"/>
    <w:sig w:usb0="800002AF" w:usb1="5000204A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redit Suisse Headline">
    <w:panose1 w:val="020B0504030101020102"/>
    <w:charset w:val="00"/>
    <w:family w:val="swiss"/>
    <w:pitch w:val="variable"/>
    <w:sig w:usb0="A00000EF" w:usb1="400020FB" w:usb2="00000008" w:usb3="00000000" w:csb0="00000093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57D" w:rsidRPr="00A7457D" w:rsidRDefault="00A7457D" w:rsidP="00403D1C">
    <w:pPr>
      <w:rPr>
        <w:color w:val="3F3F3F" w:themeColor="text2" w:themeShade="80"/>
        <w:szCs w:val="20"/>
      </w:rPr>
    </w:pPr>
    <w:r w:rsidRPr="00A7457D">
      <w:rPr>
        <w:noProof/>
        <w:szCs w:val="20"/>
        <w:lang w:val="de-CH"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C436FC" wp14:editId="787E4ECA">
              <wp:simplePos x="0" y="0"/>
              <mc:AlternateContent>
                <mc:Choice Requires="wp14">
                  <wp:positionH relativeFrom="page">
                    <wp14:pctPosHOffset>88000</wp14:pctPosHOffset>
                  </wp:positionH>
                </mc:Choice>
                <mc:Fallback>
                  <wp:positionH relativeFrom="page">
                    <wp:posOffset>6653530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9944100</wp:posOffset>
                  </wp:positionV>
                </mc:Fallback>
              </mc:AlternateContent>
              <wp:extent cx="388620" cy="313055"/>
              <wp:effectExtent l="0" t="0" r="3175" b="0"/>
              <wp:wrapNone/>
              <wp:docPr id="49" name="Text Box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7457D" w:rsidRPr="00A7457D" w:rsidRDefault="00A7457D" w:rsidP="00A7457D">
                          <w:pPr>
                            <w:jc w:val="right"/>
                            <w:rPr>
                              <w:color w:val="3F3F3F" w:themeColor="text2" w:themeShade="80"/>
                              <w:szCs w:val="20"/>
                            </w:rPr>
                          </w:pPr>
                          <w:r w:rsidRPr="00A7457D">
                            <w:rPr>
                              <w:color w:val="3F3F3F" w:themeColor="text2" w:themeShade="80"/>
                              <w:szCs w:val="20"/>
                            </w:rPr>
                            <w:fldChar w:fldCharType="begin"/>
                          </w:r>
                          <w:r w:rsidRPr="00A7457D">
                            <w:rPr>
                              <w:color w:val="3F3F3F" w:themeColor="text2" w:themeShade="80"/>
                              <w:szCs w:val="20"/>
                            </w:rPr>
                            <w:instrText xml:space="preserve"> PAGE  \* Arabic  \* MERGEFORMAT </w:instrText>
                          </w:r>
                          <w:r w:rsidRPr="00A7457D">
                            <w:rPr>
                              <w:color w:val="3F3F3F" w:themeColor="text2" w:themeShade="80"/>
                              <w:szCs w:val="20"/>
                            </w:rPr>
                            <w:fldChar w:fldCharType="separate"/>
                          </w:r>
                          <w:r w:rsidR="001A7D98">
                            <w:rPr>
                              <w:noProof/>
                              <w:color w:val="3F3F3F" w:themeColor="text2" w:themeShade="80"/>
                              <w:szCs w:val="20"/>
                            </w:rPr>
                            <w:t>1</w:t>
                          </w:r>
                          <w:r w:rsidRPr="00A7457D">
                            <w:rPr>
                              <w:color w:val="3F3F3F" w:themeColor="text2" w:themeShade="8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6" type="#_x0000_t202" style="position:absolute;margin-left:0;margin-top:0;width:30.6pt;height:24.65pt;z-index:251659264;visibility:visible;mso-wrap-style:square;mso-width-percent:50;mso-height-percent:50;mso-left-percent:880;mso-top-percent:930;mso-wrap-distance-left:9pt;mso-wrap-distance-top:0;mso-wrap-distance-right:9pt;mso-wrap-distance-bottom:0;mso-position-horizontal-relative:page;mso-position-vertical-relative:page;mso-width-percent:50;mso-height-percent:50;mso-left-percent:88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" fillcolor="white [3201]" stroked="f" strokeweight=".5pt">
              <v:textbox style="mso-fit-shape-to-text:t" inset="0,,0">
                <w:txbxContent>
                  <w:p w:rsidR="00A7457D" w:rsidRPr="00A7457D" w:rsidRDefault="00A7457D" w:rsidP="00A7457D">
                    <w:pPr>
                      <w:jc w:val="right"/>
                      <w:rPr>
                        <w:color w:val="3F3F3F" w:themeColor="text2" w:themeShade="80"/>
                        <w:szCs w:val="20"/>
                      </w:rPr>
                    </w:pPr>
                    <w:r w:rsidRPr="00A7457D">
                      <w:rPr>
                        <w:color w:val="3F3F3F" w:themeColor="text2" w:themeShade="80"/>
                        <w:szCs w:val="20"/>
                      </w:rPr>
                      <w:fldChar w:fldCharType="begin"/>
                    </w:r>
                    <w:r w:rsidRPr="00A7457D">
                      <w:rPr>
                        <w:color w:val="3F3F3F" w:themeColor="text2" w:themeShade="80"/>
                        <w:szCs w:val="20"/>
                      </w:rPr>
                      <w:instrText xml:space="preserve"> PAGE  \* Arabic  \* MERGEFORMAT </w:instrText>
                    </w:r>
                    <w:r w:rsidRPr="00A7457D">
                      <w:rPr>
                        <w:color w:val="3F3F3F" w:themeColor="text2" w:themeShade="80"/>
                        <w:szCs w:val="20"/>
                      </w:rPr>
                      <w:fldChar w:fldCharType="separate"/>
                    </w:r>
                    <w:r w:rsidR="001A7D98">
                      <w:rPr>
                        <w:noProof/>
                        <w:color w:val="3F3F3F" w:themeColor="text2" w:themeShade="80"/>
                        <w:szCs w:val="20"/>
                      </w:rPr>
                      <w:t>1</w:t>
                    </w:r>
                    <w:r w:rsidRPr="00A7457D">
                      <w:rPr>
                        <w:color w:val="3F3F3F" w:themeColor="text2" w:themeShade="8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13E" w:rsidRDefault="005B113E" w:rsidP="00D91F59">
      <w:r>
        <w:separator/>
      </w:r>
    </w:p>
  </w:footnote>
  <w:footnote w:type="continuationSeparator" w:id="0">
    <w:p w:rsidR="005B113E" w:rsidRDefault="005B113E" w:rsidP="00D91F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8E82BC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D0EED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65103E4"/>
    <w:multiLevelType w:val="multilevel"/>
    <w:tmpl w:val="FCF615A8"/>
    <w:numStyleLink w:val="ListCS"/>
  </w:abstractNum>
  <w:abstractNum w:abstractNumId="3">
    <w:nsid w:val="22D03EA2"/>
    <w:multiLevelType w:val="multilevel"/>
    <w:tmpl w:val="FCF615A8"/>
    <w:numStyleLink w:val="ListCS"/>
  </w:abstractNum>
  <w:abstractNum w:abstractNumId="4">
    <w:nsid w:val="237F07CE"/>
    <w:multiLevelType w:val="multilevel"/>
    <w:tmpl w:val="FCF615A8"/>
    <w:styleLink w:val="ListCS"/>
    <w:lvl w:ilvl="0">
      <w:start w:val="1"/>
      <w:numFmt w:val="bullet"/>
      <w:pStyle w:val="ListBullet"/>
      <w:lvlText w:val=""/>
      <w:lvlJc w:val="left"/>
      <w:pPr>
        <w:ind w:left="198" w:hanging="198"/>
      </w:pPr>
      <w:rPr>
        <w:rFonts w:ascii="Credit Suisse Type Light" w:hAnsi="Credit Suisse Type Light" w:cs="Times New Roman" w:hint="default"/>
        <w:color w:val="A6A6A6" w:themeColor="background1" w:themeShade="A6"/>
      </w:rPr>
    </w:lvl>
    <w:lvl w:ilvl="1">
      <w:start w:val="1"/>
      <w:numFmt w:val="bullet"/>
      <w:pStyle w:val="ListBullet2"/>
      <w:lvlText w:val="−"/>
      <w:lvlJc w:val="left"/>
      <w:pPr>
        <w:ind w:left="396" w:hanging="198"/>
      </w:pPr>
      <w:rPr>
        <w:rFonts w:ascii="Credit Suisse Type Light" w:hAnsi="Credit Suisse Type Light" w:cs="Times New Roman" w:hint="default"/>
        <w:color w:val="auto"/>
      </w:rPr>
    </w:lvl>
    <w:lvl w:ilvl="2">
      <w:start w:val="1"/>
      <w:numFmt w:val="bullet"/>
      <w:lvlText w:val=""/>
      <w:lvlJc w:val="left"/>
      <w:pPr>
        <w:tabs>
          <w:tab w:val="num" w:pos="2835"/>
        </w:tabs>
        <w:ind w:left="594" w:hanging="198"/>
      </w:pPr>
      <w:rPr>
        <w:rFonts w:ascii="Credit Suisse Type Light" w:hAnsi="Credit Suisse Type Light" w:cs="Times New Roman" w:hint="default"/>
        <w:color w:val="A6A6A6" w:themeColor="background1" w:themeShade="A6"/>
      </w:rPr>
    </w:lvl>
    <w:lvl w:ilvl="3">
      <w:start w:val="1"/>
      <w:numFmt w:val="bullet"/>
      <w:lvlText w:val="−"/>
      <w:lvlJc w:val="left"/>
      <w:pPr>
        <w:tabs>
          <w:tab w:val="num" w:pos="5670"/>
        </w:tabs>
        <w:ind w:left="792" w:hanging="198"/>
      </w:pPr>
      <w:rPr>
        <w:rFonts w:ascii="Credit Suisse Type Light" w:hAnsi="Credit Suisse Type Light" w:cs="Times New Roman" w:hint="default"/>
        <w:color w:val="auto"/>
      </w:rPr>
    </w:lvl>
    <w:lvl w:ilvl="4">
      <w:start w:val="1"/>
      <w:numFmt w:val="bullet"/>
      <w:lvlText w:val=""/>
      <w:lvlJc w:val="left"/>
      <w:pPr>
        <w:ind w:left="990" w:hanging="198"/>
      </w:pPr>
      <w:rPr>
        <w:rFonts w:ascii="Credit Suisse Type Light" w:hAnsi="Credit Suisse Type Light" w:cs="Times New Roman" w:hint="default"/>
        <w:color w:val="A6A6A6" w:themeColor="background1" w:themeShade="A6"/>
      </w:rPr>
    </w:lvl>
    <w:lvl w:ilvl="5">
      <w:start w:val="1"/>
      <w:numFmt w:val="bullet"/>
      <w:lvlText w:val="−"/>
      <w:lvlJc w:val="left"/>
      <w:pPr>
        <w:ind w:left="1188" w:hanging="198"/>
      </w:pPr>
      <w:rPr>
        <w:rFonts w:ascii="Credit Suisse Type Light" w:hAnsi="Credit Suisse Type Light" w:cs="Times New Roman" w:hint="default"/>
        <w:color w:val="auto"/>
      </w:rPr>
    </w:lvl>
    <w:lvl w:ilvl="6">
      <w:start w:val="1"/>
      <w:numFmt w:val="bullet"/>
      <w:lvlText w:val=""/>
      <w:lvlJc w:val="left"/>
      <w:pPr>
        <w:ind w:left="1389" w:hanging="201"/>
      </w:pPr>
      <w:rPr>
        <w:rFonts w:ascii="Credit Suisse Type Light" w:hAnsi="Credit Suisse Type Light" w:cs="Times New Roman" w:hint="default"/>
        <w:color w:val="A6A6A6" w:themeColor="background1" w:themeShade="A6"/>
      </w:rPr>
    </w:lvl>
    <w:lvl w:ilvl="7">
      <w:start w:val="1"/>
      <w:numFmt w:val="bullet"/>
      <w:lvlText w:val="−"/>
      <w:lvlJc w:val="left"/>
      <w:pPr>
        <w:ind w:left="1588" w:hanging="199"/>
      </w:pPr>
      <w:rPr>
        <w:rFonts w:ascii="Credit Suisse Type Light" w:hAnsi="Credit Suisse Type Light" w:cs="Times New Roman" w:hint="default"/>
        <w:color w:val="auto"/>
      </w:rPr>
    </w:lvl>
    <w:lvl w:ilvl="8">
      <w:start w:val="1"/>
      <w:numFmt w:val="bullet"/>
      <w:lvlText w:val=""/>
      <w:lvlJc w:val="left"/>
      <w:pPr>
        <w:ind w:left="1786" w:hanging="198"/>
      </w:pPr>
      <w:rPr>
        <w:rFonts w:ascii="Credit Suisse Type Light" w:hAnsi="Credit Suisse Type Light" w:cs="Times New Roman" w:hint="default"/>
        <w:color w:val="A6A6A6" w:themeColor="background1" w:themeShade="A6"/>
      </w:rPr>
    </w:lvl>
  </w:abstractNum>
  <w:abstractNum w:abstractNumId="5">
    <w:nsid w:val="2B564BD9"/>
    <w:multiLevelType w:val="hybridMultilevel"/>
    <w:tmpl w:val="C70482D8"/>
    <w:lvl w:ilvl="0" w:tplc="5F56044A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8A50A2"/>
    <w:multiLevelType w:val="multilevel"/>
    <w:tmpl w:val="FCF615A8"/>
    <w:numStyleLink w:val="ListCS"/>
  </w:abstractNum>
  <w:abstractNum w:abstractNumId="7">
    <w:nsid w:val="34E86371"/>
    <w:multiLevelType w:val="multilevel"/>
    <w:tmpl w:val="FCF615A8"/>
    <w:numStyleLink w:val="ListCS"/>
  </w:abstractNum>
  <w:abstractNum w:abstractNumId="8">
    <w:nsid w:val="3531541D"/>
    <w:multiLevelType w:val="multilevel"/>
    <w:tmpl w:val="FCF615A8"/>
    <w:numStyleLink w:val="ListCS"/>
  </w:abstractNum>
  <w:abstractNum w:abstractNumId="9">
    <w:nsid w:val="6C164AC3"/>
    <w:multiLevelType w:val="hybridMultilevel"/>
    <w:tmpl w:val="EBDA9D34"/>
    <w:lvl w:ilvl="0" w:tplc="0FDA78E8">
      <w:start w:val="1"/>
      <w:numFmt w:val="bullet"/>
      <w:lvlText w:val=""/>
      <w:lvlJc w:val="left"/>
      <w:pPr>
        <w:ind w:left="720" w:hanging="360"/>
      </w:pPr>
      <w:rPr>
        <w:rFonts w:ascii="Credit Suisse Type Light" w:hAnsi="Credit Suisse Type Light" w:cs="Credit Suisse Type Light" w:hint="default"/>
        <w:color w:val="A6A6A6" w:themeColor="background1" w:themeShade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9"/>
  </w:num>
  <w:num w:numId="5">
    <w:abstractNumId w:val="2"/>
  </w:num>
  <w:num w:numId="6">
    <w:abstractNumId w:val="7"/>
  </w:num>
  <w:num w:numId="7">
    <w:abstractNumId w:val="8"/>
  </w:num>
  <w:num w:numId="8">
    <w:abstractNumId w:val="6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13E"/>
    <w:rsid w:val="0000041D"/>
    <w:rsid w:val="00001BFB"/>
    <w:rsid w:val="000144B8"/>
    <w:rsid w:val="00033348"/>
    <w:rsid w:val="0004045D"/>
    <w:rsid w:val="00040E26"/>
    <w:rsid w:val="00055C3A"/>
    <w:rsid w:val="00064279"/>
    <w:rsid w:val="000716DB"/>
    <w:rsid w:val="0007327B"/>
    <w:rsid w:val="00084D15"/>
    <w:rsid w:val="00090DC1"/>
    <w:rsid w:val="000D086A"/>
    <w:rsid w:val="000D3BB0"/>
    <w:rsid w:val="000E0B74"/>
    <w:rsid w:val="000F49D0"/>
    <w:rsid w:val="0010658C"/>
    <w:rsid w:val="001164A0"/>
    <w:rsid w:val="0019471A"/>
    <w:rsid w:val="001A2A9B"/>
    <w:rsid w:val="001A7D98"/>
    <w:rsid w:val="001C50EC"/>
    <w:rsid w:val="001C7A54"/>
    <w:rsid w:val="001D27B4"/>
    <w:rsid w:val="001E010B"/>
    <w:rsid w:val="001F10A7"/>
    <w:rsid w:val="00220C54"/>
    <w:rsid w:val="00224603"/>
    <w:rsid w:val="002428FC"/>
    <w:rsid w:val="00242C30"/>
    <w:rsid w:val="00245E5E"/>
    <w:rsid w:val="00266220"/>
    <w:rsid w:val="002A40FF"/>
    <w:rsid w:val="002A42B8"/>
    <w:rsid w:val="002B65A8"/>
    <w:rsid w:val="003271DE"/>
    <w:rsid w:val="00345889"/>
    <w:rsid w:val="00370E6D"/>
    <w:rsid w:val="003810CF"/>
    <w:rsid w:val="00403D1C"/>
    <w:rsid w:val="004047B4"/>
    <w:rsid w:val="00445B2A"/>
    <w:rsid w:val="00452CE5"/>
    <w:rsid w:val="004630C4"/>
    <w:rsid w:val="004B1475"/>
    <w:rsid w:val="004C0E79"/>
    <w:rsid w:val="004D747F"/>
    <w:rsid w:val="0051309E"/>
    <w:rsid w:val="00551AED"/>
    <w:rsid w:val="00591B4C"/>
    <w:rsid w:val="005A7AA1"/>
    <w:rsid w:val="005B113E"/>
    <w:rsid w:val="005B4018"/>
    <w:rsid w:val="005B6232"/>
    <w:rsid w:val="005B7325"/>
    <w:rsid w:val="005C1598"/>
    <w:rsid w:val="005C18C3"/>
    <w:rsid w:val="005D7BA3"/>
    <w:rsid w:val="005E299A"/>
    <w:rsid w:val="0061315F"/>
    <w:rsid w:val="00617711"/>
    <w:rsid w:val="006365B7"/>
    <w:rsid w:val="006861AC"/>
    <w:rsid w:val="00697EA7"/>
    <w:rsid w:val="006C37E4"/>
    <w:rsid w:val="00707FA0"/>
    <w:rsid w:val="00746C09"/>
    <w:rsid w:val="00760446"/>
    <w:rsid w:val="0076501F"/>
    <w:rsid w:val="00770E55"/>
    <w:rsid w:val="00783CA6"/>
    <w:rsid w:val="007941AA"/>
    <w:rsid w:val="007A75F0"/>
    <w:rsid w:val="007D3A59"/>
    <w:rsid w:val="008072E0"/>
    <w:rsid w:val="008105B1"/>
    <w:rsid w:val="00816014"/>
    <w:rsid w:val="00830943"/>
    <w:rsid w:val="00844C0C"/>
    <w:rsid w:val="00845E77"/>
    <w:rsid w:val="00887168"/>
    <w:rsid w:val="008C0CC5"/>
    <w:rsid w:val="008F35AB"/>
    <w:rsid w:val="0094120A"/>
    <w:rsid w:val="009770D7"/>
    <w:rsid w:val="009862A2"/>
    <w:rsid w:val="00991EA9"/>
    <w:rsid w:val="009B1927"/>
    <w:rsid w:val="009B5934"/>
    <w:rsid w:val="009C0BB6"/>
    <w:rsid w:val="009F4728"/>
    <w:rsid w:val="00A06BB3"/>
    <w:rsid w:val="00A171E2"/>
    <w:rsid w:val="00A31F05"/>
    <w:rsid w:val="00A342FD"/>
    <w:rsid w:val="00A605B5"/>
    <w:rsid w:val="00A624E6"/>
    <w:rsid w:val="00A7457D"/>
    <w:rsid w:val="00A80B06"/>
    <w:rsid w:val="00A87F19"/>
    <w:rsid w:val="00AA24D6"/>
    <w:rsid w:val="00AB309D"/>
    <w:rsid w:val="00AB78D3"/>
    <w:rsid w:val="00AF294F"/>
    <w:rsid w:val="00AF647E"/>
    <w:rsid w:val="00B1772E"/>
    <w:rsid w:val="00B40B54"/>
    <w:rsid w:val="00B4749A"/>
    <w:rsid w:val="00B850C6"/>
    <w:rsid w:val="00BA13DE"/>
    <w:rsid w:val="00BD430E"/>
    <w:rsid w:val="00C60CAD"/>
    <w:rsid w:val="00C61616"/>
    <w:rsid w:val="00C625A4"/>
    <w:rsid w:val="00C66184"/>
    <w:rsid w:val="00C70177"/>
    <w:rsid w:val="00C854AF"/>
    <w:rsid w:val="00C85FBD"/>
    <w:rsid w:val="00CB32DF"/>
    <w:rsid w:val="00CB341B"/>
    <w:rsid w:val="00CC7830"/>
    <w:rsid w:val="00CE7149"/>
    <w:rsid w:val="00D143B1"/>
    <w:rsid w:val="00D32D84"/>
    <w:rsid w:val="00D45CA4"/>
    <w:rsid w:val="00D51873"/>
    <w:rsid w:val="00D528C1"/>
    <w:rsid w:val="00D85000"/>
    <w:rsid w:val="00D91F59"/>
    <w:rsid w:val="00DA485E"/>
    <w:rsid w:val="00DC4F33"/>
    <w:rsid w:val="00E22567"/>
    <w:rsid w:val="00E235BA"/>
    <w:rsid w:val="00E35C72"/>
    <w:rsid w:val="00F32AF6"/>
    <w:rsid w:val="00F3363D"/>
    <w:rsid w:val="00F47B51"/>
    <w:rsid w:val="00F67163"/>
    <w:rsid w:val="00F80090"/>
    <w:rsid w:val="00FA1514"/>
    <w:rsid w:val="00FA44E9"/>
    <w:rsid w:val="00FB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4" w:unhideWhenUsed="0" w:qFormat="1"/>
    <w:lsdException w:name="heading 2" w:uiPriority="9" w:qFormat="1"/>
    <w:lsdException w:name="heading 3" w:semiHidden="0" w:uiPriority="5" w:unhideWhenUsed="0"/>
    <w:lsdException w:name="heading 4" w:uiPriority="9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7" w:unhideWhenUsed="0" w:qFormat="1"/>
    <w:lsdException w:name="List Bullet 2" w:semiHidden="0" w:uiPriority="8" w:unhideWhenUsed="0" w:qFormat="1"/>
    <w:lsdException w:name="Title" w:semiHidden="0" w:uiPriority="0" w:unhideWhenUsed="0" w:qFormat="1"/>
    <w:lsdException w:name="Default Paragraph Font" w:uiPriority="1"/>
    <w:lsdException w:name="Subtitle" w:uiPriority="1" w:unhideWhenUsed="0"/>
    <w:lsdException w:name="Strong" w:uiPriority="22" w:unhideWhenUsed="0"/>
    <w:lsdException w:name="Emphasis" w:semiHidden="0" w:uiPriority="6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5B7"/>
    <w:pPr>
      <w:spacing w:after="0" w:line="240" w:lineRule="auto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3"/>
    <w:qFormat/>
    <w:rsid w:val="000E0B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Cs w:val="20"/>
    </w:rPr>
  </w:style>
  <w:style w:type="paragraph" w:styleId="Heading2">
    <w:name w:val="heading 2"/>
    <w:basedOn w:val="Normal"/>
    <w:next w:val="Normal"/>
    <w:link w:val="Heading2Char"/>
    <w:uiPriority w:val="4"/>
    <w:qFormat/>
    <w:rsid w:val="00CC78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A6A6A6" w:themeColor="background1" w:themeShade="A6"/>
      <w:szCs w:val="20"/>
    </w:rPr>
  </w:style>
  <w:style w:type="paragraph" w:styleId="Heading3">
    <w:name w:val="heading 3"/>
    <w:basedOn w:val="Normal"/>
    <w:next w:val="Normal"/>
    <w:link w:val="Heading3Char"/>
    <w:uiPriority w:val="5"/>
    <w:unhideWhenUsed/>
    <w:rsid w:val="005B623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3868"/>
    </w:rPr>
  </w:style>
  <w:style w:type="paragraph" w:styleId="Heading4">
    <w:name w:val="heading 4"/>
    <w:basedOn w:val="Normal"/>
    <w:next w:val="Normal"/>
    <w:link w:val="Heading4Char"/>
    <w:uiPriority w:val="9"/>
    <w:semiHidden/>
    <w:rsid w:val="0022460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/>
      <w:iCs/>
      <w:color w:val="0072CE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3"/>
    <w:rsid w:val="000E0B74"/>
    <w:rPr>
      <w:rFonts w:asciiTheme="majorHAnsi" w:eastAsiaTheme="majorEastAsia" w:hAnsiTheme="majorHAnsi" w:cstheme="majorBidi"/>
      <w:b/>
      <w:bCs/>
      <w:kern w:val="22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4"/>
    <w:rsid w:val="00CC7830"/>
    <w:rPr>
      <w:rFonts w:asciiTheme="majorHAnsi" w:eastAsiaTheme="majorEastAsia" w:hAnsiTheme="majorHAnsi" w:cstheme="majorBidi"/>
      <w:b/>
      <w:bCs/>
      <w:color w:val="A6A6A6" w:themeColor="background1" w:themeShade="A6"/>
      <w:sz w:val="20"/>
      <w:szCs w:val="20"/>
    </w:rPr>
  </w:style>
  <w:style w:type="numbering" w:customStyle="1" w:styleId="ListCS">
    <w:name w:val="List CS"/>
    <w:uiPriority w:val="99"/>
    <w:rsid w:val="001A2A9B"/>
    <w:pPr>
      <w:numPr>
        <w:numId w:val="3"/>
      </w:numPr>
    </w:pPr>
  </w:style>
  <w:style w:type="paragraph" w:styleId="ListParagraph">
    <w:name w:val="List Paragraph"/>
    <w:basedOn w:val="Normal"/>
    <w:uiPriority w:val="34"/>
    <w:semiHidden/>
    <w:rsid w:val="00C625A4"/>
    <w:pPr>
      <w:ind w:left="720"/>
      <w:contextualSpacing/>
    </w:pPr>
  </w:style>
  <w:style w:type="paragraph" w:styleId="ListBullet">
    <w:name w:val="List Bullet"/>
    <w:basedOn w:val="Normal"/>
    <w:link w:val="ListBulletChar"/>
    <w:uiPriority w:val="7"/>
    <w:qFormat/>
    <w:rsid w:val="001A2A9B"/>
    <w:pPr>
      <w:numPr>
        <w:numId w:val="9"/>
      </w:numPr>
      <w:contextualSpacing/>
    </w:pPr>
  </w:style>
  <w:style w:type="paragraph" w:styleId="ListBullet2">
    <w:name w:val="List Bullet 2"/>
    <w:basedOn w:val="Normal"/>
    <w:uiPriority w:val="8"/>
    <w:qFormat/>
    <w:rsid w:val="001A2A9B"/>
    <w:pPr>
      <w:numPr>
        <w:ilvl w:val="1"/>
        <w:numId w:val="9"/>
      </w:numPr>
      <w:contextualSpacing/>
    </w:pPr>
  </w:style>
  <w:style w:type="paragraph" w:styleId="Title">
    <w:name w:val="Title"/>
    <w:basedOn w:val="Normal"/>
    <w:next w:val="Normal"/>
    <w:link w:val="TitleChar"/>
    <w:uiPriority w:val="1"/>
    <w:qFormat/>
    <w:rsid w:val="00DC4F33"/>
    <w:pPr>
      <w:spacing w:line="430" w:lineRule="exact"/>
      <w:contextualSpacing/>
    </w:pPr>
    <w:rPr>
      <w:rFonts w:asciiTheme="majorHAnsi" w:eastAsiaTheme="majorEastAsia" w:hAnsiTheme="majorHAnsi" w:cstheme="majorBidi"/>
      <w:b/>
      <w:snapToGrid w:val="0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DC4F33"/>
    <w:rPr>
      <w:rFonts w:asciiTheme="majorHAnsi" w:eastAsiaTheme="majorEastAsia" w:hAnsiTheme="majorHAnsi" w:cstheme="majorBidi"/>
      <w:b/>
      <w:snapToGrid w:val="0"/>
      <w:sz w:val="28"/>
      <w:szCs w:val="52"/>
    </w:rPr>
  </w:style>
  <w:style w:type="character" w:styleId="Emphasis">
    <w:name w:val="Emphasis"/>
    <w:basedOn w:val="DefaultParagraphFont"/>
    <w:uiPriority w:val="6"/>
    <w:qFormat/>
    <w:rsid w:val="002A42B8"/>
    <w:rPr>
      <w:rFonts w:asciiTheme="minorHAnsi" w:hAnsiTheme="minorHAnsi"/>
      <w:b/>
      <w:i w:val="0"/>
      <w:iCs/>
      <w:color w:val="auto"/>
      <w:sz w:val="20"/>
    </w:rPr>
  </w:style>
  <w:style w:type="character" w:customStyle="1" w:styleId="Heading3Char">
    <w:name w:val="Heading 3 Char"/>
    <w:basedOn w:val="DefaultParagraphFont"/>
    <w:link w:val="Heading3"/>
    <w:uiPriority w:val="5"/>
    <w:rsid w:val="001164A0"/>
    <w:rPr>
      <w:rFonts w:asciiTheme="majorHAnsi" w:eastAsiaTheme="majorEastAsia" w:hAnsiTheme="majorHAnsi" w:cstheme="majorBidi"/>
      <w:b/>
      <w:bCs/>
      <w:color w:val="003868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C7830"/>
    <w:rPr>
      <w:rFonts w:asciiTheme="majorHAnsi" w:eastAsiaTheme="majorEastAsia" w:hAnsiTheme="majorHAnsi" w:cstheme="majorBidi"/>
      <w:bCs/>
      <w:i/>
      <w:iCs/>
      <w:color w:val="0072CE" w:themeColor="accent1"/>
      <w:kern w:val="22"/>
      <w:sz w:val="20"/>
    </w:rPr>
  </w:style>
  <w:style w:type="character" w:customStyle="1" w:styleId="ListBulletChar">
    <w:name w:val="List Bullet Char"/>
    <w:basedOn w:val="DefaultParagraphFont"/>
    <w:link w:val="ListBullet"/>
    <w:uiPriority w:val="7"/>
    <w:rsid w:val="00CB32DF"/>
    <w:rPr>
      <w:kern w:val="22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9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9D0"/>
    <w:rPr>
      <w:rFonts w:ascii="Tahoma" w:hAnsi="Tahoma" w:cs="Tahoma"/>
      <w:kern w:val="22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810CF"/>
    <w:rPr>
      <w:color w:val="808080"/>
    </w:rPr>
  </w:style>
  <w:style w:type="table" w:styleId="TableGrid">
    <w:name w:val="Table Grid"/>
    <w:basedOn w:val="TableNormal"/>
    <w:uiPriority w:val="59"/>
    <w:rsid w:val="00220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6220"/>
    <w:pPr>
      <w:spacing w:line="276" w:lineRule="auto"/>
      <w:outlineLvl w:val="9"/>
    </w:pPr>
    <w:rPr>
      <w:color w:val="00559A" w:themeColor="accent1" w:themeShade="BF"/>
      <w:sz w:val="28"/>
      <w:szCs w:val="2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4" w:unhideWhenUsed="0" w:qFormat="1"/>
    <w:lsdException w:name="heading 2" w:uiPriority="9" w:qFormat="1"/>
    <w:lsdException w:name="heading 3" w:semiHidden="0" w:uiPriority="5" w:unhideWhenUsed="0"/>
    <w:lsdException w:name="heading 4" w:uiPriority="9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7" w:unhideWhenUsed="0" w:qFormat="1"/>
    <w:lsdException w:name="List Bullet 2" w:semiHidden="0" w:uiPriority="8" w:unhideWhenUsed="0" w:qFormat="1"/>
    <w:lsdException w:name="Title" w:semiHidden="0" w:uiPriority="0" w:unhideWhenUsed="0" w:qFormat="1"/>
    <w:lsdException w:name="Default Paragraph Font" w:uiPriority="1"/>
    <w:lsdException w:name="Subtitle" w:uiPriority="1" w:unhideWhenUsed="0"/>
    <w:lsdException w:name="Strong" w:uiPriority="22" w:unhideWhenUsed="0"/>
    <w:lsdException w:name="Emphasis" w:semiHidden="0" w:uiPriority="6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5B7"/>
    <w:pPr>
      <w:spacing w:after="0" w:line="240" w:lineRule="auto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3"/>
    <w:qFormat/>
    <w:rsid w:val="000E0B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Cs w:val="20"/>
    </w:rPr>
  </w:style>
  <w:style w:type="paragraph" w:styleId="Heading2">
    <w:name w:val="heading 2"/>
    <w:basedOn w:val="Normal"/>
    <w:next w:val="Normal"/>
    <w:link w:val="Heading2Char"/>
    <w:uiPriority w:val="4"/>
    <w:qFormat/>
    <w:rsid w:val="00CC78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A6A6A6" w:themeColor="background1" w:themeShade="A6"/>
      <w:szCs w:val="20"/>
    </w:rPr>
  </w:style>
  <w:style w:type="paragraph" w:styleId="Heading3">
    <w:name w:val="heading 3"/>
    <w:basedOn w:val="Normal"/>
    <w:next w:val="Normal"/>
    <w:link w:val="Heading3Char"/>
    <w:uiPriority w:val="5"/>
    <w:unhideWhenUsed/>
    <w:rsid w:val="005B623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3868"/>
    </w:rPr>
  </w:style>
  <w:style w:type="paragraph" w:styleId="Heading4">
    <w:name w:val="heading 4"/>
    <w:basedOn w:val="Normal"/>
    <w:next w:val="Normal"/>
    <w:link w:val="Heading4Char"/>
    <w:uiPriority w:val="9"/>
    <w:semiHidden/>
    <w:rsid w:val="0022460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/>
      <w:iCs/>
      <w:color w:val="0072CE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3"/>
    <w:rsid w:val="000E0B74"/>
    <w:rPr>
      <w:rFonts w:asciiTheme="majorHAnsi" w:eastAsiaTheme="majorEastAsia" w:hAnsiTheme="majorHAnsi" w:cstheme="majorBidi"/>
      <w:b/>
      <w:bCs/>
      <w:kern w:val="22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4"/>
    <w:rsid w:val="00CC7830"/>
    <w:rPr>
      <w:rFonts w:asciiTheme="majorHAnsi" w:eastAsiaTheme="majorEastAsia" w:hAnsiTheme="majorHAnsi" w:cstheme="majorBidi"/>
      <w:b/>
      <w:bCs/>
      <w:color w:val="A6A6A6" w:themeColor="background1" w:themeShade="A6"/>
      <w:sz w:val="20"/>
      <w:szCs w:val="20"/>
    </w:rPr>
  </w:style>
  <w:style w:type="numbering" w:customStyle="1" w:styleId="ListCS">
    <w:name w:val="List CS"/>
    <w:uiPriority w:val="99"/>
    <w:rsid w:val="001A2A9B"/>
    <w:pPr>
      <w:numPr>
        <w:numId w:val="3"/>
      </w:numPr>
    </w:pPr>
  </w:style>
  <w:style w:type="paragraph" w:styleId="ListParagraph">
    <w:name w:val="List Paragraph"/>
    <w:basedOn w:val="Normal"/>
    <w:uiPriority w:val="34"/>
    <w:semiHidden/>
    <w:rsid w:val="00C625A4"/>
    <w:pPr>
      <w:ind w:left="720"/>
      <w:contextualSpacing/>
    </w:pPr>
  </w:style>
  <w:style w:type="paragraph" w:styleId="ListBullet">
    <w:name w:val="List Bullet"/>
    <w:basedOn w:val="Normal"/>
    <w:link w:val="ListBulletChar"/>
    <w:uiPriority w:val="7"/>
    <w:qFormat/>
    <w:rsid w:val="001A2A9B"/>
    <w:pPr>
      <w:numPr>
        <w:numId w:val="9"/>
      </w:numPr>
      <w:contextualSpacing/>
    </w:pPr>
  </w:style>
  <w:style w:type="paragraph" w:styleId="ListBullet2">
    <w:name w:val="List Bullet 2"/>
    <w:basedOn w:val="Normal"/>
    <w:uiPriority w:val="8"/>
    <w:qFormat/>
    <w:rsid w:val="001A2A9B"/>
    <w:pPr>
      <w:numPr>
        <w:ilvl w:val="1"/>
        <w:numId w:val="9"/>
      </w:numPr>
      <w:contextualSpacing/>
    </w:pPr>
  </w:style>
  <w:style w:type="paragraph" w:styleId="Title">
    <w:name w:val="Title"/>
    <w:basedOn w:val="Normal"/>
    <w:next w:val="Normal"/>
    <w:link w:val="TitleChar"/>
    <w:uiPriority w:val="1"/>
    <w:qFormat/>
    <w:rsid w:val="00DC4F33"/>
    <w:pPr>
      <w:spacing w:line="430" w:lineRule="exact"/>
      <w:contextualSpacing/>
    </w:pPr>
    <w:rPr>
      <w:rFonts w:asciiTheme="majorHAnsi" w:eastAsiaTheme="majorEastAsia" w:hAnsiTheme="majorHAnsi" w:cstheme="majorBidi"/>
      <w:b/>
      <w:snapToGrid w:val="0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DC4F33"/>
    <w:rPr>
      <w:rFonts w:asciiTheme="majorHAnsi" w:eastAsiaTheme="majorEastAsia" w:hAnsiTheme="majorHAnsi" w:cstheme="majorBidi"/>
      <w:b/>
      <w:snapToGrid w:val="0"/>
      <w:sz w:val="28"/>
      <w:szCs w:val="52"/>
    </w:rPr>
  </w:style>
  <w:style w:type="character" w:styleId="Emphasis">
    <w:name w:val="Emphasis"/>
    <w:basedOn w:val="DefaultParagraphFont"/>
    <w:uiPriority w:val="6"/>
    <w:qFormat/>
    <w:rsid w:val="002A42B8"/>
    <w:rPr>
      <w:rFonts w:asciiTheme="minorHAnsi" w:hAnsiTheme="minorHAnsi"/>
      <w:b/>
      <w:i w:val="0"/>
      <w:iCs/>
      <w:color w:val="auto"/>
      <w:sz w:val="20"/>
    </w:rPr>
  </w:style>
  <w:style w:type="character" w:customStyle="1" w:styleId="Heading3Char">
    <w:name w:val="Heading 3 Char"/>
    <w:basedOn w:val="DefaultParagraphFont"/>
    <w:link w:val="Heading3"/>
    <w:uiPriority w:val="5"/>
    <w:rsid w:val="001164A0"/>
    <w:rPr>
      <w:rFonts w:asciiTheme="majorHAnsi" w:eastAsiaTheme="majorEastAsia" w:hAnsiTheme="majorHAnsi" w:cstheme="majorBidi"/>
      <w:b/>
      <w:bCs/>
      <w:color w:val="003868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C7830"/>
    <w:rPr>
      <w:rFonts w:asciiTheme="majorHAnsi" w:eastAsiaTheme="majorEastAsia" w:hAnsiTheme="majorHAnsi" w:cstheme="majorBidi"/>
      <w:bCs/>
      <w:i/>
      <w:iCs/>
      <w:color w:val="0072CE" w:themeColor="accent1"/>
      <w:kern w:val="22"/>
      <w:sz w:val="20"/>
    </w:rPr>
  </w:style>
  <w:style w:type="character" w:customStyle="1" w:styleId="ListBulletChar">
    <w:name w:val="List Bullet Char"/>
    <w:basedOn w:val="DefaultParagraphFont"/>
    <w:link w:val="ListBullet"/>
    <w:uiPriority w:val="7"/>
    <w:rsid w:val="00CB32DF"/>
    <w:rPr>
      <w:kern w:val="22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9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9D0"/>
    <w:rPr>
      <w:rFonts w:ascii="Tahoma" w:hAnsi="Tahoma" w:cs="Tahoma"/>
      <w:kern w:val="22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810CF"/>
    <w:rPr>
      <w:color w:val="808080"/>
    </w:rPr>
  </w:style>
  <w:style w:type="table" w:styleId="TableGrid">
    <w:name w:val="Table Grid"/>
    <w:basedOn w:val="TableNormal"/>
    <w:uiPriority w:val="59"/>
    <w:rsid w:val="00220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6220"/>
    <w:pPr>
      <w:spacing w:line="276" w:lineRule="auto"/>
      <w:outlineLvl w:val="9"/>
    </w:pPr>
    <w:rPr>
      <w:color w:val="00559A" w:themeColor="accent1" w:themeShade="BF"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8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3001_NEW CS TEMPLATE">
  <a:themeElements>
    <a:clrScheme name="New Brand">
      <a:dk1>
        <a:sysClr val="windowText" lastClr="000000"/>
      </a:dk1>
      <a:lt1>
        <a:sysClr val="window" lastClr="FFFFFF"/>
      </a:lt1>
      <a:dk2>
        <a:srgbClr val="7F7F7F"/>
      </a:dk2>
      <a:lt2>
        <a:srgbClr val="E7E8E9"/>
      </a:lt2>
      <a:accent1>
        <a:srgbClr val="0072CE"/>
      </a:accent1>
      <a:accent2>
        <a:srgbClr val="78C043"/>
      </a:accent2>
      <a:accent3>
        <a:srgbClr val="865BBC"/>
      </a:accent3>
      <a:accent4>
        <a:srgbClr val="00B2AC"/>
      </a:accent4>
      <a:accent5>
        <a:srgbClr val="DA0C6F"/>
      </a:accent5>
      <a:accent6>
        <a:srgbClr val="FFFFFF"/>
      </a:accent6>
      <a:hlink>
        <a:srgbClr val="000000"/>
      </a:hlink>
      <a:folHlink>
        <a:srgbClr val="000000"/>
      </a:folHlink>
    </a:clrScheme>
    <a:fontScheme name="Custom 1">
      <a:majorFont>
        <a:latin typeface="Credit Suisse Headline"/>
        <a:ea typeface=""/>
        <a:cs typeface=""/>
      </a:majorFont>
      <a:minorFont>
        <a:latin typeface="Credit Suisse Type Light"/>
        <a:ea typeface=""/>
        <a:cs typeface=""/>
      </a:minorFont>
    </a:fontScheme>
    <a:fmtScheme name="Couture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8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90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72CE"/>
        </a:solidFill>
        <a:ln>
          <a:noFill/>
        </a:ln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>
        <a:defPPr algn="ctr">
          <a:defRPr sz="1200" dirty="0" smtClean="0">
            <a:solidFill>
              <a:schemeClr val="bg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2700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spAutoFit/>
      </a:bodyPr>
      <a:lstStyle>
        <a:defPPr marL="180000" indent="-180000">
          <a:buFont typeface="Wingdings" panose="05000000000000000000" pitchFamily="2" charset="2"/>
          <a:buChar char="§"/>
          <a:defRPr sz="1200" dirty="0" smtClean="0"/>
        </a:defPPr>
      </a:lstStyle>
    </a:txDef>
  </a:objectDefaults>
  <a:extraClrSchemeLst/>
  <a:custClrLst>
    <a:custClr name="Credit Suisse Blue">
      <a:srgbClr val="0072CE"/>
    </a:custClr>
    <a:custClr name="Credit Suisse Turquoise">
      <a:srgbClr val="00B2AC"/>
    </a:custClr>
    <a:custClr name="Credit Suisse Green">
      <a:srgbClr val="78C048"/>
    </a:custClr>
    <a:custClr name="Credit Suisse Purple">
      <a:srgbClr val="865BBC"/>
    </a:custClr>
    <a:custClr name="Credit Suisse Magenta">
      <a:srgbClr val="DA0C6F"/>
    </a:custClr>
    <a:custClr name="Credit Suisse Black">
      <a:srgbClr val="000000"/>
    </a:custClr>
    <a:custClr name="Credit Suisse Grey 3">
      <a:srgbClr val="DADADA"/>
    </a:custClr>
    <a:custClr name="White">
      <a:srgbClr val="FFFFFF"/>
    </a:custClr>
    <a:custClr name="White">
      <a:srgbClr val="FFFFFF"/>
    </a:custClr>
    <a:custClr name="RAG Green">
      <a:srgbClr val="008000"/>
    </a:custClr>
    <a:custClr name="Credit Suisse Dark Blue">
      <a:srgbClr val="003868"/>
    </a:custClr>
    <a:custClr name="Credit Suisse Dark Turquoise">
      <a:srgbClr val="005B66"/>
    </a:custClr>
    <a:custClr name="Credit Suisse Dark Green">
      <a:srgbClr val="00562A"/>
    </a:custClr>
    <a:custClr name="Credit Suisse Dark Purple">
      <a:srgbClr val="4C227C"/>
    </a:custClr>
    <a:custClr name="Credit Suisse Dark Magenta">
      <a:srgbClr val="7A004C"/>
    </a:custClr>
    <a:custClr name="Credit Suisse Grey 6">
      <a:srgbClr val="575756"/>
    </a:custClr>
    <a:custClr name="Credit Suisse Grey 2">
      <a:srgbClr val="E6E7E8"/>
    </a:custClr>
    <a:custClr name="White">
      <a:srgbClr val="FFFFFF"/>
    </a:custClr>
    <a:custClr name="White">
      <a:srgbClr val="FFFFFF"/>
    </a:custClr>
    <a:custClr name="RAG Red">
      <a:srgbClr val="D91E18"/>
    </a:custClr>
    <a:custClr name="Credit Suisse Mid Blue">
      <a:srgbClr val="004C97"/>
    </a:custClr>
    <a:custClr name="Credit Suisse Mid Turquoise">
      <a:srgbClr val="007D84"/>
    </a:custClr>
    <a:custClr name="Credit Suisse Mid Green">
      <a:srgbClr val="1F7C34"/>
    </a:custClr>
    <a:custClr name="Credit Suisse Mid Purple">
      <a:srgbClr val="633F9A"/>
    </a:custClr>
    <a:custClr name="Credit Suisse Mid Magenta">
      <a:srgbClr val="B4006E"/>
    </a:custClr>
    <a:custClr name="Credit Suisse Grey 5">
      <a:srgbClr val="7C7C7B"/>
    </a:custClr>
    <a:custClr name="Credit Suisse Grey 1">
      <a:srgbClr val="F1F2F2"/>
    </a:custClr>
    <a:custClr name="White">
      <a:srgbClr val="FFFFFF"/>
    </a:custClr>
    <a:custClr name="White">
      <a:srgbClr val="FFFFFF"/>
    </a:custClr>
    <a:custClr name="RAG Amber">
      <a:srgbClr val="FFB81C"/>
    </a:custClr>
    <a:custClr name="Credit Suisse Light Blue">
      <a:srgbClr val="ADC8E9"/>
    </a:custClr>
    <a:custClr name="Credit Suisse Light Turquoise">
      <a:srgbClr val="BFE5E2"/>
    </a:custClr>
    <a:custClr name="Credit Suisse Light Green">
      <a:srgbClr val="D5E9C1"/>
    </a:custClr>
    <a:custClr name="Credit Suisse Light Purple">
      <a:srgbClr val="D1C4E0"/>
    </a:custClr>
    <a:custClr name="Credit Suisse Light Magenta">
      <a:srgbClr val="F9C0CC"/>
    </a:custClr>
    <a:custClr name="Credit Suisse Grey 4">
      <a:srgbClr val="A8A8A7"/>
    </a:custClr>
    <a:custClr name="Credit Suisse White">
      <a:srgbClr val="FFFFFF"/>
    </a:custClr>
    <a:custClr name="White">
      <a:srgbClr val="FFFFFF"/>
    </a:custClr>
    <a:custClr name="White">
      <a:srgbClr val="FFFFFF"/>
    </a:custClr>
    <a:custClr name="White">
      <a:srgbClr val="FFFFFF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32940C6D63F644875D7E3A71A65777" ma:contentTypeVersion="3" ma:contentTypeDescription="Create a new document." ma:contentTypeScope="" ma:versionID="53f58ef6306b6e42febee57805344d6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252db2fa3f32b543b0ef5758677579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0B938-E3D2-47C6-8CF1-D33BCA14CF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9037E6-E22E-453B-ABC7-6C299E50B2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0ACE03-F137-4AA2-9F2B-984143ED46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D4B6B30-83E8-4D7D-A1C3-7B2332712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1911</Characters>
  <Application>Microsoft Office Word</Application>
  <DocSecurity>0</DocSecurity>
  <Lines>56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Credit Suisse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Blumer Michael MOAA 321</dc:creator>
  <cp:lastModifiedBy>Blumer Michael MOAA 321</cp:lastModifiedBy>
  <cp:revision>17</cp:revision>
  <dcterms:created xsi:type="dcterms:W3CDTF">2018-08-24T11:11:00Z</dcterms:created>
  <dcterms:modified xsi:type="dcterms:W3CDTF">2018-09-20T15:50:00Z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SIProp12DataClass+304a34c9-5b17-4e2a-bdc3-dec6a43f35e7">
    <vt:lpwstr>v=1.2&gt;I=304a34c9-5b17-4e2a-bdc3-dec6a43f35e7&amp;N=Unrestricted&amp;V=1.3&amp;U=S-1-5-21-3718294971-3193642644-4012788348-19162&amp;D=Blumer%2c+Michael+(MOAA+321)&amp;A=Associated&amp;H=False</vt:lpwstr>
  </property>
  <property fmtid="{D5CDD505-2E9C-101B-9397-08002B2CF9AE}" pid="3" name="Classification">
    <vt:lpwstr>Unrestricted</vt:lpwstr>
  </property>
  <property fmtid="{D5CDD505-2E9C-101B-9397-08002B2CF9AE}" pid="4" name="_AdHocReviewCycleID">
    <vt:i4>892462438</vt:i4>
  </property>
  <property fmtid="{D5CDD505-2E9C-101B-9397-08002B2CF9AE}" pid="5" name="_NewReviewCycle">
    <vt:lpwstr/>
  </property>
  <property fmtid="{D5CDD505-2E9C-101B-9397-08002B2CF9AE}" pid="6" name="_EmailSubject">
    <vt:lpwstr>SMPG CA WG: Input CH next call 25.09.2018</vt:lpwstr>
  </property>
  <property fmtid="{D5CDD505-2E9C-101B-9397-08002B2CF9AE}" pid="7" name="_AuthorEmail">
    <vt:lpwstr>michael.blumer@credit-suisse.com</vt:lpwstr>
  </property>
  <property fmtid="{D5CDD505-2E9C-101B-9397-08002B2CF9AE}" pid="8" name="_AuthorEmailDisplayName">
    <vt:lpwstr>Blumer, Michael (MOAA 321)</vt:lpwstr>
  </property>
</Properties>
</file>