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73" w:rsidRDefault="003B5C3B" w:rsidP="00365575">
      <w:pPr>
        <w:pStyle w:val="Heading1"/>
        <w:numPr>
          <w:ilvl w:val="0"/>
          <w:numId w:val="0"/>
        </w:numPr>
        <w:ind w:left="432" w:hanging="432"/>
        <w:rPr>
          <w:lang w:val="en-US"/>
        </w:rPr>
      </w:pPr>
      <w:r>
        <w:rPr>
          <w:lang w:val="en-US"/>
        </w:rPr>
        <w:t>CA488</w:t>
      </w:r>
      <w:r w:rsidR="00365575" w:rsidRPr="005F2B9F">
        <w:rPr>
          <w:lang w:val="en-US"/>
        </w:rPr>
        <w:t xml:space="preserve">   </w:t>
      </w:r>
      <w:r w:rsidRPr="005F2B9F">
        <w:rPr>
          <w:lang w:val="en-US"/>
        </w:rPr>
        <w:t xml:space="preserve">SID - Shareholder identification </w:t>
      </w:r>
      <w:r>
        <w:t xml:space="preserve">/ Clarifications </w:t>
      </w:r>
      <w:r>
        <w:rPr>
          <w:u w:val="single"/>
        </w:rPr>
        <w:t>(Jean-Paul)</w:t>
      </w:r>
    </w:p>
    <w:p w:rsidR="00365575" w:rsidRDefault="00365575">
      <w:pPr>
        <w:rPr>
          <w:u w:val="single"/>
        </w:rPr>
      </w:pPr>
    </w:p>
    <w:p w:rsidR="003B5C3B" w:rsidRPr="00FC33B6" w:rsidRDefault="003B5C3B" w:rsidP="003B5C3B">
      <w:pPr>
        <w:rPr>
          <w:rFonts w:eastAsia="Times New Roman"/>
        </w:rPr>
      </w:pPr>
      <w:r w:rsidRPr="00FC33B6">
        <w:rPr>
          <w:rFonts w:eastAsia="Times New Roman"/>
        </w:rPr>
        <w:t>Shareholder identification : some clarifications proposal in the market practices we received from intermediaries.</w:t>
      </w:r>
    </w:p>
    <w:p w:rsidR="003B5C3B" w:rsidRPr="009A4633" w:rsidRDefault="003B5C3B" w:rsidP="003B5C3B">
      <w:pPr>
        <w:ind w:left="360"/>
        <w:rPr>
          <w:b/>
          <w:bCs/>
          <w:u w:val="single"/>
        </w:rPr>
      </w:pPr>
      <w:r w:rsidRPr="009A4633">
        <w:rPr>
          <w:b/>
          <w:bCs/>
          <w:u w:val="single"/>
        </w:rPr>
        <w:t>Seev.045</w:t>
      </w:r>
    </w:p>
    <w:p w:rsidR="003B5C3B" w:rsidRDefault="003B5C3B" w:rsidP="003B5C3B">
      <w:pPr>
        <w:ind w:left="360"/>
      </w:pPr>
    </w:p>
    <w:p w:rsidR="003B5C3B" w:rsidRDefault="003B5C3B" w:rsidP="003B5C3B">
      <w:pPr>
        <w:ind w:left="360"/>
      </w:pPr>
      <w:r>
        <w:rPr>
          <w:noProof/>
          <w:lang w:eastAsia="en-GB"/>
        </w:rPr>
        <w:drawing>
          <wp:inline distT="0" distB="0" distL="0" distR="0" wp14:anchorId="2E663A2C" wp14:editId="22D286F9">
            <wp:extent cx="8505825" cy="387985"/>
            <wp:effectExtent l="0" t="0" r="0" b="0"/>
            <wp:docPr id="8" name="Picture 8" descr="cid:image001.jpg@01D72490.93B2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490.93B2A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05825" cy="387985"/>
                    </a:xfrm>
                    <a:prstGeom prst="rect">
                      <a:avLst/>
                    </a:prstGeom>
                    <a:noFill/>
                    <a:ln>
                      <a:noFill/>
                    </a:ln>
                  </pic:spPr>
                </pic:pic>
              </a:graphicData>
            </a:graphic>
          </wp:inline>
        </w:drawing>
      </w:r>
    </w:p>
    <w:p w:rsidR="003B5C3B" w:rsidRDefault="003B5C3B" w:rsidP="003B5C3B">
      <w:pPr>
        <w:ind w:left="360"/>
      </w:pPr>
      <w:r>
        <w:t xml:space="preserve">                </w:t>
      </w:r>
    </w:p>
    <w:p w:rsidR="003B5C3B" w:rsidRDefault="003B5C3B" w:rsidP="003B5C3B">
      <w:pPr>
        <w:ind w:left="360"/>
      </w:pPr>
      <w:r w:rsidRPr="009A4633">
        <w:rPr>
          <w:color w:val="0000FF"/>
        </w:rPr>
        <w:t>We should recommend the issuer to not use spaces in the id because some intermediaries remove or replace the spaces with “_” or “-“ which results in multiple ids for the same request.</w:t>
      </w:r>
    </w:p>
    <w:p w:rsidR="003B5C3B" w:rsidRDefault="003B5C3B" w:rsidP="003B5C3B">
      <w:pPr>
        <w:ind w:left="360"/>
      </w:pPr>
      <w:r>
        <w:t xml:space="preserve">   </w:t>
      </w:r>
    </w:p>
    <w:p w:rsidR="003B5C3B" w:rsidRPr="009A4633" w:rsidRDefault="003B5C3B" w:rsidP="003B5C3B">
      <w:pPr>
        <w:ind w:left="360"/>
        <w:rPr>
          <w:b/>
          <w:bCs/>
          <w:u w:val="single"/>
        </w:rPr>
      </w:pPr>
      <w:r w:rsidRPr="009A4633">
        <w:rPr>
          <w:b/>
          <w:bCs/>
          <w:u w:val="single"/>
        </w:rPr>
        <w:t>Seev.047</w:t>
      </w:r>
    </w:p>
    <w:p w:rsidR="003B5C3B" w:rsidRPr="009A4633" w:rsidRDefault="003B5C3B" w:rsidP="003B5C3B">
      <w:pPr>
        <w:ind w:left="360"/>
        <w:rPr>
          <w:b/>
          <w:bCs/>
          <w:u w:val="single"/>
        </w:rPr>
      </w:pPr>
      <w:r>
        <w:rPr>
          <w:noProof/>
          <w:lang w:eastAsia="en-GB"/>
        </w:rPr>
        <w:drawing>
          <wp:inline distT="0" distB="0" distL="0" distR="0" wp14:anchorId="0190C1E6" wp14:editId="296B33F4">
            <wp:extent cx="8566150" cy="396875"/>
            <wp:effectExtent l="0" t="0" r="0" b="0"/>
            <wp:docPr id="7" name="Picture 7" descr="cid:image002.jpg@01D72490.93B2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2490.93B2A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566150" cy="396875"/>
                    </a:xfrm>
                    <a:prstGeom prst="rect">
                      <a:avLst/>
                    </a:prstGeom>
                    <a:noFill/>
                    <a:ln>
                      <a:noFill/>
                    </a:ln>
                  </pic:spPr>
                </pic:pic>
              </a:graphicData>
            </a:graphic>
          </wp:inline>
        </w:drawing>
      </w:r>
    </w:p>
    <w:p w:rsidR="003B5C3B" w:rsidRDefault="003B5C3B" w:rsidP="003B5C3B">
      <w:pPr>
        <w:ind w:left="360"/>
      </w:pPr>
    </w:p>
    <w:p w:rsidR="003B5C3B" w:rsidRPr="009A4633" w:rsidRDefault="003B5C3B" w:rsidP="003B5C3B">
      <w:pPr>
        <w:ind w:left="360"/>
        <w:rPr>
          <w:color w:val="0000FF"/>
        </w:rPr>
      </w:pPr>
      <w:r w:rsidRPr="009A4633">
        <w:rPr>
          <w:color w:val="0000FF"/>
        </w:rPr>
        <w:t>We should add that pagination should start at 1 (not 0)</w:t>
      </w:r>
    </w:p>
    <w:p w:rsidR="003B5C3B" w:rsidRDefault="003B5C3B" w:rsidP="003B5C3B">
      <w:pPr>
        <w:ind w:left="360"/>
      </w:pPr>
    </w:p>
    <w:p w:rsidR="003B5C3B" w:rsidRDefault="003B5C3B" w:rsidP="003B5C3B">
      <w:pPr>
        <w:ind w:left="360"/>
      </w:pPr>
      <w:r>
        <w:rPr>
          <w:noProof/>
          <w:lang w:eastAsia="en-GB"/>
        </w:rPr>
        <w:drawing>
          <wp:inline distT="0" distB="0" distL="0" distR="0" wp14:anchorId="10B4CF3E" wp14:editId="037F33F6">
            <wp:extent cx="8410575" cy="974725"/>
            <wp:effectExtent l="0" t="0" r="0" b="0"/>
            <wp:docPr id="6" name="Picture 6" descr="cid:image003.jpg@01D72490.93B2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2490.93B2AD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10575" cy="974725"/>
                    </a:xfrm>
                    <a:prstGeom prst="rect">
                      <a:avLst/>
                    </a:prstGeom>
                    <a:noFill/>
                    <a:ln>
                      <a:noFill/>
                    </a:ln>
                  </pic:spPr>
                </pic:pic>
              </a:graphicData>
            </a:graphic>
          </wp:inline>
        </w:drawing>
      </w:r>
    </w:p>
    <w:p w:rsidR="003B5C3B" w:rsidRDefault="003B5C3B" w:rsidP="003B5C3B">
      <w:pPr>
        <w:ind w:left="360"/>
      </w:pPr>
      <w:r>
        <w:t xml:space="preserve">                </w:t>
      </w:r>
    </w:p>
    <w:p w:rsidR="003B5C3B" w:rsidRPr="009A4633" w:rsidRDefault="003B5C3B" w:rsidP="003B5C3B">
      <w:pPr>
        <w:ind w:left="360"/>
        <w:rPr>
          <w:color w:val="0000FF"/>
        </w:rPr>
      </w:pPr>
      <w:r w:rsidRPr="009A4633">
        <w:rPr>
          <w:color w:val="0000FF"/>
        </w:rPr>
        <w:t>Some intermediaries do not populate this field correctly and put their own LEI. Could we make the definition even more explicit by adding for instance “i.e. the entity where the responding intermediary holds its account” ?</w:t>
      </w:r>
      <w:bookmarkStart w:id="0" w:name="_GoBack"/>
      <w:bookmarkEnd w:id="0"/>
    </w:p>
    <w:p w:rsidR="003B5C3B" w:rsidRDefault="003B5C3B" w:rsidP="003B5C3B">
      <w:pPr>
        <w:ind w:left="360"/>
      </w:pPr>
      <w:r>
        <w:rPr>
          <w:noProof/>
          <w:lang w:eastAsia="en-GB"/>
        </w:rPr>
        <w:lastRenderedPageBreak/>
        <w:drawing>
          <wp:inline distT="0" distB="0" distL="0" distR="0" wp14:anchorId="41F92990" wp14:editId="0EBC5C8F">
            <wp:extent cx="8488680" cy="1630680"/>
            <wp:effectExtent l="0" t="0" r="0" b="0"/>
            <wp:docPr id="5" name="Picture 5" descr="cid:image004.jpg@01D72490.93B2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72490.93B2A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488680" cy="1630680"/>
                    </a:xfrm>
                    <a:prstGeom prst="rect">
                      <a:avLst/>
                    </a:prstGeom>
                    <a:noFill/>
                    <a:ln>
                      <a:noFill/>
                    </a:ln>
                  </pic:spPr>
                </pic:pic>
              </a:graphicData>
            </a:graphic>
          </wp:inline>
        </w:drawing>
      </w:r>
    </w:p>
    <w:p w:rsidR="003B5C3B" w:rsidRDefault="003B5C3B" w:rsidP="003B5C3B">
      <w:pPr>
        <w:ind w:left="360"/>
      </w:pPr>
    </w:p>
    <w:p w:rsidR="003B5C3B" w:rsidRPr="009A4633" w:rsidRDefault="003B5C3B" w:rsidP="003B5C3B">
      <w:pPr>
        <w:ind w:left="360"/>
        <w:rPr>
          <w:color w:val="0000FF"/>
        </w:rPr>
      </w:pPr>
      <w:r w:rsidRPr="009A4633">
        <w:rPr>
          <w:color w:val="0000FF"/>
        </w:rPr>
        <w:t xml:space="preserve">Some intermediaries do not include in those subtotals the “Non disclosed shareholding quantity” and “Below threshold shareholding quantity”. So, the totals above do not match with the sum of positions listed in the AccountSubLevel part of the message. I think we should make explicit in the table above that those totals can include non-disclosed or below threshold </w:t>
      </w:r>
      <w:r>
        <w:rPr>
          <w:color w:val="0000FF"/>
        </w:rPr>
        <w:t>B</w:t>
      </w:r>
      <w:r w:rsidRPr="009A4633">
        <w:rPr>
          <w:color w:val="0000FF"/>
        </w:rPr>
        <w:t xml:space="preserve">alances.               </w:t>
      </w:r>
    </w:p>
    <w:p w:rsidR="003B5C3B" w:rsidRDefault="003B5C3B" w:rsidP="003B5C3B">
      <w:pPr>
        <w:ind w:left="360"/>
      </w:pPr>
    </w:p>
    <w:p w:rsidR="003B5C3B" w:rsidRDefault="003B5C3B" w:rsidP="003B5C3B">
      <w:pPr>
        <w:ind w:left="360"/>
      </w:pPr>
      <w:r>
        <w:rPr>
          <w:noProof/>
          <w:lang w:eastAsia="en-GB"/>
        </w:rPr>
        <w:drawing>
          <wp:inline distT="0" distB="0" distL="0" distR="0" wp14:anchorId="6B3790A5" wp14:editId="4DB4FAB5">
            <wp:extent cx="8376285" cy="293370"/>
            <wp:effectExtent l="0" t="0" r="0" b="0"/>
            <wp:docPr id="4" name="Picture 4" descr="cid:image005.jpg@01D72490.93B2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72490.93B2AD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76285" cy="293370"/>
                    </a:xfrm>
                    <a:prstGeom prst="rect">
                      <a:avLst/>
                    </a:prstGeom>
                    <a:noFill/>
                    <a:ln>
                      <a:noFill/>
                    </a:ln>
                  </pic:spPr>
                </pic:pic>
              </a:graphicData>
            </a:graphic>
          </wp:inline>
        </w:drawing>
      </w:r>
    </w:p>
    <w:p w:rsidR="003B5C3B" w:rsidRDefault="003B5C3B" w:rsidP="003B5C3B">
      <w:pPr>
        <w:ind w:left="360"/>
      </w:pPr>
      <w:r>
        <w:t xml:space="preserve">                </w:t>
      </w:r>
    </w:p>
    <w:p w:rsidR="003B5C3B" w:rsidRPr="009A4633" w:rsidRDefault="003B5C3B" w:rsidP="003B5C3B">
      <w:pPr>
        <w:ind w:left="360"/>
        <w:rPr>
          <w:color w:val="0000FF"/>
        </w:rPr>
      </w:pPr>
      <w:r w:rsidRPr="009A4633">
        <w:rPr>
          <w:color w:val="0000FF"/>
        </w:rPr>
        <w:t>Shouldn’t we specify this is the settled quantity? (some intermediaries use trade date balances)</w:t>
      </w:r>
    </w:p>
    <w:p w:rsidR="003B5C3B" w:rsidRDefault="003B5C3B" w:rsidP="003B5C3B">
      <w:pPr>
        <w:ind w:left="360"/>
      </w:pPr>
    </w:p>
    <w:p w:rsidR="003B5C3B" w:rsidRDefault="003B5C3B" w:rsidP="003B5C3B">
      <w:pPr>
        <w:ind w:left="360"/>
      </w:pPr>
      <w:r>
        <w:t> Joint shareholding</w:t>
      </w:r>
    </w:p>
    <w:p w:rsidR="003B5C3B" w:rsidRPr="009A4633" w:rsidRDefault="003B5C3B" w:rsidP="003B5C3B">
      <w:pPr>
        <w:ind w:left="360"/>
        <w:rPr>
          <w:color w:val="0000FF"/>
          <w:shd w:val="clear" w:color="auto" w:fill="FFFFFF"/>
        </w:rPr>
      </w:pPr>
      <w:r>
        <w:t> </w:t>
      </w:r>
      <w:r w:rsidRPr="009A4633">
        <w:rPr>
          <w:color w:val="0000FF"/>
        </w:rPr>
        <w:t>Clarification</w:t>
      </w:r>
      <w:r>
        <w:t xml:space="preserve"> </w:t>
      </w:r>
      <w:r w:rsidRPr="009A4633">
        <w:rPr>
          <w:color w:val="0000FF"/>
        </w:rPr>
        <w:t xml:space="preserve">are required in case of joint shareholding </w:t>
      </w:r>
      <w:r w:rsidRPr="009A4633">
        <w:rPr>
          <w:color w:val="0000FF"/>
          <w:shd w:val="clear" w:color="auto" w:fill="FFFFFF"/>
        </w:rPr>
        <w:t>(currently, instead of reporting a position of 15 held by Mr X &amp; Ms Y</w:t>
      </w:r>
      <w:r w:rsidRPr="009A4633">
        <w:rPr>
          <w:color w:val="000000"/>
          <w:shd w:val="clear" w:color="auto" w:fill="FFFFFF"/>
        </w:rPr>
        <w:t>,</w:t>
      </w:r>
      <w:r w:rsidRPr="009A4633">
        <w:rPr>
          <w:color w:val="0000FF"/>
          <w:shd w:val="clear" w:color="auto" w:fill="FFFFFF"/>
        </w:rPr>
        <w:t xml:space="preserve"> some intermediaries report 7.5 on Mr X and 7.5 Ms Y). Proposal </w:t>
      </w:r>
      <w:r w:rsidRPr="009A4633">
        <w:rPr>
          <w:color w:val="0000FF"/>
        </w:rPr>
        <w:t xml:space="preserve"> : </w:t>
      </w:r>
      <w:r>
        <w:t>“</w:t>
      </w:r>
      <w:r w:rsidRPr="009A4633">
        <w:rPr>
          <w:color w:val="0000FF"/>
        </w:rPr>
        <w:t xml:space="preserve">In case of joint shareholder, </w:t>
      </w:r>
      <w:r w:rsidRPr="009A4633">
        <w:rPr>
          <w:color w:val="0000FF"/>
          <w:shd w:val="clear" w:color="auto" w:fill="FFFFFF"/>
        </w:rPr>
        <w:t>the whole balance on the account should be reported once with the list of co-owners.</w:t>
      </w:r>
      <w:r w:rsidRPr="009A4633">
        <w:rPr>
          <w:color w:val="000000"/>
          <w:shd w:val="clear" w:color="auto" w:fill="FFFFFF"/>
        </w:rPr>
        <w:t>”</w:t>
      </w:r>
    </w:p>
    <w:p w:rsidR="00683F0F" w:rsidRPr="00D33FBD" w:rsidRDefault="00683F0F">
      <w:pPr>
        <w:rPr>
          <w:lang w:val="en-US"/>
        </w:rPr>
      </w:pPr>
    </w:p>
    <w:sectPr w:rsidR="00683F0F" w:rsidRPr="00D33FBD" w:rsidSect="007755C1">
      <w:headerReference w:type="even" r:id="rId18"/>
      <w:headerReference w:type="default" r:id="rId19"/>
      <w:footerReference w:type="even" r:id="rId20"/>
      <w:footerReference w:type="default" r:id="rId21"/>
      <w:headerReference w:type="first" r:id="rId22"/>
      <w:footerReference w:type="first" r:id="rId23"/>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D2" w:rsidRDefault="00C63DD2">
      <w:r>
        <w:separator/>
      </w:r>
    </w:p>
  </w:endnote>
  <w:endnote w:type="continuationSeparator" w:id="0">
    <w:p w:rsidR="00C63DD2" w:rsidRDefault="00C6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07" w:rsidRDefault="002E1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73" w:rsidRDefault="002E1107">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r>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Pr>
        <w:noProof/>
      </w:rPr>
      <w:t>2</w:t>
    </w:r>
    <w:r w:rsidR="00720A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07" w:rsidRDefault="002E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D2" w:rsidRDefault="00C63DD2">
      <w:r>
        <w:separator/>
      </w:r>
    </w:p>
  </w:footnote>
  <w:footnote w:type="continuationSeparator" w:id="0">
    <w:p w:rsidR="00C63DD2" w:rsidRDefault="00C6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07" w:rsidRDefault="002E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07" w:rsidRDefault="002E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07" w:rsidRDefault="002E1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3DD2"/>
    <w:rsid w:val="002E1107"/>
    <w:rsid w:val="00365575"/>
    <w:rsid w:val="003B5C3B"/>
    <w:rsid w:val="00416D73"/>
    <w:rsid w:val="004A30AB"/>
    <w:rsid w:val="004F531B"/>
    <w:rsid w:val="00683F0F"/>
    <w:rsid w:val="00720A65"/>
    <w:rsid w:val="007755C1"/>
    <w:rsid w:val="0077696E"/>
    <w:rsid w:val="00895225"/>
    <w:rsid w:val="009569E3"/>
    <w:rsid w:val="009F1B4C"/>
    <w:rsid w:val="00C26DA7"/>
    <w:rsid w:val="00C63DD2"/>
    <w:rsid w:val="00D33FBD"/>
    <w:rsid w:val="00E6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B4B8-CEED-4699-9D89-90A565F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 w:type="paragraph" w:customStyle="1" w:styleId="Default">
    <w:name w:val="Default"/>
    <w:basedOn w:val="Normal"/>
    <w:rsid w:val="00365575"/>
    <w:pPr>
      <w:autoSpaceDE w:val="0"/>
      <w:autoSpaceDN w:val="0"/>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72490.93B2AD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jpg@01D72490.93B2AD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72490.93B2AD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4.jpg@01D72490.93B2AD10"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72490.93B2AD10"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5</cp:revision>
  <dcterms:created xsi:type="dcterms:W3CDTF">2021-03-29T13:17:00Z</dcterms:created>
  <dcterms:modified xsi:type="dcterms:W3CDTF">2021-09-14T09:24:00Z</dcterms:modified>
</cp:coreProperties>
</file>