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C81B" w14:textId="77777777" w:rsidR="00AE6BB4" w:rsidRDefault="00AE6BB4" w:rsidP="00AE6BB4">
      <w:pPr>
        <w:rPr>
          <w:b/>
          <w:sz w:val="44"/>
          <w:szCs w:val="44"/>
        </w:rPr>
      </w:pPr>
      <w:r w:rsidRPr="00AE6BB4">
        <w:rPr>
          <w:b/>
          <w:sz w:val="44"/>
          <w:szCs w:val="44"/>
        </w:rPr>
        <w:t>CA513 reversal / repayment process in ISO020022</w:t>
      </w:r>
    </w:p>
    <w:p w14:paraId="7ECE9E34" w14:textId="77777777" w:rsidR="00AE6BB4" w:rsidRPr="00AE6BB4" w:rsidRDefault="00AE6BB4" w:rsidP="00AE6BB4">
      <w:pPr>
        <w:rPr>
          <w:b/>
          <w:sz w:val="44"/>
          <w:szCs w:val="44"/>
        </w:rPr>
      </w:pPr>
    </w:p>
    <w:p w14:paraId="57982E65" w14:textId="77777777" w:rsidR="00AE6BB4" w:rsidRDefault="00AE6BB4" w:rsidP="00AE6BB4">
      <w:r>
        <w:t xml:space="preserve">Could you have a look at the below and let me know if I correctly interpret the standard / </w:t>
      </w:r>
      <w:proofErr w:type="gramStart"/>
      <w:r>
        <w:t>recommendation ?</w:t>
      </w:r>
      <w:proofErr w:type="gramEnd"/>
    </w:p>
    <w:p w14:paraId="0438BC20" w14:textId="77777777" w:rsidR="00AE6BB4" w:rsidRDefault="00AE6BB4" w:rsidP="00AE6BB4"/>
    <w:p w14:paraId="0F95CC87" w14:textId="77777777" w:rsidR="00AE6BB4" w:rsidRDefault="00AE6BB4" w:rsidP="00AE6BB4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 xml:space="preserve">Scenario </w:t>
      </w:r>
      <w:proofErr w:type="gramStart"/>
      <w:r>
        <w:rPr>
          <w:rFonts w:eastAsia="Times New Roman"/>
        </w:rPr>
        <w:t>1 :</w:t>
      </w:r>
      <w:proofErr w:type="gramEnd"/>
      <w:r>
        <w:rPr>
          <w:rFonts w:eastAsia="Times New Roman"/>
        </w:rPr>
        <w:t xml:space="preserve"> After payment and confirmation of an event, the payment needs to be reversed (and won’t be repaid)</w:t>
      </w:r>
    </w:p>
    <w:p w14:paraId="00D413AA" w14:textId="77777777" w:rsidR="00AE6BB4" w:rsidRDefault="00AE6BB4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63031235" w14:textId="77777777" w:rsidR="00AE6BB4" w:rsidRDefault="00AE6BB4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no</w:t>
      </w:r>
      <w:proofErr w:type="gramEnd"/>
      <w:r>
        <w:rPr>
          <w:rFonts w:eastAsia="Times New Roman"/>
        </w:rPr>
        <w:t xml:space="preserve"> need to send a seev.039)</w:t>
      </w:r>
    </w:p>
    <w:p w14:paraId="07DE76F7" w14:textId="77777777" w:rsidR="00AE6BB4" w:rsidRDefault="00AE6BB4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b/>
          <w:bCs/>
        </w:rPr>
        <w:t>seev.035 ADDB//REVR must be sent</w:t>
      </w:r>
      <w:r>
        <w:rPr>
          <w:rFonts w:eastAsia="Times New Roman"/>
        </w:rPr>
        <w:t xml:space="preserve"> to indicate entitlement reversal</w:t>
      </w:r>
    </w:p>
    <w:p w14:paraId="7C869C65" w14:textId="77777777" w:rsidR="00AE6BB4" w:rsidRDefault="00AE6BB4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to  confirm</w:t>
      </w:r>
      <w:proofErr w:type="gramEnd"/>
      <w:r>
        <w:rPr>
          <w:rFonts w:eastAsia="Times New Roman"/>
        </w:rPr>
        <w:t xml:space="preserve"> the reversal once booked</w:t>
      </w:r>
    </w:p>
    <w:p w14:paraId="532AD782" w14:textId="77777777" w:rsidR="00AE6BB4" w:rsidRDefault="00AE6BB4" w:rsidP="00AE6BB4"/>
    <w:p w14:paraId="2D9A8A24" w14:textId="77777777" w:rsidR="00AE6BB4" w:rsidRDefault="00AE6BB4" w:rsidP="00AE6BB4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Scenario 2: After payment and confirmation of an event, the payment needs to be reversed and repaid (</w:t>
      </w:r>
      <w:proofErr w:type="gramStart"/>
      <w:r>
        <w:rPr>
          <w:rFonts w:eastAsia="Times New Roman"/>
        </w:rPr>
        <w:t>e.g.</w:t>
      </w:r>
      <w:proofErr w:type="gramEnd"/>
      <w:r>
        <w:rPr>
          <w:rFonts w:eastAsia="Times New Roman"/>
        </w:rPr>
        <w:t xml:space="preserve"> change of rate)</w:t>
      </w:r>
    </w:p>
    <w:p w14:paraId="1CB260D8" w14:textId="77777777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023A092D" w14:textId="77777777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REPL must be sent </w:t>
      </w:r>
      <w:r>
        <w:rPr>
          <w:rFonts w:eastAsia="Times New Roman"/>
        </w:rPr>
        <w:t xml:space="preserve">to notify the update of the event (with the new </w:t>
      </w:r>
      <w:proofErr w:type="gramStart"/>
      <w:r>
        <w:rPr>
          <w:rFonts w:eastAsia="Times New Roman"/>
        </w:rPr>
        <w:t>rate)  -</w:t>
      </w:r>
      <w:proofErr w:type="gramEnd"/>
      <w:r>
        <w:rPr>
          <w:rFonts w:eastAsia="Times New Roman"/>
        </w:rPr>
        <w:t xml:space="preserve"> assumption : we do not create a separate event for the repayment but just update the original one</w:t>
      </w:r>
    </w:p>
    <w:p w14:paraId="077EBA80" w14:textId="77777777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>seev.035 ADDB//REVR must be sent</w:t>
      </w:r>
      <w:r>
        <w:rPr>
          <w:rFonts w:eastAsia="Times New Roman"/>
        </w:rPr>
        <w:t xml:space="preserve"> to indicate entitlement reversal of the original payment</w:t>
      </w:r>
    </w:p>
    <w:p w14:paraId="23C567FE" w14:textId="77777777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>seev.035 REPL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must be sent</w:t>
      </w:r>
      <w:r>
        <w:rPr>
          <w:rFonts w:eastAsia="Times New Roman"/>
        </w:rPr>
        <w:t xml:space="preserve"> to report the new entitlement (based on the new rate)</w:t>
      </w:r>
    </w:p>
    <w:p w14:paraId="67333B2D" w14:textId="77777777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to  confirm</w:t>
      </w:r>
      <w:proofErr w:type="gramEnd"/>
      <w:r>
        <w:rPr>
          <w:rFonts w:eastAsia="Times New Roman"/>
        </w:rPr>
        <w:t xml:space="preserve"> the reversal of the original payment once booked</w:t>
      </w:r>
    </w:p>
    <w:p w14:paraId="33721BFB" w14:textId="77777777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the new payment (based on the new rate) once booked</w:t>
      </w:r>
    </w:p>
    <w:p w14:paraId="3BA83A42" w14:textId="2E6E8384" w:rsidR="00416D73" w:rsidRDefault="007269A5">
      <w:r>
        <w:t>-</w:t>
      </w:r>
    </w:p>
    <w:p w14:paraId="60B8381E" w14:textId="164DB696" w:rsidR="002B55C8" w:rsidRDefault="002B55C8"/>
    <w:p w14:paraId="5BC71DBD" w14:textId="104A108D" w:rsidR="002B55C8" w:rsidRPr="002B55C8" w:rsidRDefault="002B55C8" w:rsidP="002B55C8">
      <w:pPr>
        <w:rPr>
          <w:b/>
          <w:bCs/>
          <w:u w:val="single"/>
        </w:rPr>
      </w:pPr>
      <w:r w:rsidRPr="002B55C8">
        <w:rPr>
          <w:b/>
          <w:bCs/>
          <w:u w:val="single"/>
        </w:rPr>
        <w:t xml:space="preserve">UK Feedback: </w:t>
      </w:r>
    </w:p>
    <w:p w14:paraId="00CCC71D" w14:textId="77777777" w:rsidR="002B55C8" w:rsidRPr="002B55C8" w:rsidRDefault="002B55C8" w:rsidP="002B55C8">
      <w:pPr>
        <w:rPr>
          <w:rFonts w:cs="Times New Roman"/>
        </w:rPr>
      </w:pPr>
      <w:r w:rsidRPr="002B55C8">
        <w:t>If the terms of the event change to the point they impact the eligibility (</w:t>
      </w:r>
      <w:proofErr w:type="gramStart"/>
      <w:r w:rsidRPr="002B55C8">
        <w:t>e.g.</w:t>
      </w:r>
      <w:proofErr w:type="gramEnd"/>
      <w:r w:rsidRPr="002B55C8">
        <w:t xml:space="preserve"> change of event type, </w:t>
      </w:r>
      <w:proofErr w:type="spellStart"/>
      <w:r w:rsidRPr="002B55C8">
        <w:t>ex date</w:t>
      </w:r>
      <w:proofErr w:type="spellEnd"/>
      <w:r w:rsidRPr="002B55C8">
        <w:t xml:space="preserve">, record date), the payments should be reversed, the event should be cancelled, a new event should be created and new payments processed under the new event. </w:t>
      </w:r>
    </w:p>
    <w:p w14:paraId="4AFF42C8" w14:textId="77777777" w:rsidR="002B55C8" w:rsidRDefault="002B55C8" w:rsidP="002B55C8">
      <w:r w:rsidRPr="002B55C8">
        <w:t xml:space="preserve">If we only have a change of </w:t>
      </w:r>
      <w:proofErr w:type="spellStart"/>
      <w:r w:rsidRPr="002B55C8">
        <w:t>paydate</w:t>
      </w:r>
      <w:proofErr w:type="spellEnd"/>
      <w:r w:rsidRPr="002B55C8">
        <w:t>/dividend rate, the reversal and new payments should be</w:t>
      </w:r>
      <w:r>
        <w:t xml:space="preserve"> processed under the existing event.</w:t>
      </w:r>
    </w:p>
    <w:p w14:paraId="3DB1C2AE" w14:textId="77777777" w:rsidR="002B55C8" w:rsidRDefault="002B55C8" w:rsidP="002B55C8">
      <w:r>
        <w:t>As mentioned, I think we also need to look at the reason codes associated to the reversal:</w:t>
      </w:r>
    </w:p>
    <w:p w14:paraId="67867236" w14:textId="77777777" w:rsidR="002B55C8" w:rsidRDefault="002B55C8" w:rsidP="002B55C8">
      <w:r>
        <w:rPr>
          <w:noProof/>
        </w:rPr>
        <w:drawing>
          <wp:inline distT="0" distB="0" distL="0" distR="0" wp14:anchorId="53711511" wp14:editId="3442054B">
            <wp:extent cx="5610225" cy="1590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87C20" w14:textId="77777777" w:rsidR="002B55C8" w:rsidRDefault="002B55C8" w:rsidP="002B55C8">
      <w:r>
        <w:rPr>
          <w:noProof/>
        </w:rPr>
        <w:lastRenderedPageBreak/>
        <w:drawing>
          <wp:inline distT="0" distB="0" distL="0" distR="0" wp14:anchorId="63D1D919" wp14:editId="04827F88">
            <wp:extent cx="5810250" cy="1514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EB0CB" w14:textId="77777777" w:rsidR="002B55C8" w:rsidRDefault="002B55C8" w:rsidP="002B55C8">
      <w:r>
        <w:t>and see if we need to make some changes. As a way of an example, I don’t see any reason code applicable in case I am reversing because the client has asked for a tax adjustment.</w:t>
      </w:r>
    </w:p>
    <w:p w14:paraId="3E624A3F" w14:textId="77777777" w:rsidR="002B55C8" w:rsidRDefault="002B55C8"/>
    <w:sectPr w:rsidR="002B55C8">
      <w:footerReference w:type="default" r:id="rId1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09E3" w14:textId="77777777" w:rsidR="00F233D0" w:rsidRDefault="00F233D0">
      <w:r>
        <w:separator/>
      </w:r>
    </w:p>
  </w:endnote>
  <w:endnote w:type="continuationSeparator" w:id="0">
    <w:p w14:paraId="37CEEC2A" w14:textId="77777777" w:rsidR="00F233D0" w:rsidRDefault="00F2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5AF2" w14:textId="09C8E171" w:rsidR="00416D73" w:rsidRDefault="00F233D0">
    <w:pPr>
      <w:pStyle w:val="FooterSwift"/>
      <w:rPr>
        <w:lang w:val="en-US"/>
      </w:rPr>
    </w:pPr>
    <w:sdt>
      <w:sdtPr>
        <w:rPr>
          <w:lang w:val="fr-BE"/>
        </w:rPr>
        <w:alias w:val="Title"/>
        <w:id w:val="1115948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A65">
          <w:rPr>
            <w:rStyle w:val="PlaceholderText"/>
          </w:rPr>
          <w:t>[Title]</w:t>
        </w:r>
      </w:sdtContent>
    </w:sdt>
    <w:r w:rsidR="00720A65">
      <w:rPr>
        <w:lang w:val="en-US"/>
      </w:rPr>
      <w:tab/>
      <w:t xml:space="preserve">Produced by </w:t>
    </w:r>
    <w:sdt>
      <w:sdtPr>
        <w:rPr>
          <w:lang w:val="fr-BE"/>
        </w:rPr>
        <w:alias w:val="Author"/>
        <w:id w:val="1115948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E6BB4">
          <w:rPr>
            <w:lang w:val="fr-BE"/>
          </w:rPr>
          <w:t>LITTRE Jacques</w:t>
        </w:r>
      </w:sdtContent>
    </w:sdt>
    <w:r w:rsidR="00720A65">
      <w:rPr>
        <w:lang w:val="en-US"/>
      </w:rPr>
      <w:tab/>
    </w:r>
    <w:r w:rsidR="00720A65">
      <w:t xml:space="preserve">Page </w:t>
    </w:r>
    <w:r w:rsidR="00720A65">
      <w:fldChar w:fldCharType="begin"/>
    </w:r>
    <w:r w:rsidR="00720A65">
      <w:instrText xml:space="preserve"> PAGE   \* MERGEFORMAT </w:instrText>
    </w:r>
    <w:r w:rsidR="00720A65">
      <w:fldChar w:fldCharType="separate"/>
    </w:r>
    <w:r w:rsidR="00AE6BB4">
      <w:rPr>
        <w:noProof/>
      </w:rPr>
      <w:t>1</w:t>
    </w:r>
    <w:r w:rsidR="00720A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1B9F" w14:textId="77777777" w:rsidR="00F233D0" w:rsidRDefault="00F233D0">
      <w:r>
        <w:separator/>
      </w:r>
    </w:p>
  </w:footnote>
  <w:footnote w:type="continuationSeparator" w:id="0">
    <w:p w14:paraId="261D3108" w14:textId="77777777" w:rsidR="00F233D0" w:rsidRDefault="00F2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449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0E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0580294"/>
    <w:multiLevelType w:val="hybridMultilevel"/>
    <w:tmpl w:val="E0B640A8"/>
    <w:lvl w:ilvl="0" w:tplc="47945122"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794437"/>
    <w:multiLevelType w:val="hybridMultilevel"/>
    <w:tmpl w:val="8200D4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30BA1"/>
    <w:multiLevelType w:val="hybridMultilevel"/>
    <w:tmpl w:val="3918CAB2"/>
    <w:lvl w:ilvl="0" w:tplc="09DCC154"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BB4"/>
    <w:rsid w:val="002B55C8"/>
    <w:rsid w:val="00416D73"/>
    <w:rsid w:val="004401AE"/>
    <w:rsid w:val="004F531B"/>
    <w:rsid w:val="00720A65"/>
    <w:rsid w:val="007269A5"/>
    <w:rsid w:val="0077696E"/>
    <w:rsid w:val="009569E3"/>
    <w:rsid w:val="00AE6BB4"/>
    <w:rsid w:val="00F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862B3"/>
  <w15:chartTrackingRefBased/>
  <w15:docId w15:val="{6146673D-1384-4FC4-B20D-F104863C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BB4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semiHidden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XMLCode">
    <w:name w:val="XML Code"/>
    <w:basedOn w:val="Normal"/>
    <w:rsid w:val="0077696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/>
    </w:pPr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rsid w:val="004F531B"/>
    <w:pPr>
      <w:tabs>
        <w:tab w:val="left" w:pos="400"/>
        <w:tab w:val="right" w:leader="dot" w:pos="9823"/>
      </w:tabs>
      <w:spacing w:before="40" w:after="120"/>
      <w:jc w:val="both"/>
    </w:pPr>
    <w:rPr>
      <w:rFonts w:eastAsia="Times New Roman"/>
      <w:b/>
    </w:rPr>
  </w:style>
  <w:style w:type="paragraph" w:styleId="TOC2">
    <w:name w:val="toc 2"/>
    <w:basedOn w:val="Normal"/>
    <w:next w:val="Normal"/>
    <w:autoRedefine/>
    <w:uiPriority w:val="39"/>
    <w:rsid w:val="004F531B"/>
    <w:pPr>
      <w:tabs>
        <w:tab w:val="left" w:pos="990"/>
        <w:tab w:val="right" w:leader="dot" w:pos="9823"/>
      </w:tabs>
      <w:spacing w:before="120" w:after="120"/>
      <w:ind w:left="432"/>
      <w:jc w:val="both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4F531B"/>
    <w:pPr>
      <w:tabs>
        <w:tab w:val="left" w:pos="1728"/>
        <w:tab w:val="right" w:leader="dot" w:pos="9823"/>
      </w:tabs>
      <w:spacing w:before="120" w:after="120"/>
      <w:ind w:left="1008"/>
      <w:jc w:val="both"/>
    </w:pPr>
    <w:rPr>
      <w:rFonts w:eastAsia="Times New Roman"/>
      <w:noProof/>
      <w:sz w:val="18"/>
    </w:rPr>
  </w:style>
  <w:style w:type="paragraph" w:styleId="TOC4">
    <w:name w:val="toc 4"/>
    <w:basedOn w:val="Normal"/>
    <w:next w:val="Normal"/>
    <w:autoRedefine/>
    <w:uiPriority w:val="39"/>
    <w:rsid w:val="004F531B"/>
    <w:pPr>
      <w:spacing w:before="120" w:after="120"/>
      <w:ind w:left="600"/>
      <w:jc w:val="both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8298F.9AD370C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2.png@01D8298F.9AD370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0FB7874506149B9A49F871893E44F" ma:contentTypeVersion="11" ma:contentTypeDescription="Create a new document." ma:contentTypeScope="" ma:versionID="f6551cc60db7f275c9a960ff20771403">
  <xsd:schema xmlns:xsd="http://www.w3.org/2001/XMLSchema" xmlns:xs="http://www.w3.org/2001/XMLSchema" xmlns:p="http://schemas.microsoft.com/office/2006/metadata/properties" xmlns:ns3="e236a67c-0d8c-4c77-80ff-598638e803c0" targetNamespace="http://schemas.microsoft.com/office/2006/metadata/properties" ma:root="true" ma:fieldsID="9aacc0509f8e0c8ff8090f0f5a05b962" ns3:_="">
    <xsd:import namespace="e236a67c-0d8c-4c77-80ff-598638e80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6a67c-0d8c-4c77-80ff-598638e80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F68F189-3930-404A-9D66-6647ABB06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6a67c-0d8c-4c77-80ff-598638e80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3C2E6-B3A3-4756-AE32-2B72B9319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4A92A-1C2D-4AAB-A1B5-ED3D1D8ED1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S.W.I.F.T.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3</cp:revision>
  <dcterms:created xsi:type="dcterms:W3CDTF">2021-10-08T10:03:00Z</dcterms:created>
  <dcterms:modified xsi:type="dcterms:W3CDTF">2022-04-01T14:17:00Z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2021-10-08T10:03:16Z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65e425de-1ca6-44aa-a2a5-82f578924952</vt:lpwstr>
  </property>
  <property fmtid="{D5CDD505-2E9C-101B-9397-08002B2CF9AE}" pid="8" name="MSIP_Label_4868b825-edee-44ac-b7a2-e857f0213f31_ContentBits">
    <vt:lpwstr>0</vt:lpwstr>
  </property>
  <property fmtid="{D5CDD505-2E9C-101B-9397-08002B2CF9AE}" pid="9" name="ContentTypeId">
    <vt:lpwstr>0x0101007250FB7874506149B9A49F871893E44F</vt:lpwstr>
  </property>
</Properties>
</file>