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03" w:rsidRPr="006E2E03" w:rsidRDefault="006E2E03" w:rsidP="00F8788B">
      <w:pPr>
        <w:rPr>
          <w:b/>
        </w:rPr>
      </w:pPr>
      <w:r w:rsidRPr="006E2E03">
        <w:rPr>
          <w:b/>
        </w:rPr>
        <w:t>3.14 Movement Sequence Usage in the MT564</w:t>
      </w:r>
    </w:p>
    <w:p w:rsidR="006E2E03" w:rsidRDefault="006E2E03" w:rsidP="00F8788B"/>
    <w:p w:rsidR="00F8788B" w:rsidRDefault="00F8788B" w:rsidP="00F8788B">
      <w:r>
        <w:t xml:space="preserve">All prices and rates are to be included at the relevant movement level (sequences E1/E2), not the option level (E). </w:t>
      </w:r>
    </w:p>
    <w:p w:rsidR="006365B7" w:rsidRDefault="00F8788B" w:rsidP="00F8788B">
      <w:r>
        <w:t>The only exception to this rule is when there will be no corresponding movement for the rate/price, at any time in the event. In this case, the rate/price can be included in sequence E. If the rate/price cannot be included</w:t>
      </w:r>
    </w:p>
    <w:p w:rsidR="00F8788B" w:rsidRDefault="00F8788B" w:rsidP="00F8788B">
      <w:r>
        <w:t xml:space="preserve">in </w:t>
      </w:r>
      <w:r w:rsidR="00121BF0">
        <w:t xml:space="preserve">the </w:t>
      </w:r>
      <w:r>
        <w:t xml:space="preserve">sequence E due to standards reasons, it must be included in the “Additional Text” element [seq. E or F - :70a::ADTX &lt;&gt; E or F / AdditionalInformation / AdditionalText]. </w:t>
      </w:r>
    </w:p>
    <w:p w:rsidR="00F8788B" w:rsidRDefault="00F8788B" w:rsidP="00F8788B"/>
    <w:p w:rsidR="005D1C4A" w:rsidRDefault="00F8788B" w:rsidP="005D1C4A">
      <w:r>
        <w:t xml:space="preserve">The Notification message should accurately reflect the projected </w:t>
      </w:r>
      <w:r w:rsidR="000B0A15">
        <w:t xml:space="preserve">movements </w:t>
      </w:r>
      <w:r>
        <w:t>and</w:t>
      </w:r>
      <w:r w:rsidR="000B0A15">
        <w:t>, where applicable, the ensuing</w:t>
      </w:r>
      <w:r>
        <w:t xml:space="preserve"> confirmed </w:t>
      </w:r>
      <w:r>
        <w:t xml:space="preserve">movements </w:t>
      </w:r>
      <w:r>
        <w:t xml:space="preserve">[MT564 “CAPA” </w:t>
      </w:r>
      <w:r w:rsidR="001D1306">
        <w:t xml:space="preserve">and MT566 </w:t>
      </w:r>
      <w:r w:rsidR="00EE1C2A">
        <w:t xml:space="preserve">&lt;&gt; </w:t>
      </w:r>
      <w:r>
        <w:t>seev.035</w:t>
      </w:r>
      <w:r w:rsidR="001D1306">
        <w:t xml:space="preserve"> and seev.036</w:t>
      </w:r>
      <w:r>
        <w:t xml:space="preserve">] </w:t>
      </w:r>
      <w:r>
        <w:t>on the cash/securities account, per option.</w:t>
      </w:r>
      <w:r w:rsidR="005D1C4A" w:rsidRPr="005D1C4A">
        <w:t xml:space="preserve"> </w:t>
      </w:r>
      <w:r w:rsidR="005D1C4A">
        <w:t xml:space="preserve">See also section 6.11.  </w:t>
      </w:r>
    </w:p>
    <w:p w:rsidR="00616612" w:rsidRDefault="00616612" w:rsidP="00616612">
      <w:r>
        <w:t xml:space="preserve">”Interest Rate Used For </w:t>
      </w:r>
      <w:r w:rsidR="00EB2848">
        <w:t xml:space="preserve">Payment” or </w:t>
      </w:r>
      <w:r>
        <w:t xml:space="preserve">“Gross Dividend Rate” and “Net Dividend Rate”, and the applicable tax rates (for instance. ”Withholding Tax Rate”) should always be included in the same </w:t>
      </w:r>
      <w:r w:rsidR="00463ACC">
        <w:t xml:space="preserve">cash </w:t>
      </w:r>
      <w:r>
        <w:t>movement sequence.</w:t>
      </w:r>
    </w:p>
    <w:p w:rsidR="00935313" w:rsidRDefault="00935313" w:rsidP="00616612">
      <w:r>
        <w:t xml:space="preserve">For standards reason, any security movement relevant to </w:t>
      </w:r>
      <w:r w:rsidR="00463ACC">
        <w:t>any</w:t>
      </w:r>
      <w:r>
        <w:t xml:space="preserve"> option </w:t>
      </w:r>
      <w:r w:rsidR="00463ACC">
        <w:t>is reported in a separate</w:t>
      </w:r>
      <w:r>
        <w:t xml:space="preserve"> sequence. </w:t>
      </w:r>
    </w:p>
    <w:p w:rsidR="00616612" w:rsidRDefault="00616612" w:rsidP="00616612"/>
    <w:p w:rsidR="00935313" w:rsidRPr="00935313" w:rsidRDefault="00935313" w:rsidP="00F8788B">
      <w:pPr>
        <w:rPr>
          <w:b/>
        </w:rPr>
      </w:pPr>
      <w:r w:rsidRPr="00935313">
        <w:rPr>
          <w:b/>
        </w:rPr>
        <w:t>3.14.1 Single cash movement sequence</w:t>
      </w:r>
    </w:p>
    <w:p w:rsidR="00F8788B" w:rsidRDefault="00935313" w:rsidP="00F8788B">
      <w:r>
        <w:t>When</w:t>
      </w:r>
      <w:r w:rsidR="00F8788B">
        <w:t xml:space="preserve"> </w:t>
      </w:r>
      <w:r w:rsidR="00BB3978">
        <w:t xml:space="preserve">projecting </w:t>
      </w:r>
      <w:r w:rsidR="002335EA">
        <w:t xml:space="preserve">a single aggregated entitled </w:t>
      </w:r>
      <w:r w:rsidR="002335EA">
        <w:t xml:space="preserve">amount </w:t>
      </w:r>
      <w:r w:rsidR="00BB3978">
        <w:t>and</w:t>
      </w:r>
      <w:r w:rsidR="00F8788B">
        <w:t xml:space="preserve"> </w:t>
      </w:r>
      <w:r w:rsidR="00EB2848">
        <w:t xml:space="preserve">later </w:t>
      </w:r>
      <w:r w:rsidR="00BB3978">
        <w:t xml:space="preserve">confirming </w:t>
      </w:r>
      <w:r w:rsidR="002335EA">
        <w:t xml:space="preserve">an aggregated </w:t>
      </w:r>
      <w:r w:rsidR="00BB3978">
        <w:t>posting amount</w:t>
      </w:r>
      <w:r w:rsidR="002335EA">
        <w:t xml:space="preserve"> </w:t>
      </w:r>
      <w:r w:rsidR="00463ACC">
        <w:t>for</w:t>
      </w:r>
      <w:r w:rsidR="002335EA">
        <w:t xml:space="preserve"> an option</w:t>
      </w:r>
      <w:r w:rsidR="00BB3978">
        <w:t xml:space="preserve"> [seq. D2 </w:t>
      </w:r>
      <w:r w:rsidR="002D6BA4">
        <w:t xml:space="preserve">- :19B::ENTL </w:t>
      </w:r>
      <w:r w:rsidR="00BB3978">
        <w:t xml:space="preserve">or E2 - </w:t>
      </w:r>
      <w:r w:rsidR="00EE1C2A">
        <w:t>:19B::POST &lt;&gt; E2 -</w:t>
      </w:r>
      <w:r w:rsidR="00BB3978">
        <w:t xml:space="preserve"> </w:t>
      </w:r>
      <w:r w:rsidR="004567DC" w:rsidRPr="004567DC">
        <w:t>EntitldAmt</w:t>
      </w:r>
      <w:r w:rsidR="004567DC" w:rsidRPr="004567DC">
        <w:t xml:space="preserve"> or </w:t>
      </w:r>
      <w:r w:rsidR="004567DC" w:rsidRPr="004567DC">
        <w:t>PstngAmt</w:t>
      </w:r>
      <w:r w:rsidR="004567DC">
        <w:t>], all</w:t>
      </w:r>
      <w:r w:rsidR="000B0A15">
        <w:t xml:space="preserve"> amounts,</w:t>
      </w:r>
      <w:r w:rsidR="004567DC">
        <w:t xml:space="preserve"> prices and rates relevant to </w:t>
      </w:r>
      <w:r w:rsidR="002335EA">
        <w:t>that</w:t>
      </w:r>
      <w:r w:rsidR="004567DC">
        <w:t xml:space="preserve"> option should be stated in the same sequence of both the Notification and</w:t>
      </w:r>
      <w:r w:rsidR="002335EA">
        <w:t xml:space="preserve"> the </w:t>
      </w:r>
      <w:r w:rsidR="004567DC">
        <w:t xml:space="preserve">Movement Confirmation. </w:t>
      </w:r>
    </w:p>
    <w:p w:rsidR="00F8788B" w:rsidRDefault="00F8788B" w:rsidP="00F8788B"/>
    <w:p w:rsidR="00935313" w:rsidRPr="00935313" w:rsidRDefault="00935313" w:rsidP="00F8788B">
      <w:pPr>
        <w:rPr>
          <w:b/>
        </w:rPr>
      </w:pPr>
      <w:r w:rsidRPr="00935313">
        <w:rPr>
          <w:b/>
        </w:rPr>
        <w:t>3.14.2 Multiple cash movement sequences</w:t>
      </w:r>
    </w:p>
    <w:p w:rsidR="00935313" w:rsidRDefault="00935313" w:rsidP="001D1306">
      <w:r>
        <w:t xml:space="preserve">When </w:t>
      </w:r>
      <w:r w:rsidR="00F8788B">
        <w:t>includ</w:t>
      </w:r>
      <w:r>
        <w:t>ing</w:t>
      </w:r>
      <w:r w:rsidR="006E2E03">
        <w:t xml:space="preserve"> </w:t>
      </w:r>
      <w:r w:rsidR="00F8788B">
        <w:t xml:space="preserve">two </w:t>
      </w:r>
      <w:r w:rsidR="00616612">
        <w:t xml:space="preserve">or more </w:t>
      </w:r>
      <w:r w:rsidR="00F8788B">
        <w:t xml:space="preserve">cash movements </w:t>
      </w:r>
      <w:r>
        <w:t>in an option</w:t>
      </w:r>
      <w:r w:rsidR="00F8788B">
        <w:t>, the Movement Confirmation message</w:t>
      </w:r>
      <w:r w:rsidR="00F8788B">
        <w:t xml:space="preserve"> </w:t>
      </w:r>
      <w:r w:rsidR="00F8788B">
        <w:t xml:space="preserve">sent for that option should also include </w:t>
      </w:r>
      <w:r w:rsidR="00616612">
        <w:t>multiple</w:t>
      </w:r>
      <w:r w:rsidR="00F8788B">
        <w:t xml:space="preserve"> cash </w:t>
      </w:r>
      <w:r>
        <w:t xml:space="preserve">movements and </w:t>
      </w:r>
      <w:r w:rsidR="000B0A15">
        <w:t>separate posting amounts</w:t>
      </w:r>
      <w:r w:rsidR="00F8788B">
        <w:t>.</w:t>
      </w:r>
    </w:p>
    <w:p w:rsidR="00935313" w:rsidRDefault="00935313" w:rsidP="001D1306"/>
    <w:p w:rsidR="00935313" w:rsidRDefault="00935313" w:rsidP="00935313">
      <w:r>
        <w:t xml:space="preserve">Please note that due to </w:t>
      </w:r>
      <w:r w:rsidR="00463ACC">
        <w:t xml:space="preserve">Account Servicer’s </w:t>
      </w:r>
      <w:r>
        <w:t xml:space="preserve">system </w:t>
      </w:r>
      <w:r w:rsidR="00463ACC">
        <w:t>constraints</w:t>
      </w:r>
      <w:r>
        <w:t xml:space="preserve"> or </w:t>
      </w:r>
      <w:bookmarkStart w:id="0" w:name="_GoBack"/>
      <w:bookmarkEnd w:id="0"/>
      <w:r>
        <w:t>preferences</w:t>
      </w:r>
      <w:r w:rsidR="00463ACC">
        <w:t>,</w:t>
      </w:r>
      <w:r>
        <w:t xml:space="preserve"> each movement</w:t>
      </w:r>
      <w:r w:rsidR="00463ACC">
        <w:t>, cash and/or securities,</w:t>
      </w:r>
      <w:r>
        <w:t xml:space="preserve"> can be sent in separate Movement Confirmation messages.</w:t>
      </w:r>
    </w:p>
    <w:p w:rsidR="00935313" w:rsidRDefault="00935313" w:rsidP="00935313"/>
    <w:p w:rsidR="00935313" w:rsidRPr="00463ACC" w:rsidRDefault="00463ACC" w:rsidP="001D1306">
      <w:pPr>
        <w:rPr>
          <w:b/>
        </w:rPr>
      </w:pPr>
      <w:r w:rsidRPr="00463ACC">
        <w:rPr>
          <w:b/>
        </w:rPr>
        <w:t>3.14.3. Data providers</w:t>
      </w:r>
    </w:p>
    <w:p w:rsidR="00C506E2" w:rsidRDefault="00463ACC" w:rsidP="001D1306">
      <w:r>
        <w:t>D</w:t>
      </w:r>
      <w:r w:rsidR="00C506E2">
        <w:t xml:space="preserve">ata providers </w:t>
      </w:r>
      <w:r w:rsidR="00C506E2">
        <w:t xml:space="preserve">are exempt of the </w:t>
      </w:r>
      <w:r w:rsidR="00791FFA">
        <w:t>above-mentioned</w:t>
      </w:r>
      <w:r>
        <w:t xml:space="preserve"> rules </w:t>
      </w:r>
      <w:r w:rsidR="00C506E2">
        <w:t>regarding projections and confirmations.</w:t>
      </w:r>
      <w:r w:rsidR="00C506E2">
        <w:br/>
        <w:t>They should however adhere to the general rules concerning placement of rates and amounts on movement level and for interest and dividend payments.</w:t>
      </w:r>
    </w:p>
    <w:p w:rsidR="000B0A15" w:rsidRDefault="000B0A15" w:rsidP="001D1306"/>
    <w:p w:rsidR="00F8788B" w:rsidRPr="00F8788B" w:rsidRDefault="00F8788B" w:rsidP="00F8788B">
      <w:r>
        <w:t xml:space="preserve">An example of the usage of the </w:t>
      </w:r>
      <w:r w:rsidR="001D1306">
        <w:t xml:space="preserve">multiple cash </w:t>
      </w:r>
      <w:r>
        <w:t>movement sequences in a Notification message in ISO 15022 is provided in section 13.3.</w:t>
      </w:r>
    </w:p>
    <w:sectPr w:rsidR="00F8788B" w:rsidRPr="00F8788B" w:rsidSect="00A06BB3">
      <w:footerReference w:type="default" r:id="rId11"/>
      <w:pgSz w:w="11907" w:h="16839" w:code="9"/>
      <w:pgMar w:top="1985" w:right="737" w:bottom="1134" w:left="1814" w:header="703" w:footer="703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8B" w:rsidRDefault="00F8788B" w:rsidP="00D91F59">
      <w:r>
        <w:separator/>
      </w:r>
    </w:p>
  </w:endnote>
  <w:endnote w:type="continuationSeparator" w:id="0">
    <w:p w:rsidR="00F8788B" w:rsidRDefault="00F8788B" w:rsidP="00D9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dit Suisse Type Light">
    <w:panose1 w:val="020B0303040503020204"/>
    <w:charset w:val="00"/>
    <w:family w:val="swiss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redit Suisse Headline">
    <w:panose1 w:val="020B0504030101020102"/>
    <w:charset w:val="00"/>
    <w:family w:val="swiss"/>
    <w:pitch w:val="variable"/>
    <w:sig w:usb0="A00000EF" w:usb1="400020FB" w:usb2="00000008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7D" w:rsidRPr="00A7457D" w:rsidRDefault="00A7457D" w:rsidP="00403D1C">
    <w:pPr>
      <w:rPr>
        <w:color w:val="3F3F3F" w:themeColor="text2" w:themeShade="80"/>
        <w:szCs w:val="20"/>
      </w:rPr>
    </w:pPr>
    <w:r w:rsidRPr="00A7457D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436FC" wp14:editId="787E4ECA">
              <wp:simplePos x="0" y="0"/>
              <mc:AlternateContent>
                <mc:Choice Requires="wp14">
                  <wp:positionH relativeFrom="page">
                    <wp14:pctPosHOffset>88000</wp14:pctPosHOffset>
                  </wp:positionH>
                </mc:Choice>
                <mc:Fallback>
                  <wp:positionH relativeFrom="page">
                    <wp:posOffset>6653530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88620" cy="313055"/>
              <wp:effectExtent l="0" t="0" r="317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457D" w:rsidRPr="00A7457D" w:rsidRDefault="00A7457D" w:rsidP="00A7457D">
                          <w:pPr>
                            <w:jc w:val="right"/>
                            <w:rPr>
                              <w:color w:val="3F3F3F" w:themeColor="text2" w:themeShade="80"/>
                              <w:szCs w:val="20"/>
                            </w:rPr>
                          </w:pPr>
                          <w:r w:rsidRPr="00A7457D">
                            <w:rPr>
                              <w:color w:val="3F3F3F" w:themeColor="text2" w:themeShade="80"/>
                              <w:szCs w:val="20"/>
                            </w:rPr>
                            <w:fldChar w:fldCharType="begin"/>
                          </w:r>
                          <w:r w:rsidRPr="00A7457D">
                            <w:rPr>
                              <w:color w:val="3F3F3F" w:themeColor="text2" w:themeShade="8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A7457D">
                            <w:rPr>
                              <w:color w:val="3F3F3F" w:themeColor="text2" w:themeShade="80"/>
                              <w:szCs w:val="20"/>
                            </w:rPr>
                            <w:fldChar w:fldCharType="separate"/>
                          </w:r>
                          <w:r w:rsidR="001A7D98">
                            <w:rPr>
                              <w:noProof/>
                              <w:color w:val="3F3F3F" w:themeColor="text2" w:themeShade="80"/>
                              <w:szCs w:val="20"/>
                            </w:rPr>
                            <w:t>1</w:t>
                          </w:r>
                          <w:r w:rsidRPr="00A7457D">
                            <w:rPr>
                              <w:color w:val="3F3F3F" w:themeColor="text2" w:themeShade="8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EC436FC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880;mso-top-percent:930;mso-wrap-distance-left:9pt;mso-wrap-distance-top:0;mso-wrap-distance-right:9pt;mso-wrap-distance-bottom:0;mso-position-horizontal-relative:page;mso-position-vertical-relative:page;mso-width-percent:50;mso-height-percent:50;mso-left-percent:88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" fillcolor="white [3201]" stroked="f" strokeweight=".5pt">
              <v:textbox style="mso-fit-shape-to-text:t" inset="0,,0">
                <w:txbxContent>
                  <w:p w:rsidR="00A7457D" w:rsidRPr="00A7457D" w:rsidRDefault="00A7457D" w:rsidP="00A7457D">
                    <w:pPr>
                      <w:jc w:val="right"/>
                      <w:rPr>
                        <w:color w:val="3F3F3F" w:themeColor="text2" w:themeShade="80"/>
                        <w:szCs w:val="20"/>
                      </w:rPr>
                    </w:pPr>
                    <w:r w:rsidRPr="00A7457D">
                      <w:rPr>
                        <w:color w:val="3F3F3F" w:themeColor="text2" w:themeShade="80"/>
                        <w:szCs w:val="20"/>
                      </w:rPr>
                      <w:fldChar w:fldCharType="begin"/>
                    </w:r>
                    <w:r w:rsidRPr="00A7457D">
                      <w:rPr>
                        <w:color w:val="3F3F3F" w:themeColor="text2" w:themeShade="80"/>
                        <w:szCs w:val="20"/>
                      </w:rPr>
                      <w:instrText xml:space="preserve"> PAGE  \* Arabic  \* MERGEFORMAT </w:instrText>
                    </w:r>
                    <w:r w:rsidRPr="00A7457D">
                      <w:rPr>
                        <w:color w:val="3F3F3F" w:themeColor="text2" w:themeShade="80"/>
                        <w:szCs w:val="20"/>
                      </w:rPr>
                      <w:fldChar w:fldCharType="separate"/>
                    </w:r>
                    <w:r w:rsidR="001A7D98">
                      <w:rPr>
                        <w:noProof/>
                        <w:color w:val="3F3F3F" w:themeColor="text2" w:themeShade="80"/>
                        <w:szCs w:val="20"/>
                      </w:rPr>
                      <w:t>1</w:t>
                    </w:r>
                    <w:r w:rsidRPr="00A7457D">
                      <w:rPr>
                        <w:color w:val="3F3F3F" w:themeColor="text2" w:themeShade="8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8B" w:rsidRDefault="00F8788B" w:rsidP="00D91F59">
      <w:r>
        <w:separator/>
      </w:r>
    </w:p>
  </w:footnote>
  <w:footnote w:type="continuationSeparator" w:id="0">
    <w:p w:rsidR="00F8788B" w:rsidRDefault="00F8788B" w:rsidP="00D9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E82B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0EED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103E4"/>
    <w:multiLevelType w:val="multilevel"/>
    <w:tmpl w:val="FCF615A8"/>
    <w:numStyleLink w:val="ListCS"/>
  </w:abstractNum>
  <w:abstractNum w:abstractNumId="3" w15:restartNumberingAfterBreak="0">
    <w:nsid w:val="22D03EA2"/>
    <w:multiLevelType w:val="multilevel"/>
    <w:tmpl w:val="FCF615A8"/>
    <w:numStyleLink w:val="ListCS"/>
  </w:abstractNum>
  <w:abstractNum w:abstractNumId="4" w15:restartNumberingAfterBreak="0">
    <w:nsid w:val="237F07CE"/>
    <w:multiLevelType w:val="multilevel"/>
    <w:tmpl w:val="FCF615A8"/>
    <w:styleLink w:val="ListCS"/>
    <w:lvl w:ilvl="0">
      <w:start w:val="1"/>
      <w:numFmt w:val="bullet"/>
      <w:pStyle w:val="ListBullet"/>
      <w:lvlText w:val=""/>
      <w:lvlJc w:val="left"/>
      <w:pPr>
        <w:ind w:left="198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1">
      <w:start w:val="1"/>
      <w:numFmt w:val="bullet"/>
      <w:pStyle w:val="ListBullet2"/>
      <w:lvlText w:val="−"/>
      <w:lvlJc w:val="left"/>
      <w:pPr>
        <w:ind w:left="396" w:hanging="198"/>
      </w:pPr>
      <w:rPr>
        <w:rFonts w:ascii="Credit Suisse Type Light" w:hAnsi="Credit Suisse Type Light" w:cs="Times New Roman" w:hint="default"/>
        <w:color w:val="auto"/>
      </w:rPr>
    </w:lvl>
    <w:lvl w:ilvl="2">
      <w:start w:val="1"/>
      <w:numFmt w:val="bullet"/>
      <w:lvlText w:val=""/>
      <w:lvlJc w:val="left"/>
      <w:pPr>
        <w:tabs>
          <w:tab w:val="num" w:pos="2835"/>
        </w:tabs>
        <w:ind w:left="594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3">
      <w:start w:val="1"/>
      <w:numFmt w:val="bullet"/>
      <w:lvlText w:val="−"/>
      <w:lvlJc w:val="left"/>
      <w:pPr>
        <w:tabs>
          <w:tab w:val="num" w:pos="5670"/>
        </w:tabs>
        <w:ind w:left="792" w:hanging="198"/>
      </w:pPr>
      <w:rPr>
        <w:rFonts w:ascii="Credit Suisse Type Light" w:hAnsi="Credit Suisse Type Light" w:cs="Times New Roman" w:hint="default"/>
        <w:color w:val="auto"/>
      </w:rPr>
    </w:lvl>
    <w:lvl w:ilvl="4">
      <w:start w:val="1"/>
      <w:numFmt w:val="bullet"/>
      <w:lvlText w:val=""/>
      <w:lvlJc w:val="left"/>
      <w:pPr>
        <w:ind w:left="990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5">
      <w:start w:val="1"/>
      <w:numFmt w:val="bullet"/>
      <w:lvlText w:val="−"/>
      <w:lvlJc w:val="left"/>
      <w:pPr>
        <w:ind w:left="1188" w:hanging="198"/>
      </w:pPr>
      <w:rPr>
        <w:rFonts w:ascii="Credit Suisse Type Light" w:hAnsi="Credit Suisse Type Light" w:cs="Times New Roman" w:hint="default"/>
        <w:color w:val="auto"/>
      </w:rPr>
    </w:lvl>
    <w:lvl w:ilvl="6">
      <w:start w:val="1"/>
      <w:numFmt w:val="bullet"/>
      <w:lvlText w:val=""/>
      <w:lvlJc w:val="left"/>
      <w:pPr>
        <w:ind w:left="1389" w:hanging="201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7">
      <w:start w:val="1"/>
      <w:numFmt w:val="bullet"/>
      <w:lvlText w:val="−"/>
      <w:lvlJc w:val="left"/>
      <w:pPr>
        <w:ind w:left="1588" w:hanging="199"/>
      </w:pPr>
      <w:rPr>
        <w:rFonts w:ascii="Credit Suisse Type Light" w:hAnsi="Credit Suisse Type Light" w:cs="Times New Roman" w:hint="default"/>
        <w:color w:val="auto"/>
      </w:rPr>
    </w:lvl>
    <w:lvl w:ilvl="8">
      <w:start w:val="1"/>
      <w:numFmt w:val="bullet"/>
      <w:lvlText w:val=""/>
      <w:lvlJc w:val="left"/>
      <w:pPr>
        <w:ind w:left="1786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</w:abstractNum>
  <w:abstractNum w:abstractNumId="5" w15:restartNumberingAfterBreak="0">
    <w:nsid w:val="2B564BD9"/>
    <w:multiLevelType w:val="hybridMultilevel"/>
    <w:tmpl w:val="C70482D8"/>
    <w:lvl w:ilvl="0" w:tplc="5F5604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A50A2"/>
    <w:multiLevelType w:val="multilevel"/>
    <w:tmpl w:val="FCF615A8"/>
    <w:numStyleLink w:val="ListCS"/>
  </w:abstractNum>
  <w:abstractNum w:abstractNumId="7" w15:restartNumberingAfterBreak="0">
    <w:nsid w:val="34E86371"/>
    <w:multiLevelType w:val="multilevel"/>
    <w:tmpl w:val="FCF615A8"/>
    <w:numStyleLink w:val="ListCS"/>
  </w:abstractNum>
  <w:abstractNum w:abstractNumId="8" w15:restartNumberingAfterBreak="0">
    <w:nsid w:val="3531541D"/>
    <w:multiLevelType w:val="multilevel"/>
    <w:tmpl w:val="FCF615A8"/>
    <w:numStyleLink w:val="ListCS"/>
  </w:abstractNum>
  <w:abstractNum w:abstractNumId="9" w15:restartNumberingAfterBreak="0">
    <w:nsid w:val="6C164AC3"/>
    <w:multiLevelType w:val="hybridMultilevel"/>
    <w:tmpl w:val="EBDA9D34"/>
    <w:lvl w:ilvl="0" w:tplc="0FDA78E8">
      <w:start w:val="1"/>
      <w:numFmt w:val="bullet"/>
      <w:lvlText w:val=""/>
      <w:lvlJc w:val="left"/>
      <w:pPr>
        <w:ind w:left="720" w:hanging="360"/>
      </w:pPr>
      <w:rPr>
        <w:rFonts w:ascii="Credit Suisse Type Light" w:hAnsi="Credit Suisse Type Light" w:cs="Credit Suisse Type Light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8B"/>
    <w:rsid w:val="0000041D"/>
    <w:rsid w:val="000144B8"/>
    <w:rsid w:val="00033348"/>
    <w:rsid w:val="0004045D"/>
    <w:rsid w:val="00055C3A"/>
    <w:rsid w:val="00064279"/>
    <w:rsid w:val="000716DB"/>
    <w:rsid w:val="0007327B"/>
    <w:rsid w:val="00084D15"/>
    <w:rsid w:val="00090DC1"/>
    <w:rsid w:val="000B0A15"/>
    <w:rsid w:val="000E0B74"/>
    <w:rsid w:val="000F49D0"/>
    <w:rsid w:val="0010658C"/>
    <w:rsid w:val="001164A0"/>
    <w:rsid w:val="00121BF0"/>
    <w:rsid w:val="001A2A9B"/>
    <w:rsid w:val="001A7D98"/>
    <w:rsid w:val="001C50EC"/>
    <w:rsid w:val="001D1306"/>
    <w:rsid w:val="001D27B4"/>
    <w:rsid w:val="001E010B"/>
    <w:rsid w:val="001F10A7"/>
    <w:rsid w:val="00220C54"/>
    <w:rsid w:val="00224603"/>
    <w:rsid w:val="002335EA"/>
    <w:rsid w:val="00242C30"/>
    <w:rsid w:val="00245E5E"/>
    <w:rsid w:val="002628C8"/>
    <w:rsid w:val="00266220"/>
    <w:rsid w:val="002A40FF"/>
    <w:rsid w:val="002A42B8"/>
    <w:rsid w:val="002B65A8"/>
    <w:rsid w:val="002D6BA4"/>
    <w:rsid w:val="003271DE"/>
    <w:rsid w:val="00345889"/>
    <w:rsid w:val="00370E6D"/>
    <w:rsid w:val="003810CF"/>
    <w:rsid w:val="003F2E4D"/>
    <w:rsid w:val="00403D1C"/>
    <w:rsid w:val="004047B4"/>
    <w:rsid w:val="00445B2A"/>
    <w:rsid w:val="00452CE5"/>
    <w:rsid w:val="004567DC"/>
    <w:rsid w:val="004630C4"/>
    <w:rsid w:val="00463ACC"/>
    <w:rsid w:val="004B1475"/>
    <w:rsid w:val="004C0E79"/>
    <w:rsid w:val="004C4A6F"/>
    <w:rsid w:val="004D747F"/>
    <w:rsid w:val="0051309E"/>
    <w:rsid w:val="00591B4C"/>
    <w:rsid w:val="005A7AA1"/>
    <w:rsid w:val="005B4018"/>
    <w:rsid w:val="005B6232"/>
    <w:rsid w:val="005B7325"/>
    <w:rsid w:val="005C1598"/>
    <w:rsid w:val="005C18C3"/>
    <w:rsid w:val="005D1C4A"/>
    <w:rsid w:val="005D7BA3"/>
    <w:rsid w:val="005E299A"/>
    <w:rsid w:val="0061315F"/>
    <w:rsid w:val="00616612"/>
    <w:rsid w:val="006365B7"/>
    <w:rsid w:val="00697EA7"/>
    <w:rsid w:val="006C37E4"/>
    <w:rsid w:val="006E2E03"/>
    <w:rsid w:val="00746C09"/>
    <w:rsid w:val="00760446"/>
    <w:rsid w:val="00770E55"/>
    <w:rsid w:val="00783CA6"/>
    <w:rsid w:val="00791FFA"/>
    <w:rsid w:val="007941AA"/>
    <w:rsid w:val="007D3A59"/>
    <w:rsid w:val="00816014"/>
    <w:rsid w:val="00830943"/>
    <w:rsid w:val="00844C0C"/>
    <w:rsid w:val="00845E77"/>
    <w:rsid w:val="008C0CC5"/>
    <w:rsid w:val="008F35AB"/>
    <w:rsid w:val="00935313"/>
    <w:rsid w:val="0094120A"/>
    <w:rsid w:val="009770D7"/>
    <w:rsid w:val="009862A2"/>
    <w:rsid w:val="00991EA9"/>
    <w:rsid w:val="009B1927"/>
    <w:rsid w:val="009B5934"/>
    <w:rsid w:val="009C0BB6"/>
    <w:rsid w:val="009F4728"/>
    <w:rsid w:val="00A06BB3"/>
    <w:rsid w:val="00A171E2"/>
    <w:rsid w:val="00A31F05"/>
    <w:rsid w:val="00A342FD"/>
    <w:rsid w:val="00A4278C"/>
    <w:rsid w:val="00A605B5"/>
    <w:rsid w:val="00A624E6"/>
    <w:rsid w:val="00A7457D"/>
    <w:rsid w:val="00A80B06"/>
    <w:rsid w:val="00AA24D6"/>
    <w:rsid w:val="00AB309D"/>
    <w:rsid w:val="00AB78D3"/>
    <w:rsid w:val="00AF647E"/>
    <w:rsid w:val="00B1772E"/>
    <w:rsid w:val="00B40B54"/>
    <w:rsid w:val="00B4749A"/>
    <w:rsid w:val="00BA13DE"/>
    <w:rsid w:val="00BB3978"/>
    <w:rsid w:val="00BD430E"/>
    <w:rsid w:val="00C506E2"/>
    <w:rsid w:val="00C60CAD"/>
    <w:rsid w:val="00C625A4"/>
    <w:rsid w:val="00C66184"/>
    <w:rsid w:val="00C70177"/>
    <w:rsid w:val="00C854AF"/>
    <w:rsid w:val="00CB32DF"/>
    <w:rsid w:val="00CC7830"/>
    <w:rsid w:val="00CE7149"/>
    <w:rsid w:val="00D143B1"/>
    <w:rsid w:val="00D32D84"/>
    <w:rsid w:val="00D43C94"/>
    <w:rsid w:val="00D45CA4"/>
    <w:rsid w:val="00D51873"/>
    <w:rsid w:val="00D528C1"/>
    <w:rsid w:val="00D85000"/>
    <w:rsid w:val="00D91F59"/>
    <w:rsid w:val="00DA485E"/>
    <w:rsid w:val="00DC4F33"/>
    <w:rsid w:val="00E235BA"/>
    <w:rsid w:val="00E35C72"/>
    <w:rsid w:val="00EB2848"/>
    <w:rsid w:val="00EE1C2A"/>
    <w:rsid w:val="00F32AF6"/>
    <w:rsid w:val="00F3363D"/>
    <w:rsid w:val="00F47B51"/>
    <w:rsid w:val="00F67163"/>
    <w:rsid w:val="00F8788B"/>
    <w:rsid w:val="00FA44E9"/>
    <w:rsid w:val="00FB51CF"/>
    <w:rsid w:val="00F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F7F1F3"/>
  <w15:chartTrackingRefBased/>
  <w15:docId w15:val="{960A0E10-84EE-4FB8-BE3D-6832E1E3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uiPriority="5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8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Cs w:val="20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072C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6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0072CE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00559A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3001_NEW CS TEMPLATE">
  <a:themeElements>
    <a:clrScheme name="New Brand">
      <a:dk1>
        <a:sysClr val="windowText" lastClr="000000"/>
      </a:dk1>
      <a:lt1>
        <a:sysClr val="window" lastClr="FFFFFF"/>
      </a:lt1>
      <a:dk2>
        <a:srgbClr val="7F7F7F"/>
      </a:dk2>
      <a:lt2>
        <a:srgbClr val="E7E8E9"/>
      </a:lt2>
      <a:accent1>
        <a:srgbClr val="0072CE"/>
      </a:accent1>
      <a:accent2>
        <a:srgbClr val="78C043"/>
      </a:accent2>
      <a:accent3>
        <a:srgbClr val="865BBC"/>
      </a:accent3>
      <a:accent4>
        <a:srgbClr val="00B2AC"/>
      </a:accent4>
      <a:accent5>
        <a:srgbClr val="DA0C6F"/>
      </a:accent5>
      <a:accent6>
        <a:srgbClr val="FFFFFF"/>
      </a:accent6>
      <a:hlink>
        <a:srgbClr val="000000"/>
      </a:hlink>
      <a:folHlink>
        <a:srgbClr val="000000"/>
      </a:folHlink>
    </a:clrScheme>
    <a:fontScheme name="Custom 1">
      <a:majorFont>
        <a:latin typeface="Credit Suisse Headline"/>
        <a:ea typeface=""/>
        <a:cs typeface=""/>
      </a:majorFont>
      <a:minorFont>
        <a:latin typeface="Credit Suisse Type Light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72CE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>
        <a:defPPr algn="ctr">
          <a:defRPr sz="12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180000" indent="-180000">
          <a:buFont typeface="Wingdings" panose="05000000000000000000" pitchFamily="2" charset="2"/>
          <a:buChar char="§"/>
          <a:defRPr sz="1200" dirty="0" smtClean="0"/>
        </a:defPPr>
      </a:lstStyle>
    </a:txDef>
  </a:objectDefaults>
  <a:extraClrSchemeLst/>
  <a:custClrLst>
    <a:custClr name="Credit Suisse Blue">
      <a:srgbClr val="0072CE"/>
    </a:custClr>
    <a:custClr name="Credit Suisse Turquoise">
      <a:srgbClr val="00B2AC"/>
    </a:custClr>
    <a:custClr name="Credit Suisse Green">
      <a:srgbClr val="78C048"/>
    </a:custClr>
    <a:custClr name="Credit Suisse Purple">
      <a:srgbClr val="865BBC"/>
    </a:custClr>
    <a:custClr name="Credit Suisse Magenta">
      <a:srgbClr val="DA0C6F"/>
    </a:custClr>
    <a:custClr name="Credit Suisse Black">
      <a:srgbClr val="000000"/>
    </a:custClr>
    <a:custClr name="Credit Suisse Gray 3">
      <a:srgbClr val="DADADA"/>
    </a:custClr>
    <a:custClr name="White">
      <a:srgbClr val="FFFFFF"/>
    </a:custClr>
    <a:custClr name="White">
      <a:srgbClr val="FFFFFF"/>
    </a:custClr>
    <a:custClr name="RAG Green">
      <a:srgbClr val="008000"/>
    </a:custClr>
    <a:custClr name="Credit Suisse Dark Blue">
      <a:srgbClr val="003868"/>
    </a:custClr>
    <a:custClr name="Credit Suisse Dark Turquoise">
      <a:srgbClr val="005B66"/>
    </a:custClr>
    <a:custClr name="Credit Suisse Dark Green">
      <a:srgbClr val="00562A"/>
    </a:custClr>
    <a:custClr name="Credit Suisse Dark Purple">
      <a:srgbClr val="4C227C"/>
    </a:custClr>
    <a:custClr name="Credit Suisse Dark Magenta">
      <a:srgbClr val="7A004C"/>
    </a:custClr>
    <a:custClr name="Credit Suisse Gray 6">
      <a:srgbClr val="575756"/>
    </a:custClr>
    <a:custClr name="Credit Suisse Gray 2">
      <a:srgbClr val="E6E7E8"/>
    </a:custClr>
    <a:custClr name="White">
      <a:srgbClr val="FFFFFF"/>
    </a:custClr>
    <a:custClr name="White">
      <a:srgbClr val="FFFFFF"/>
    </a:custClr>
    <a:custClr name="RAG Red">
      <a:srgbClr val="D91E18"/>
    </a:custClr>
    <a:custClr name="Credit Suisse Mid Blue">
      <a:srgbClr val="004C97"/>
    </a:custClr>
    <a:custClr name="Credit Suisse Mid Turquoise">
      <a:srgbClr val="007D84"/>
    </a:custClr>
    <a:custClr name="Credit Suisse Mid Green">
      <a:srgbClr val="1F7C34"/>
    </a:custClr>
    <a:custClr name="Credit Suisse Mid Purple">
      <a:srgbClr val="633F9A"/>
    </a:custClr>
    <a:custClr name="Credit Suisse Mid Magenta">
      <a:srgbClr val="B4006E"/>
    </a:custClr>
    <a:custClr name="Credit Suisse Gray 5">
      <a:srgbClr val="7C7C7B"/>
    </a:custClr>
    <a:custClr name="Credit Suisse Gray 1">
      <a:srgbClr val="F1F2F2"/>
    </a:custClr>
    <a:custClr name="White">
      <a:srgbClr val="FFFFFF"/>
    </a:custClr>
    <a:custClr name="White">
      <a:srgbClr val="FFFFFF"/>
    </a:custClr>
    <a:custClr name="RAG Amber">
      <a:srgbClr val="FFB81C"/>
    </a:custClr>
    <a:custClr name="Credit Suisse Light Blue">
      <a:srgbClr val="ADC8E9"/>
    </a:custClr>
    <a:custClr name="Credit Suisse Light Turquoise">
      <a:srgbClr val="BFE5E2"/>
    </a:custClr>
    <a:custClr name="Credit Suisse Light Green">
      <a:srgbClr val="D5E9C1"/>
    </a:custClr>
    <a:custClr name="Credit Suisse Light Purple">
      <a:srgbClr val="D1C4E0"/>
    </a:custClr>
    <a:custClr name="Credit Suisse Light Magenta">
      <a:srgbClr val="F9C0CC"/>
    </a:custClr>
    <a:custClr name="Credit Suisse Gray 4">
      <a:srgbClr val="A8A8A7"/>
    </a:custClr>
    <a:custClr name="Credit Suisse 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2940C6D63F644875D7E3A71A65777" ma:contentTypeVersion="3" ma:contentTypeDescription="Create a new document." ma:contentTypeScope="" ma:versionID="53f58ef6306b6e42febee57805344d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52db2fa3f32b543b0ef575867757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B938-E3D2-47C6-8CF1-D33BCA14C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0ACE03-F137-4AA2-9F2B-984143ED4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9037E6-E22E-453B-ABC7-6C299E50B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FE1CB-D0A1-411F-81F6-2D29109D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1933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Suisse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Blumer, Michael (MOAA 321)</dc:creator>
  <cp:keywords/>
  <dc:description/>
  <cp:lastModifiedBy>Blumer, Michael (MOAA 321)</cp:lastModifiedBy>
  <cp:revision>13</cp:revision>
  <dcterms:created xsi:type="dcterms:W3CDTF">2022-09-06T12:16:00Z</dcterms:created>
  <dcterms:modified xsi:type="dcterms:W3CDTF">2022-09-06T15:34:00Z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IProp12DataClass+304a34c9-5b17-4e2a-bdc3-dec6a43f35e7">
    <vt:lpwstr>v=1.2&gt;I=304a34c9-5b17-4e2a-bdc3-dec6a43f35e7&amp;N=Unrestricted&amp;V=1.3&amp;U=S-1-5-21-3718294971-3193642644-4012788348-19162&amp;D=Blumer%2c+Michael+(MOAG+421)&amp;A=Associated&amp;H=False</vt:lpwstr>
  </property>
  <property fmtid="{D5CDD505-2E9C-101B-9397-08002B2CF9AE}" pid="3" name="Classification">
    <vt:lpwstr>Unrestricted</vt:lpwstr>
  </property>
</Properties>
</file>