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E5A7" w14:textId="77777777" w:rsidR="0029126B" w:rsidRPr="0029126B" w:rsidRDefault="0029126B">
      <w:pPr>
        <w:rPr>
          <w:b/>
          <w:bCs/>
          <w:lang w:val="en-US"/>
        </w:rPr>
      </w:pPr>
      <w:r w:rsidRPr="0029126B">
        <w:rPr>
          <w:b/>
          <w:bCs/>
          <w:lang w:val="en-US"/>
        </w:rPr>
        <w:t xml:space="preserve">8.13 Negative and Zero Balances </w:t>
      </w:r>
    </w:p>
    <w:p w14:paraId="55C50773" w14:textId="5A02176D" w:rsidR="0029126B" w:rsidRDefault="0029126B">
      <w:pPr>
        <w:rPr>
          <w:lang w:val="en-US"/>
        </w:rPr>
      </w:pPr>
      <w:r w:rsidRPr="0029126B">
        <w:rPr>
          <w:lang w:val="en-US"/>
        </w:rPr>
        <w:t>If an eligible balance is negative, it may be reported as such in the Notification message. A ”zero” balance should not be provided when no entitlement exists</w:t>
      </w:r>
      <w:r>
        <w:rPr>
          <w:lang w:val="en-US"/>
        </w:rPr>
        <w:t>.</w:t>
      </w:r>
    </w:p>
    <w:p w14:paraId="2A19F34F" w14:textId="5E30E1BF" w:rsidR="0029126B" w:rsidRDefault="0029126B">
      <w:pPr>
        <w:rPr>
          <w:lang w:val="en-US"/>
        </w:rPr>
      </w:pPr>
      <w:r w:rsidRPr="0029126B">
        <w:rPr>
          <w:noProof/>
          <w:lang w:val="en-US"/>
        </w:rPr>
        <w:drawing>
          <wp:inline distT="0" distB="0" distL="0" distR="0" wp14:anchorId="14513EC5" wp14:editId="2B52D244">
            <wp:extent cx="6120130" cy="1108075"/>
            <wp:effectExtent l="0" t="0" r="0" b="0"/>
            <wp:docPr id="1" name="Billede 1" descr="Et billede, der indeholder tekst, skærmbillede, linje/række,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skærmbillede, linje/række, Font/skrifttype&#10;&#10;Automatisk genereret beskrivelse"/>
                    <pic:cNvPicPr/>
                  </pic:nvPicPr>
                  <pic:blipFill>
                    <a:blip r:embed="rId7"/>
                    <a:stretch>
                      <a:fillRect/>
                    </a:stretch>
                  </pic:blipFill>
                  <pic:spPr>
                    <a:xfrm>
                      <a:off x="0" y="0"/>
                      <a:ext cx="6120130" cy="1108075"/>
                    </a:xfrm>
                    <a:prstGeom prst="rect">
                      <a:avLst/>
                    </a:prstGeom>
                  </pic:spPr>
                </pic:pic>
              </a:graphicData>
            </a:graphic>
          </wp:inline>
        </w:drawing>
      </w:r>
    </w:p>
    <w:p w14:paraId="2B0252F5" w14:textId="77777777" w:rsidR="00FE1192" w:rsidRDefault="00FE1192">
      <w:pPr>
        <w:rPr>
          <w:lang w:val="en-US"/>
        </w:rPr>
      </w:pPr>
    </w:p>
    <w:p w14:paraId="1C717E0F" w14:textId="2D04F40C" w:rsidR="006802BD" w:rsidRDefault="006802BD">
      <w:pPr>
        <w:rPr>
          <w:lang w:val="en-US"/>
        </w:rPr>
      </w:pPr>
      <w:r>
        <w:rPr>
          <w:lang w:val="en-US"/>
        </w:rPr>
        <w:t>For other balance types the balance should always be long with the ex</w:t>
      </w:r>
      <w:r w:rsidR="00501859">
        <w:rPr>
          <w:lang w:val="en-US"/>
        </w:rPr>
        <w:t>c</w:t>
      </w:r>
      <w:r>
        <w:rPr>
          <w:lang w:val="en-US"/>
        </w:rPr>
        <w:t>eption of the following balance types</w:t>
      </w:r>
      <w:r w:rsidR="005E5962">
        <w:rPr>
          <w:lang w:val="en-US"/>
        </w:rPr>
        <w:t xml:space="preserve">? </w:t>
      </w:r>
    </w:p>
    <w:p w14:paraId="731078D3" w14:textId="648D339D" w:rsidR="006802BD" w:rsidRDefault="006802BD">
      <w:pPr>
        <w:rPr>
          <w:lang w:val="en-US"/>
        </w:rPr>
      </w:pPr>
      <w:r w:rsidRPr="006802BD">
        <w:rPr>
          <w:noProof/>
          <w:lang w:val="en-US"/>
        </w:rPr>
        <w:drawing>
          <wp:inline distT="0" distB="0" distL="0" distR="0" wp14:anchorId="180207CC" wp14:editId="5EAC0850">
            <wp:extent cx="3425159" cy="4259580"/>
            <wp:effectExtent l="0" t="0" r="4445" b="7620"/>
            <wp:docPr id="6" name="Billede 6" descr="Et billede, der indeholder tekst, skærmbillede, Font/skrifttyp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skærmbillede, Font/skrifttype, nummer/tal&#10;&#10;Automatisk genereret beskrivelse"/>
                    <pic:cNvPicPr/>
                  </pic:nvPicPr>
                  <pic:blipFill>
                    <a:blip r:embed="rId8"/>
                    <a:stretch>
                      <a:fillRect/>
                    </a:stretch>
                  </pic:blipFill>
                  <pic:spPr>
                    <a:xfrm>
                      <a:off x="0" y="0"/>
                      <a:ext cx="3441437" cy="4279823"/>
                    </a:xfrm>
                    <a:prstGeom prst="rect">
                      <a:avLst/>
                    </a:prstGeom>
                  </pic:spPr>
                </pic:pic>
              </a:graphicData>
            </a:graphic>
          </wp:inline>
        </w:drawing>
      </w:r>
    </w:p>
    <w:p w14:paraId="67AE9843" w14:textId="3C0C65DC" w:rsidR="00D93B7A" w:rsidRDefault="00D93B7A">
      <w:pPr>
        <w:rPr>
          <w:rFonts w:ascii="Arial" w:hAnsi="Arial" w:cs="Arial"/>
          <w:color w:val="333333"/>
          <w:sz w:val="21"/>
          <w:szCs w:val="21"/>
          <w:shd w:val="clear" w:color="auto" w:fill="FFFFFF"/>
          <w:lang w:val="en-US"/>
        </w:rPr>
      </w:pPr>
      <w:r w:rsidRPr="00D93B7A">
        <w:rPr>
          <w:rFonts w:ascii="Arial" w:hAnsi="Arial" w:cs="Arial"/>
          <w:color w:val="333333"/>
          <w:sz w:val="21"/>
          <w:szCs w:val="21"/>
          <w:shd w:val="clear" w:color="auto" w:fill="FFFFFF"/>
          <w:lang w:val="en-US"/>
        </w:rPr>
        <w:t xml:space="preserve">Total balance of securities eligible for this corporate action event. </w:t>
      </w:r>
      <w:r w:rsidRPr="00064950">
        <w:rPr>
          <w:rFonts w:ascii="Arial" w:hAnsi="Arial" w:cs="Arial"/>
          <w:color w:val="333333"/>
          <w:sz w:val="21"/>
          <w:szCs w:val="21"/>
          <w:shd w:val="clear" w:color="auto" w:fill="FFFFFF"/>
          <w:lang w:val="en-US"/>
        </w:rPr>
        <w:t>The entitlement calculation is based on this balance.</w:t>
      </w:r>
    </w:p>
    <w:p w14:paraId="6C9433A4" w14:textId="323270A3" w:rsidR="00064950" w:rsidRPr="00064950" w:rsidRDefault="00064950">
      <w:pPr>
        <w:rPr>
          <w:rFonts w:ascii="Arial" w:hAnsi="Arial" w:cs="Arial"/>
          <w:color w:val="333333"/>
          <w:sz w:val="21"/>
          <w:szCs w:val="21"/>
          <w:shd w:val="clear" w:color="auto" w:fill="FFFFFF"/>
          <w:lang w:val="en-US"/>
        </w:rPr>
      </w:pPr>
      <w:r w:rsidRPr="005E5962">
        <w:rPr>
          <w:rFonts w:ascii="Arial" w:hAnsi="Arial" w:cs="Arial"/>
          <w:color w:val="333333"/>
          <w:sz w:val="21"/>
          <w:szCs w:val="21"/>
          <w:highlight w:val="green"/>
          <w:shd w:val="clear" w:color="auto" w:fill="FFFFFF"/>
          <w:lang w:val="en-US"/>
        </w:rPr>
        <w:t>Balance of financial instruments that are blocked. BLOK</w:t>
      </w:r>
    </w:p>
    <w:p w14:paraId="5086648C" w14:textId="7EFBC9C6" w:rsidR="006802BD" w:rsidRDefault="006802BD">
      <w:pPr>
        <w:rPr>
          <w:rFonts w:ascii="Arial" w:hAnsi="Arial" w:cs="Arial"/>
          <w:color w:val="333333"/>
          <w:sz w:val="21"/>
          <w:szCs w:val="21"/>
          <w:shd w:val="clear" w:color="auto" w:fill="FFFFFF"/>
          <w:lang w:val="en-US"/>
        </w:rPr>
      </w:pPr>
      <w:r w:rsidRPr="006802BD">
        <w:rPr>
          <w:rFonts w:ascii="Arial" w:hAnsi="Arial" w:cs="Arial"/>
          <w:color w:val="333333"/>
          <w:sz w:val="21"/>
          <w:szCs w:val="21"/>
          <w:shd w:val="clear" w:color="auto" w:fill="FFFFFF"/>
          <w:lang w:val="en-US"/>
        </w:rPr>
        <w:t>Balance of financial instruments that have been borrowed from another party.</w:t>
      </w:r>
      <w:r w:rsidR="00064950">
        <w:rPr>
          <w:rFonts w:ascii="Arial" w:hAnsi="Arial" w:cs="Arial"/>
          <w:color w:val="333333"/>
          <w:sz w:val="21"/>
          <w:szCs w:val="21"/>
          <w:shd w:val="clear" w:color="auto" w:fill="FFFFFF"/>
          <w:lang w:val="en-US"/>
        </w:rPr>
        <w:t xml:space="preserve"> BORR</w:t>
      </w:r>
    </w:p>
    <w:p w14:paraId="310ABBC2" w14:textId="77777777" w:rsidR="006802BD" w:rsidRDefault="006802BD">
      <w:pPr>
        <w:rPr>
          <w:rFonts w:ascii="Arial" w:hAnsi="Arial" w:cs="Arial"/>
          <w:color w:val="333333"/>
          <w:sz w:val="21"/>
          <w:szCs w:val="21"/>
          <w:shd w:val="clear" w:color="auto" w:fill="FFFFFF"/>
          <w:lang w:val="en-US"/>
        </w:rPr>
      </w:pPr>
    </w:p>
    <w:p w14:paraId="23AC918D" w14:textId="0E7DAF65" w:rsidR="006802BD" w:rsidRDefault="006802BD">
      <w:pPr>
        <w:rPr>
          <w:rFonts w:ascii="Arial" w:hAnsi="Arial" w:cs="Arial"/>
          <w:color w:val="333333"/>
          <w:sz w:val="21"/>
          <w:szCs w:val="21"/>
          <w:shd w:val="clear" w:color="auto" w:fill="FFFFFF"/>
          <w:lang w:val="en-US"/>
        </w:rPr>
      </w:pPr>
      <w:r w:rsidRPr="006802BD">
        <w:rPr>
          <w:rFonts w:ascii="Arial" w:hAnsi="Arial" w:cs="Arial"/>
          <w:color w:val="333333"/>
          <w:sz w:val="21"/>
          <w:szCs w:val="21"/>
          <w:shd w:val="clear" w:color="auto" w:fill="FFFFFF"/>
          <w:lang w:val="en-US"/>
        </w:rPr>
        <w:lastRenderedPageBreak/>
        <w:t>Balance of securities that belong to the safekeeping account indicated within this message, and are deposited with a third party for the purpose of collateralisation.</w:t>
      </w:r>
    </w:p>
    <w:p w14:paraId="67C7E8C2" w14:textId="77777777" w:rsidR="006802BD" w:rsidRDefault="006802BD">
      <w:pPr>
        <w:rPr>
          <w:rFonts w:ascii="Arial" w:hAnsi="Arial" w:cs="Arial"/>
          <w:color w:val="333333"/>
          <w:sz w:val="21"/>
          <w:szCs w:val="21"/>
          <w:shd w:val="clear" w:color="auto" w:fill="FFFFFF"/>
          <w:lang w:val="en-US"/>
        </w:rPr>
      </w:pPr>
    </w:p>
    <w:p w14:paraId="5D08F40D" w14:textId="3E1A996B" w:rsidR="006802BD" w:rsidRDefault="006802BD">
      <w:pPr>
        <w:rPr>
          <w:rFonts w:ascii="Arial" w:hAnsi="Arial" w:cs="Arial"/>
          <w:color w:val="333333"/>
          <w:sz w:val="21"/>
          <w:szCs w:val="21"/>
          <w:shd w:val="clear" w:color="auto" w:fill="FFFFFF"/>
          <w:lang w:val="en-US"/>
        </w:rPr>
      </w:pPr>
      <w:r w:rsidRPr="006802BD">
        <w:rPr>
          <w:rFonts w:ascii="Arial" w:hAnsi="Arial" w:cs="Arial"/>
          <w:color w:val="333333"/>
          <w:sz w:val="21"/>
          <w:szCs w:val="21"/>
          <w:shd w:val="clear" w:color="auto" w:fill="FFFFFF"/>
          <w:lang w:val="en-US"/>
        </w:rPr>
        <w:t>Balance of financial instruments that have been loaned to a third party.</w:t>
      </w:r>
    </w:p>
    <w:p w14:paraId="5E3B82ED" w14:textId="77777777" w:rsidR="006802BD" w:rsidRDefault="006802BD">
      <w:pPr>
        <w:rPr>
          <w:rFonts w:ascii="Arial" w:hAnsi="Arial" w:cs="Arial"/>
          <w:color w:val="333333"/>
          <w:sz w:val="21"/>
          <w:szCs w:val="21"/>
          <w:shd w:val="clear" w:color="auto" w:fill="FFFFFF"/>
          <w:lang w:val="en-US"/>
        </w:rPr>
      </w:pPr>
    </w:p>
    <w:p w14:paraId="17B030E8" w14:textId="7C607EB4"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financial instruments that are pending delivery.</w:t>
      </w:r>
    </w:p>
    <w:p w14:paraId="4831B57F" w14:textId="77777777" w:rsidR="006802BD" w:rsidRDefault="006802BD">
      <w:pPr>
        <w:rPr>
          <w:rFonts w:ascii="Arial" w:hAnsi="Arial" w:cs="Arial"/>
          <w:color w:val="333333"/>
          <w:sz w:val="21"/>
          <w:szCs w:val="21"/>
          <w:shd w:val="clear" w:color="auto" w:fill="FFFFFF"/>
          <w:lang w:val="en-US"/>
        </w:rPr>
      </w:pPr>
    </w:p>
    <w:p w14:paraId="1C3A14FD" w14:textId="60BC47E5"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financial instruments that are pending receipt.</w:t>
      </w:r>
    </w:p>
    <w:p w14:paraId="10218C31" w14:textId="77777777" w:rsidR="006802BD" w:rsidRDefault="006802BD">
      <w:pPr>
        <w:rPr>
          <w:rFonts w:ascii="Arial" w:hAnsi="Arial" w:cs="Arial"/>
          <w:color w:val="333333"/>
          <w:sz w:val="21"/>
          <w:szCs w:val="21"/>
          <w:shd w:val="clear" w:color="auto" w:fill="FFFFFF"/>
          <w:lang w:val="en-US"/>
        </w:rPr>
      </w:pPr>
    </w:p>
    <w:p w14:paraId="02028754" w14:textId="3819E654"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financial instruments currently being processed by the institution responsible for registering the new beneficial owner (or nominee).</w:t>
      </w:r>
    </w:p>
    <w:p w14:paraId="50522FFD" w14:textId="77777777" w:rsidR="006802BD" w:rsidRDefault="006802BD">
      <w:pPr>
        <w:rPr>
          <w:rFonts w:ascii="Arial" w:hAnsi="Arial" w:cs="Arial"/>
          <w:color w:val="333333"/>
          <w:sz w:val="21"/>
          <w:szCs w:val="21"/>
          <w:shd w:val="clear" w:color="auto" w:fill="FFFFFF"/>
          <w:lang w:val="en-US"/>
        </w:rPr>
      </w:pPr>
    </w:p>
    <w:p w14:paraId="52B82194" w14:textId="101020EB"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securities representing only settled transactions; pending transactions not included.</w:t>
      </w:r>
    </w:p>
    <w:p w14:paraId="0BCE6748" w14:textId="77777777" w:rsidR="006802BD" w:rsidRDefault="006802BD">
      <w:pPr>
        <w:rPr>
          <w:rFonts w:ascii="Arial" w:hAnsi="Arial" w:cs="Arial"/>
          <w:color w:val="333333"/>
          <w:sz w:val="21"/>
          <w:szCs w:val="21"/>
          <w:shd w:val="clear" w:color="auto" w:fill="FFFFFF"/>
          <w:lang w:val="en-US"/>
        </w:rPr>
      </w:pPr>
    </w:p>
    <w:p w14:paraId="705DD49F" w14:textId="1CDC9A9E"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financial instruments that remain registered in the name of the prior beneficial owner.</w:t>
      </w:r>
    </w:p>
    <w:p w14:paraId="0755E6F5" w14:textId="77777777" w:rsidR="006802BD" w:rsidRDefault="006802BD">
      <w:pPr>
        <w:rPr>
          <w:rFonts w:ascii="Arial" w:hAnsi="Arial" w:cs="Arial"/>
          <w:color w:val="333333"/>
          <w:sz w:val="21"/>
          <w:szCs w:val="21"/>
          <w:shd w:val="clear" w:color="auto" w:fill="FFFFFF"/>
          <w:lang w:val="en-US"/>
        </w:rPr>
      </w:pPr>
    </w:p>
    <w:p w14:paraId="17A9E865" w14:textId="4E3B82D9"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securities based on trade date, for example, includes all pending transactions in addition to the balance of settled transactions.</w:t>
      </w:r>
    </w:p>
    <w:p w14:paraId="3C24BAA6" w14:textId="77777777" w:rsidR="006802BD" w:rsidRDefault="006802BD">
      <w:pPr>
        <w:rPr>
          <w:rFonts w:ascii="Arial" w:hAnsi="Arial" w:cs="Arial"/>
          <w:color w:val="333333"/>
          <w:sz w:val="21"/>
          <w:szCs w:val="21"/>
          <w:shd w:val="clear" w:color="auto" w:fill="FFFFFF"/>
          <w:lang w:val="en-US"/>
        </w:rPr>
      </w:pPr>
    </w:p>
    <w:p w14:paraId="2A889BC6" w14:textId="30CF4DE1"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physical securities that are in the process of being transferred from one depository/agent to another.</w:t>
      </w:r>
    </w:p>
    <w:p w14:paraId="2EB7EBF0" w14:textId="77777777" w:rsidR="006802BD" w:rsidRDefault="006802BD">
      <w:pPr>
        <w:rPr>
          <w:rFonts w:ascii="Arial" w:hAnsi="Arial" w:cs="Arial"/>
          <w:color w:val="333333"/>
          <w:sz w:val="21"/>
          <w:szCs w:val="21"/>
          <w:shd w:val="clear" w:color="auto" w:fill="FFFFFF"/>
          <w:lang w:val="en-US"/>
        </w:rPr>
      </w:pPr>
    </w:p>
    <w:p w14:paraId="0634F40A" w14:textId="508C7BEC"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of financial instruments that are registered (in the name of a nominee name or of the beneficial owner).</w:t>
      </w:r>
    </w:p>
    <w:p w14:paraId="09DC75C4" w14:textId="77777777" w:rsidR="006802BD" w:rsidRDefault="006802BD">
      <w:pPr>
        <w:rPr>
          <w:rFonts w:ascii="Arial" w:hAnsi="Arial" w:cs="Arial"/>
          <w:color w:val="333333"/>
          <w:sz w:val="21"/>
          <w:szCs w:val="21"/>
          <w:shd w:val="clear" w:color="auto" w:fill="FFFFFF"/>
          <w:lang w:val="en-US"/>
        </w:rPr>
      </w:pPr>
    </w:p>
    <w:p w14:paraId="040186F9" w14:textId="2EA89153" w:rsidR="006802BD" w:rsidRPr="00501859" w:rsidRDefault="006802BD">
      <w:pPr>
        <w:rPr>
          <w:rFonts w:ascii="Arial" w:hAnsi="Arial" w:cs="Arial"/>
          <w:color w:val="333333"/>
          <w:sz w:val="21"/>
          <w:szCs w:val="21"/>
          <w:shd w:val="clear" w:color="auto" w:fill="FFFFFF"/>
          <w:lang w:val="en-US"/>
        </w:rPr>
      </w:pPr>
      <w:r w:rsidRPr="00501859">
        <w:rPr>
          <w:rFonts w:ascii="Arial" w:hAnsi="Arial" w:cs="Arial"/>
          <w:color w:val="333333"/>
          <w:sz w:val="21"/>
          <w:szCs w:val="21"/>
          <w:shd w:val="clear" w:color="auto" w:fill="FFFFFF"/>
          <w:lang w:val="en-US"/>
        </w:rPr>
        <w:t>Balance of uninstructed position.</w:t>
      </w:r>
    </w:p>
    <w:p w14:paraId="2536214F" w14:textId="77777777" w:rsidR="006802BD" w:rsidRPr="00501859" w:rsidRDefault="006802BD">
      <w:pPr>
        <w:rPr>
          <w:rFonts w:ascii="Arial" w:hAnsi="Arial" w:cs="Arial"/>
          <w:color w:val="333333"/>
          <w:sz w:val="21"/>
          <w:szCs w:val="21"/>
          <w:shd w:val="clear" w:color="auto" w:fill="FFFFFF"/>
          <w:lang w:val="en-US"/>
        </w:rPr>
      </w:pPr>
    </w:p>
    <w:p w14:paraId="67D772AB" w14:textId="54F2D0A6" w:rsidR="006802BD" w:rsidRPr="00501859" w:rsidRDefault="006802BD">
      <w:pPr>
        <w:rPr>
          <w:rFonts w:ascii="Arial" w:hAnsi="Arial" w:cs="Arial"/>
          <w:color w:val="333333"/>
          <w:sz w:val="21"/>
          <w:szCs w:val="21"/>
          <w:shd w:val="clear" w:color="auto" w:fill="FFFFFF"/>
          <w:lang w:val="en-US"/>
        </w:rPr>
      </w:pPr>
      <w:r w:rsidRPr="00501859">
        <w:rPr>
          <w:rFonts w:ascii="Arial" w:hAnsi="Arial" w:cs="Arial"/>
          <w:color w:val="333333"/>
          <w:sz w:val="21"/>
          <w:szCs w:val="21"/>
          <w:shd w:val="clear" w:color="auto" w:fill="FFFFFF"/>
          <w:lang w:val="en-US"/>
        </w:rPr>
        <w:t>Balance of instructed position.</w:t>
      </w:r>
    </w:p>
    <w:p w14:paraId="278FD76E" w14:textId="77777777" w:rsidR="006802BD" w:rsidRPr="00501859" w:rsidRDefault="006802BD">
      <w:pPr>
        <w:rPr>
          <w:rFonts w:ascii="Arial" w:hAnsi="Arial" w:cs="Arial"/>
          <w:color w:val="333333"/>
          <w:sz w:val="21"/>
          <w:szCs w:val="21"/>
          <w:shd w:val="clear" w:color="auto" w:fill="FFFFFF"/>
          <w:lang w:val="en-US"/>
        </w:rPr>
      </w:pPr>
    </w:p>
    <w:p w14:paraId="762587CB" w14:textId="00F2CEB9"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Position that account holders should return to the account servicer to participate in the event or to fulfil their obligation for the event to be complete, for example, return of securities for late announced drawing</w:t>
      </w:r>
      <w:r w:rsidRPr="006802BD">
        <w:rPr>
          <w:rFonts w:ascii="Arial" w:hAnsi="Arial" w:cs="Arial"/>
          <w:color w:val="333333"/>
          <w:sz w:val="21"/>
          <w:szCs w:val="21"/>
          <w:shd w:val="clear" w:color="auto" w:fill="FFFFFF"/>
          <w:lang w:val="en-US"/>
        </w:rPr>
        <w:t>.</w:t>
      </w:r>
    </w:p>
    <w:p w14:paraId="301FE132" w14:textId="77777777" w:rsidR="006802BD" w:rsidRDefault="006802BD">
      <w:pPr>
        <w:rPr>
          <w:rFonts w:ascii="Arial" w:hAnsi="Arial" w:cs="Arial"/>
          <w:color w:val="333333"/>
          <w:sz w:val="21"/>
          <w:szCs w:val="21"/>
          <w:shd w:val="clear" w:color="auto" w:fill="FFFFFF"/>
          <w:lang w:val="en-US"/>
        </w:rPr>
      </w:pPr>
    </w:p>
    <w:p w14:paraId="2521B602" w14:textId="5E4FBF57" w:rsidR="006802BD" w:rsidRDefault="006802BD">
      <w:pPr>
        <w:rPr>
          <w:rFonts w:ascii="Arial" w:hAnsi="Arial" w:cs="Arial"/>
          <w:color w:val="333333"/>
          <w:sz w:val="21"/>
          <w:szCs w:val="21"/>
          <w:shd w:val="clear" w:color="auto" w:fill="FFFFFF"/>
          <w:lang w:val="en-US"/>
        </w:rPr>
      </w:pPr>
      <w:r w:rsidRPr="00D93B7A">
        <w:rPr>
          <w:rFonts w:ascii="Arial" w:hAnsi="Arial" w:cs="Arial"/>
          <w:color w:val="333333"/>
          <w:sz w:val="21"/>
          <w:szCs w:val="21"/>
          <w:highlight w:val="green"/>
          <w:shd w:val="clear" w:color="auto" w:fill="FFFFFF"/>
          <w:lang w:val="en-US"/>
        </w:rPr>
        <w:t>Balance that has been affected by the process run through the event.</w:t>
      </w:r>
    </w:p>
    <w:p w14:paraId="46093901" w14:textId="53E4AF81" w:rsidR="006802BD" w:rsidRPr="006802BD" w:rsidRDefault="006802BD">
      <w:pPr>
        <w:rPr>
          <w:lang w:val="en-US"/>
        </w:rPr>
      </w:pPr>
      <w:r w:rsidRPr="00D93B7A">
        <w:rPr>
          <w:rFonts w:ascii="Arial" w:hAnsi="Arial" w:cs="Arial"/>
          <w:color w:val="333333"/>
          <w:sz w:val="21"/>
          <w:szCs w:val="21"/>
          <w:highlight w:val="green"/>
          <w:shd w:val="clear" w:color="auto" w:fill="FFFFFF"/>
          <w:lang w:val="en-US"/>
        </w:rPr>
        <w:t>Balance that has not been affected by the process run through the event</w:t>
      </w:r>
      <w:r w:rsidRPr="006802BD">
        <w:rPr>
          <w:rFonts w:ascii="Arial" w:hAnsi="Arial" w:cs="Arial"/>
          <w:color w:val="333333"/>
          <w:sz w:val="21"/>
          <w:szCs w:val="21"/>
          <w:shd w:val="clear" w:color="auto" w:fill="FFFFFF"/>
          <w:lang w:val="en-US"/>
        </w:rPr>
        <w:t>.</w:t>
      </w:r>
    </w:p>
    <w:sectPr w:rsidR="006802BD" w:rsidRPr="006802BD">
      <w:footerReference w:type="even" r:id="rId9"/>
      <w:footerReference w:type="defaul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51A3" w14:textId="77777777" w:rsidR="0029126B" w:rsidRDefault="0029126B" w:rsidP="0029126B">
      <w:pPr>
        <w:spacing w:after="0" w:line="240" w:lineRule="auto"/>
      </w:pPr>
      <w:r>
        <w:separator/>
      </w:r>
    </w:p>
  </w:endnote>
  <w:endnote w:type="continuationSeparator" w:id="0">
    <w:p w14:paraId="68317A44" w14:textId="77777777" w:rsidR="0029126B" w:rsidRDefault="0029126B" w:rsidP="0029126B">
      <w:pPr>
        <w:spacing w:after="0" w:line="240" w:lineRule="auto"/>
      </w:pPr>
      <w:r>
        <w:continuationSeparator/>
      </w:r>
    </w:p>
  </w:endnote>
  <w:endnote w:type="continuationNotice" w:id="1">
    <w:p w14:paraId="706AF617" w14:textId="77777777" w:rsidR="000E7BFA" w:rsidRDefault="000E7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5884" w14:textId="6B552AB1" w:rsidR="0029126B" w:rsidRDefault="0029126B">
    <w:pPr>
      <w:pStyle w:val="Footer"/>
    </w:pPr>
    <w:r>
      <w:rPr>
        <w:noProof/>
      </w:rPr>
      <mc:AlternateContent>
        <mc:Choice Requires="wps">
          <w:drawing>
            <wp:anchor distT="0" distB="0" distL="0" distR="0" simplePos="0" relativeHeight="251658241" behindDoc="0" locked="0" layoutInCell="1" allowOverlap="1" wp14:anchorId="3D53B639" wp14:editId="0A5A1FFA">
              <wp:simplePos x="635" y="635"/>
              <wp:positionH relativeFrom="page">
                <wp:align>center</wp:align>
              </wp:positionH>
              <wp:positionV relativeFrom="page">
                <wp:align>bottom</wp:align>
              </wp:positionV>
              <wp:extent cx="443865" cy="443865"/>
              <wp:effectExtent l="0" t="0" r="17780" b="0"/>
              <wp:wrapNone/>
              <wp:docPr id="3" name="Tekstfelt 3"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1E68A" w14:textId="0205F130" w:rsidR="0029126B" w:rsidRPr="0029126B" w:rsidRDefault="0029126B" w:rsidP="0029126B">
                          <w:pPr>
                            <w:spacing w:after="0"/>
                            <w:rPr>
                              <w:rFonts w:ascii="Calibri" w:eastAsia="Calibri" w:hAnsi="Calibri" w:cs="Calibri"/>
                              <w:noProof/>
                              <w:color w:val="FFEF00"/>
                              <w:sz w:val="20"/>
                              <w:szCs w:val="20"/>
                            </w:rPr>
                          </w:pPr>
                          <w:r w:rsidRPr="0029126B">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53B639" id="_x0000_t202" coordsize="21600,21600" o:spt="202" path="m,l,21600r21600,l21600,xe">
              <v:stroke joinstyle="miter"/>
              <v:path gradientshapeok="t" o:connecttype="rect"/>
            </v:shapetype>
            <v:shape id="Tekstfelt 3" o:spid="_x0000_s1026" type="#_x0000_t202" alt="PRIVAT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551E68A" w14:textId="0205F130" w:rsidR="0029126B" w:rsidRPr="0029126B" w:rsidRDefault="0029126B" w:rsidP="0029126B">
                    <w:pPr>
                      <w:spacing w:after="0"/>
                      <w:rPr>
                        <w:rFonts w:ascii="Calibri" w:eastAsia="Calibri" w:hAnsi="Calibri" w:cs="Calibri"/>
                        <w:noProof/>
                        <w:color w:val="FFEF00"/>
                        <w:sz w:val="20"/>
                        <w:szCs w:val="20"/>
                      </w:rPr>
                    </w:pPr>
                    <w:r w:rsidRPr="0029126B">
                      <w:rPr>
                        <w:rFonts w:ascii="Calibri" w:eastAsia="Calibri" w:hAnsi="Calibri" w:cs="Calibri"/>
                        <w:noProof/>
                        <w:color w:val="FFEF00"/>
                        <w:sz w:val="20"/>
                        <w:szCs w:val="20"/>
                      </w:rPr>
                      <w:t>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CBF" w14:textId="396F2B91" w:rsidR="0029126B" w:rsidRDefault="0029126B">
    <w:pPr>
      <w:pStyle w:val="Footer"/>
    </w:pPr>
    <w:r>
      <w:rPr>
        <w:noProof/>
      </w:rPr>
      <mc:AlternateContent>
        <mc:Choice Requires="wps">
          <w:drawing>
            <wp:anchor distT="0" distB="0" distL="0" distR="0" simplePos="0" relativeHeight="251658242" behindDoc="0" locked="0" layoutInCell="1" allowOverlap="1" wp14:anchorId="78E7293F" wp14:editId="799FFBEE">
              <wp:simplePos x="723900" y="10071100"/>
              <wp:positionH relativeFrom="page">
                <wp:align>center</wp:align>
              </wp:positionH>
              <wp:positionV relativeFrom="page">
                <wp:align>bottom</wp:align>
              </wp:positionV>
              <wp:extent cx="443865" cy="443865"/>
              <wp:effectExtent l="0" t="0" r="17780" b="0"/>
              <wp:wrapNone/>
              <wp:docPr id="4" name="Tekstfelt 4"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85145" w14:textId="4F82A1CD" w:rsidR="0029126B" w:rsidRPr="0029126B" w:rsidRDefault="0029126B" w:rsidP="0029126B">
                          <w:pPr>
                            <w:spacing w:after="0"/>
                            <w:rPr>
                              <w:rFonts w:ascii="Calibri" w:eastAsia="Calibri" w:hAnsi="Calibri" w:cs="Calibri"/>
                              <w:noProof/>
                              <w:color w:val="FFEF00"/>
                              <w:sz w:val="20"/>
                              <w:szCs w:val="20"/>
                            </w:rPr>
                          </w:pPr>
                          <w:r w:rsidRPr="0029126B">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7293F" id="_x0000_t202" coordsize="21600,21600" o:spt="202" path="m,l,21600r21600,l21600,xe">
              <v:stroke joinstyle="miter"/>
              <v:path gradientshapeok="t" o:connecttype="rect"/>
            </v:shapetype>
            <v:shape id="Tekstfelt 4" o:spid="_x0000_s1027" type="#_x0000_t202" alt="PRIVAT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4E85145" w14:textId="4F82A1CD" w:rsidR="0029126B" w:rsidRPr="0029126B" w:rsidRDefault="0029126B" w:rsidP="0029126B">
                    <w:pPr>
                      <w:spacing w:after="0"/>
                      <w:rPr>
                        <w:rFonts w:ascii="Calibri" w:eastAsia="Calibri" w:hAnsi="Calibri" w:cs="Calibri"/>
                        <w:noProof/>
                        <w:color w:val="FFEF00"/>
                        <w:sz w:val="20"/>
                        <w:szCs w:val="20"/>
                      </w:rPr>
                    </w:pPr>
                    <w:r w:rsidRPr="0029126B">
                      <w:rPr>
                        <w:rFonts w:ascii="Calibri" w:eastAsia="Calibri" w:hAnsi="Calibri" w:cs="Calibri"/>
                        <w:noProof/>
                        <w:color w:val="FFEF00"/>
                        <w:sz w:val="20"/>
                        <w:szCs w:val="20"/>
                      </w:rPr>
                      <w:t>PRIVATE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DFCE" w14:textId="14DA1F04" w:rsidR="0029126B" w:rsidRDefault="0029126B">
    <w:pPr>
      <w:pStyle w:val="Footer"/>
    </w:pPr>
    <w:r>
      <w:rPr>
        <w:noProof/>
      </w:rPr>
      <mc:AlternateContent>
        <mc:Choice Requires="wps">
          <w:drawing>
            <wp:anchor distT="0" distB="0" distL="0" distR="0" simplePos="0" relativeHeight="251658240" behindDoc="0" locked="0" layoutInCell="1" allowOverlap="1" wp14:anchorId="0EE48B23" wp14:editId="06000228">
              <wp:simplePos x="635" y="635"/>
              <wp:positionH relativeFrom="page">
                <wp:align>center</wp:align>
              </wp:positionH>
              <wp:positionV relativeFrom="page">
                <wp:align>bottom</wp:align>
              </wp:positionV>
              <wp:extent cx="443865" cy="443865"/>
              <wp:effectExtent l="0" t="0" r="17780" b="0"/>
              <wp:wrapNone/>
              <wp:docPr id="2" name="Tekstfelt 2"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BEE59" w14:textId="5B639A42" w:rsidR="0029126B" w:rsidRPr="0029126B" w:rsidRDefault="0029126B" w:rsidP="0029126B">
                          <w:pPr>
                            <w:spacing w:after="0"/>
                            <w:rPr>
                              <w:rFonts w:ascii="Calibri" w:eastAsia="Calibri" w:hAnsi="Calibri" w:cs="Calibri"/>
                              <w:noProof/>
                              <w:color w:val="FFEF00"/>
                              <w:sz w:val="20"/>
                              <w:szCs w:val="20"/>
                            </w:rPr>
                          </w:pPr>
                          <w:r w:rsidRPr="0029126B">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48B23" id="_x0000_t202" coordsize="21600,21600" o:spt="202" path="m,l,21600r21600,l21600,xe">
              <v:stroke joinstyle="miter"/>
              <v:path gradientshapeok="t" o:connecttype="rect"/>
            </v:shapetype>
            <v:shape id="Tekstfelt 2" o:spid="_x0000_s1028" type="#_x0000_t202" alt="PRIVAT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72BEE59" w14:textId="5B639A42" w:rsidR="0029126B" w:rsidRPr="0029126B" w:rsidRDefault="0029126B" w:rsidP="0029126B">
                    <w:pPr>
                      <w:spacing w:after="0"/>
                      <w:rPr>
                        <w:rFonts w:ascii="Calibri" w:eastAsia="Calibri" w:hAnsi="Calibri" w:cs="Calibri"/>
                        <w:noProof/>
                        <w:color w:val="FFEF00"/>
                        <w:sz w:val="20"/>
                        <w:szCs w:val="20"/>
                      </w:rPr>
                    </w:pPr>
                    <w:r w:rsidRPr="0029126B">
                      <w:rPr>
                        <w:rFonts w:ascii="Calibri" w:eastAsia="Calibri" w:hAnsi="Calibri" w:cs="Calibri"/>
                        <w:noProof/>
                        <w:color w:val="FFEF00"/>
                        <w:sz w:val="20"/>
                        <w:szCs w:val="20"/>
                      </w:rPr>
                      <w:t>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1F29" w14:textId="77777777" w:rsidR="0029126B" w:rsidRDefault="0029126B" w:rsidP="0029126B">
      <w:pPr>
        <w:spacing w:after="0" w:line="240" w:lineRule="auto"/>
      </w:pPr>
      <w:r>
        <w:separator/>
      </w:r>
    </w:p>
  </w:footnote>
  <w:footnote w:type="continuationSeparator" w:id="0">
    <w:p w14:paraId="51BD3CA6" w14:textId="77777777" w:rsidR="0029126B" w:rsidRDefault="0029126B" w:rsidP="0029126B">
      <w:pPr>
        <w:spacing w:after="0" w:line="240" w:lineRule="auto"/>
      </w:pPr>
      <w:r>
        <w:continuationSeparator/>
      </w:r>
    </w:p>
  </w:footnote>
  <w:footnote w:type="continuationNotice" w:id="1">
    <w:p w14:paraId="468EAD23" w14:textId="77777777" w:rsidR="000E7BFA" w:rsidRDefault="000E7B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6B"/>
    <w:rsid w:val="00064950"/>
    <w:rsid w:val="000E7BFA"/>
    <w:rsid w:val="001117B3"/>
    <w:rsid w:val="0029126B"/>
    <w:rsid w:val="003616FE"/>
    <w:rsid w:val="00501859"/>
    <w:rsid w:val="005368C3"/>
    <w:rsid w:val="005E5962"/>
    <w:rsid w:val="006802BD"/>
    <w:rsid w:val="00AC0E4A"/>
    <w:rsid w:val="00D93B7A"/>
    <w:rsid w:val="00F92A49"/>
    <w:rsid w:val="00FE11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7DF6"/>
  <w15:chartTrackingRefBased/>
  <w15:docId w15:val="{A92CE198-1488-4180-B7CB-62193E9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2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126B"/>
  </w:style>
  <w:style w:type="paragraph" w:styleId="Header">
    <w:name w:val="header"/>
    <w:basedOn w:val="Normal"/>
    <w:link w:val="HeaderChar"/>
    <w:uiPriority w:val="99"/>
    <w:semiHidden/>
    <w:unhideWhenUsed/>
    <w:rsid w:val="000E7B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Marie Hattens</dc:creator>
  <cp:keywords/>
  <dc:description/>
  <cp:lastModifiedBy>LITTRE Jacques</cp:lastModifiedBy>
  <cp:revision>12</cp:revision>
  <dcterms:created xsi:type="dcterms:W3CDTF">2023-08-16T09:35:00Z</dcterms:created>
  <dcterms:modified xsi:type="dcterms:W3CDTF">2023-08-22T09:53:00Z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#ffef00,10,Calibri</vt:lpwstr>
  </property>
  <property fmtid="{D5CDD505-2E9C-101B-9397-08002B2CF9AE}" pid="4" name="ClassificationContentMarkingFooterText">
    <vt:lpwstr>PRIVATE</vt:lpwstr>
  </property>
  <property fmtid="{D5CDD505-2E9C-101B-9397-08002B2CF9AE}" pid="5" name="MSIP_Label_ac0b9ce6-6e99-42a1-af95-429494370cbc_Enabled">
    <vt:lpwstr>true</vt:lpwstr>
  </property>
  <property fmtid="{D5CDD505-2E9C-101B-9397-08002B2CF9AE}" pid="6" name="MSIP_Label_ac0b9ce6-6e99-42a1-af95-429494370cbc_SetDate">
    <vt:lpwstr>2023-08-16T09:36:23Z</vt:lpwstr>
  </property>
  <property fmtid="{D5CDD505-2E9C-101B-9397-08002B2CF9AE}" pid="7" name="MSIP_Label_ac0b9ce6-6e99-42a1-af95-429494370cbc_Method">
    <vt:lpwstr>Standard</vt:lpwstr>
  </property>
  <property fmtid="{D5CDD505-2E9C-101B-9397-08002B2CF9AE}" pid="8" name="MSIP_Label_ac0b9ce6-6e99-42a1-af95-429494370cbc_Name">
    <vt:lpwstr>ac0b9ce6-6e99-42a1-af95-429494370cbc</vt:lpwstr>
  </property>
  <property fmtid="{D5CDD505-2E9C-101B-9397-08002B2CF9AE}" pid="9" name="MSIP_Label_ac0b9ce6-6e99-42a1-af95-429494370cbc_SiteId">
    <vt:lpwstr>315b1ee5-c224-498b-871e-c140611d6d07</vt:lpwstr>
  </property>
  <property fmtid="{D5CDD505-2E9C-101B-9397-08002B2CF9AE}" pid="10" name="MSIP_Label_ac0b9ce6-6e99-42a1-af95-429494370cbc_ActionId">
    <vt:lpwstr>f2dab427-53df-486d-a7d4-53fdc2365625</vt:lpwstr>
  </property>
  <property fmtid="{D5CDD505-2E9C-101B-9397-08002B2CF9AE}" pid="11" name="MSIP_Label_ac0b9ce6-6e99-42a1-af95-429494370cbc_ContentBits">
    <vt:lpwstr>2</vt:lpwstr>
  </property>
</Properties>
</file>