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50" w:rsidRDefault="00637B97">
      <w:pPr>
        <w:rPr>
          <w:rFonts w:cs="Arial"/>
        </w:rPr>
      </w:pPr>
      <w:r>
        <w:rPr>
          <w:noProof/>
          <w:lang w:eastAsia="en-GB"/>
        </w:rPr>
        <w:drawing>
          <wp:anchor distT="0" distB="0" distL="114300" distR="114300" simplePos="0" relativeHeight="251652608" behindDoc="1" locked="0" layoutInCell="1" allowOverlap="1" wp14:anchorId="109B5D9F" wp14:editId="33635D5A">
            <wp:simplePos x="0" y="0"/>
            <wp:positionH relativeFrom="column">
              <wp:posOffset>979170</wp:posOffset>
            </wp:positionH>
            <wp:positionV relativeFrom="paragraph">
              <wp:posOffset>97790</wp:posOffset>
            </wp:positionV>
            <wp:extent cx="842010" cy="845820"/>
            <wp:effectExtent l="19050" t="0" r="0" b="0"/>
            <wp:wrapNone/>
            <wp:docPr id="7" name="Picture 160" descr="Swi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wift logo"/>
                    <pic:cNvPicPr>
                      <a:picLocks noChangeAspect="1" noChangeArrowheads="1"/>
                    </pic:cNvPicPr>
                  </pic:nvPicPr>
                  <pic:blipFill>
                    <a:blip r:embed="rId9"/>
                    <a:srcRect/>
                    <a:stretch>
                      <a:fillRect/>
                    </a:stretch>
                  </pic:blipFill>
                  <pic:spPr bwMode="auto">
                    <a:xfrm>
                      <a:off x="0" y="0"/>
                      <a:ext cx="842010" cy="845820"/>
                    </a:xfrm>
                    <a:prstGeom prst="rect">
                      <a:avLst/>
                    </a:prstGeom>
                    <a:noFill/>
                  </pic:spPr>
                </pic:pic>
              </a:graphicData>
            </a:graphic>
          </wp:anchor>
        </w:drawing>
      </w:r>
      <w:r w:rsidR="00DA7C95">
        <w:rPr>
          <w:noProof/>
          <w:lang w:eastAsia="en-GB"/>
        </w:rPr>
        <w:drawing>
          <wp:anchor distT="0" distB="0" distL="114300" distR="114300" simplePos="0" relativeHeight="251651584" behindDoc="1" locked="0" layoutInCell="1" allowOverlap="1" wp14:anchorId="06010F34" wp14:editId="71B0F8A2">
            <wp:simplePos x="0" y="0"/>
            <wp:positionH relativeFrom="column">
              <wp:posOffset>-8255</wp:posOffset>
            </wp:positionH>
            <wp:positionV relativeFrom="paragraph">
              <wp:posOffset>-3862070</wp:posOffset>
            </wp:positionV>
            <wp:extent cx="7793990" cy="2073275"/>
            <wp:effectExtent l="19050" t="0" r="0" b="0"/>
            <wp:wrapNone/>
            <wp:docPr id="9" name="Picture 159" descr="SWIFT_Level_2_Bandi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WIFT_Level_2_Banding_CMYK"/>
                    <pic:cNvPicPr>
                      <a:picLocks noChangeAspect="1" noChangeArrowheads="1"/>
                    </pic:cNvPicPr>
                  </pic:nvPicPr>
                  <pic:blipFill>
                    <a:blip r:embed="rId10"/>
                    <a:srcRect/>
                    <a:stretch>
                      <a:fillRect/>
                    </a:stretch>
                  </pic:blipFill>
                  <pic:spPr bwMode="auto">
                    <a:xfrm flipH="1">
                      <a:off x="0" y="0"/>
                      <a:ext cx="7793990" cy="2073275"/>
                    </a:xfrm>
                    <a:prstGeom prst="rect">
                      <a:avLst/>
                    </a:prstGeom>
                    <a:noFill/>
                  </pic:spPr>
                </pic:pic>
              </a:graphicData>
            </a:graphic>
          </wp:anchor>
        </w:drawing>
      </w:r>
    </w:p>
    <w:p w:rsidR="008F7250" w:rsidRDefault="008F7250" w:rsidP="00637B97">
      <w:pPr>
        <w:pStyle w:val="Documenttitle"/>
        <w:spacing w:before="0"/>
        <w:rPr>
          <w:rFonts w:cs="Arial"/>
          <w:color w:val="000000"/>
        </w:rPr>
      </w:pPr>
      <w:r>
        <w:rPr>
          <w:rFonts w:cs="Arial"/>
          <w:color w:val="000000"/>
        </w:rPr>
        <w:t>Standards Messaging Landscape</w:t>
      </w:r>
    </w:p>
    <w:p w:rsidR="00637B97" w:rsidRDefault="00637B97" w:rsidP="00637B97">
      <w:pPr>
        <w:pStyle w:val="sub-headingcover"/>
        <w:rPr>
          <w:rStyle w:val="PlaceholderText"/>
          <w:color w:val="auto"/>
        </w:rPr>
      </w:pPr>
    </w:p>
    <w:p w:rsidR="008F7250" w:rsidRPr="00D76516" w:rsidRDefault="00637B97" w:rsidP="00637B97">
      <w:pPr>
        <w:pStyle w:val="sub-headingcover"/>
        <w:rPr>
          <w:rStyle w:val="PlaceholderText"/>
          <w:color w:val="auto"/>
        </w:rPr>
      </w:pPr>
      <w:r>
        <w:rPr>
          <w:rStyle w:val="PlaceholderText"/>
          <w:color w:val="auto"/>
        </w:rPr>
        <w:t xml:space="preserve"> </w:t>
      </w:r>
      <w:r w:rsidR="00096037">
        <w:rPr>
          <w:rStyle w:val="PlaceholderText"/>
          <w:color w:val="auto"/>
        </w:rPr>
        <w:t>10</w:t>
      </w:r>
      <w:r w:rsidR="00096037" w:rsidRPr="00D76516">
        <w:rPr>
          <w:rStyle w:val="PlaceholderText"/>
          <w:color w:val="auto"/>
        </w:rPr>
        <w:t xml:space="preserve"> </w:t>
      </w:r>
      <w:r w:rsidR="009959BE">
        <w:rPr>
          <w:rStyle w:val="PlaceholderText"/>
          <w:color w:val="auto"/>
        </w:rPr>
        <w:t>April 2013</w:t>
      </w:r>
      <w:r w:rsidR="00096037">
        <w:rPr>
          <w:rStyle w:val="PlaceholderText"/>
          <w:color w:val="auto"/>
        </w:rPr>
        <w:t xml:space="preserve"> </w:t>
      </w:r>
    </w:p>
    <w:p w:rsidR="008F7250" w:rsidRDefault="008F7250">
      <w:pPr>
        <w:pStyle w:val="sub-headingcover"/>
        <w:ind w:left="3600"/>
        <w:rPr>
          <w:rFonts w:cs="Arial"/>
          <w:noProof w:val="0"/>
          <w:color w:val="000000"/>
        </w:rPr>
        <w:sectPr w:rsidR="008F7250">
          <w:headerReference w:type="default" r:id="rId11"/>
          <w:pgSz w:w="12240" w:h="15840" w:code="1"/>
          <w:pgMar w:top="-5954" w:right="51" w:bottom="1440" w:left="0" w:header="567" w:footer="2252" w:gutter="0"/>
          <w:pgNumType w:start="1"/>
          <w:cols w:space="720"/>
          <w:docGrid w:linePitch="272"/>
        </w:sectPr>
      </w:pPr>
    </w:p>
    <w:p w:rsidR="008F7250" w:rsidRDefault="008F7250">
      <w:pPr>
        <w:ind w:left="0" w:right="-45"/>
        <w:rPr>
          <w:rFonts w:cs="Arial"/>
          <w:color w:val="000000"/>
          <w:sz w:val="24"/>
          <w:szCs w:val="24"/>
        </w:rPr>
      </w:pPr>
    </w:p>
    <w:p w:rsidR="008F7250" w:rsidRDefault="008F7250">
      <w:pPr>
        <w:ind w:left="0" w:right="-45"/>
        <w:rPr>
          <w:rFonts w:cs="Arial"/>
          <w:color w:val="000000"/>
          <w:sz w:val="24"/>
          <w:szCs w:val="24"/>
        </w:rPr>
      </w:pPr>
    </w:p>
    <w:p w:rsidR="008F7250" w:rsidRDefault="008F7250">
      <w:pPr>
        <w:ind w:left="0" w:right="-45"/>
        <w:rPr>
          <w:rFonts w:cs="Arial"/>
          <w:b/>
          <w:color w:val="000000"/>
          <w:sz w:val="24"/>
          <w:szCs w:val="24"/>
        </w:rPr>
      </w:pPr>
      <w:r>
        <w:rPr>
          <w:rFonts w:cs="Arial"/>
          <w:b/>
          <w:color w:val="000000"/>
          <w:sz w:val="24"/>
          <w:szCs w:val="24"/>
        </w:rPr>
        <w:t>Legal Notices</w:t>
      </w:r>
    </w:p>
    <w:p w:rsidR="008F7250" w:rsidRDefault="008F7250">
      <w:pPr>
        <w:ind w:left="0" w:right="-45"/>
        <w:rPr>
          <w:rFonts w:cs="Arial"/>
          <w:color w:val="000000"/>
        </w:rPr>
      </w:pPr>
    </w:p>
    <w:p w:rsidR="008F7250" w:rsidRDefault="008F7250">
      <w:pPr>
        <w:ind w:left="0" w:right="-45"/>
        <w:rPr>
          <w:rFonts w:cs="Arial"/>
          <w:b/>
          <w:color w:val="000000"/>
        </w:rPr>
      </w:pPr>
      <w:r>
        <w:rPr>
          <w:rFonts w:cs="Arial"/>
          <w:b/>
          <w:color w:val="000000"/>
        </w:rPr>
        <w:t>Copyright</w:t>
      </w:r>
    </w:p>
    <w:p w:rsidR="008F7250" w:rsidRDefault="008F7250">
      <w:pPr>
        <w:ind w:left="0" w:right="-45"/>
        <w:jc w:val="both"/>
        <w:rPr>
          <w:rFonts w:cs="Arial"/>
          <w:color w:val="000000"/>
        </w:rPr>
      </w:pPr>
      <w:r>
        <w:rPr>
          <w:rFonts w:cs="Arial"/>
          <w:color w:val="000000"/>
        </w:rPr>
        <w:t xml:space="preserve">Copyright © S.W.I.F.T. SCRL (“SWIFT”), avenue </w:t>
      </w:r>
      <w:proofErr w:type="spellStart"/>
      <w:r>
        <w:rPr>
          <w:rFonts w:cs="Arial"/>
          <w:color w:val="000000"/>
        </w:rPr>
        <w:t>Adèle</w:t>
      </w:r>
      <w:proofErr w:type="spellEnd"/>
      <w:r>
        <w:rPr>
          <w:rFonts w:cs="Arial"/>
          <w:color w:val="000000"/>
        </w:rPr>
        <w:t xml:space="preserve"> 1, B-1310 La </w:t>
      </w:r>
      <w:proofErr w:type="spellStart"/>
      <w:r>
        <w:rPr>
          <w:rFonts w:cs="Arial"/>
          <w:color w:val="000000"/>
        </w:rPr>
        <w:t>Hulpe</w:t>
      </w:r>
      <w:proofErr w:type="spellEnd"/>
      <w:r>
        <w:rPr>
          <w:rFonts w:cs="Arial"/>
          <w:color w:val="000000"/>
        </w:rPr>
        <w:t>, Belgium, 201</w:t>
      </w:r>
      <w:r w:rsidR="00994697">
        <w:rPr>
          <w:rFonts w:cs="Arial"/>
          <w:color w:val="000000"/>
        </w:rPr>
        <w:t>3</w:t>
      </w:r>
      <w:r>
        <w:rPr>
          <w:rFonts w:cs="Arial"/>
          <w:color w:val="000000"/>
        </w:rPr>
        <w:t>. All rights reserved.</w:t>
      </w:r>
    </w:p>
    <w:p w:rsidR="008F7250" w:rsidRDefault="008F7250">
      <w:pPr>
        <w:ind w:left="0" w:right="-45"/>
        <w:jc w:val="both"/>
        <w:rPr>
          <w:rFonts w:cs="Arial"/>
          <w:color w:val="000000"/>
        </w:rPr>
      </w:pPr>
      <w:r>
        <w:rPr>
          <w:rFonts w:cs="Arial"/>
          <w:color w:val="000000"/>
        </w:rPr>
        <w:t>The recipient is, however, authorised to copy or reproduce this document within its own organisation as may be reasonably necessary for the purpose for which it is supplied. Any such copy or reproduction will include all notices set out on this page.</w:t>
      </w:r>
    </w:p>
    <w:p w:rsidR="008F7250" w:rsidRDefault="008F7250">
      <w:pPr>
        <w:ind w:left="0" w:right="-45"/>
        <w:jc w:val="both"/>
        <w:rPr>
          <w:rFonts w:cs="Arial"/>
          <w:color w:val="000000"/>
        </w:rPr>
      </w:pPr>
    </w:p>
    <w:p w:rsidR="008F7250" w:rsidRDefault="008F7250">
      <w:pPr>
        <w:ind w:left="0" w:right="-45"/>
        <w:rPr>
          <w:rFonts w:cs="Arial"/>
          <w:b/>
          <w:color w:val="000000"/>
        </w:rPr>
      </w:pPr>
      <w:r>
        <w:rPr>
          <w:rFonts w:cs="Arial"/>
          <w:b/>
          <w:color w:val="000000"/>
        </w:rPr>
        <w:t>Confidentiality</w:t>
      </w:r>
    </w:p>
    <w:p w:rsidR="008F7250" w:rsidRDefault="008F7250">
      <w:pPr>
        <w:ind w:left="0" w:right="-45"/>
        <w:jc w:val="both"/>
        <w:rPr>
          <w:rFonts w:cs="Arial"/>
          <w:color w:val="000000"/>
        </w:rPr>
      </w:pPr>
      <w:r>
        <w:rPr>
          <w:rFonts w:cs="Arial"/>
          <w:color w:val="000000"/>
        </w:rPr>
        <w:t xml:space="preserve">This document may contain proprietary and/or confidential information of SWIFT and/or its suppliers. The recipient should not disclose this document </w:t>
      </w:r>
      <w:r w:rsidRPr="003A20EB">
        <w:rPr>
          <w:rFonts w:cs="Arial"/>
          <w:color w:val="000000"/>
        </w:rPr>
        <w:t xml:space="preserve">or the information it contains </w:t>
      </w:r>
      <w:r>
        <w:rPr>
          <w:rFonts w:cs="Arial"/>
          <w:color w:val="000000"/>
        </w:rPr>
        <w:t>to third parties without the prior written permission of SWIFT.</w:t>
      </w:r>
    </w:p>
    <w:p w:rsidR="008F7250" w:rsidRDefault="008F7250">
      <w:pPr>
        <w:ind w:left="0" w:right="-45"/>
        <w:jc w:val="both"/>
        <w:rPr>
          <w:rFonts w:cs="Arial"/>
          <w:color w:val="000000"/>
        </w:rPr>
      </w:pPr>
    </w:p>
    <w:p w:rsidR="008F7250" w:rsidRDefault="008F7250">
      <w:pPr>
        <w:ind w:left="0" w:right="-45"/>
        <w:rPr>
          <w:rFonts w:cs="Arial"/>
          <w:b/>
          <w:color w:val="000000"/>
        </w:rPr>
      </w:pPr>
      <w:r>
        <w:rPr>
          <w:rFonts w:cs="Arial"/>
          <w:b/>
          <w:color w:val="000000"/>
        </w:rPr>
        <w:t>Trademarks</w:t>
      </w:r>
    </w:p>
    <w:p w:rsidR="008F7250" w:rsidRDefault="008F7250">
      <w:pPr>
        <w:ind w:left="0" w:right="-45"/>
        <w:jc w:val="both"/>
        <w:rPr>
          <w:rFonts w:cs="Arial"/>
          <w:color w:val="000000"/>
        </w:rPr>
      </w:pPr>
      <w:r>
        <w:rPr>
          <w:rFonts w:cs="Arial"/>
          <w:color w:val="000000"/>
        </w:rPr>
        <w:t xml:space="preserve">SWIFT, S.W.I.F.T., the SWIFT logo, </w:t>
      </w:r>
      <w:proofErr w:type="spellStart"/>
      <w:r>
        <w:rPr>
          <w:rFonts w:cs="Arial"/>
          <w:color w:val="000000"/>
        </w:rPr>
        <w:t>Sibos</w:t>
      </w:r>
      <w:proofErr w:type="spellEnd"/>
      <w:r>
        <w:rPr>
          <w:rFonts w:cs="Arial"/>
          <w:color w:val="000000"/>
        </w:rPr>
        <w:t xml:space="preserve">, Accord and SWIFT-derived product and service names - such as but not limited to </w:t>
      </w:r>
      <w:proofErr w:type="spellStart"/>
      <w:r>
        <w:rPr>
          <w:rFonts w:cs="Arial"/>
          <w:color w:val="000000"/>
        </w:rPr>
        <w:t>SWIFTNet</w:t>
      </w:r>
      <w:proofErr w:type="spellEnd"/>
      <w:r>
        <w:rPr>
          <w:rFonts w:cs="Arial"/>
          <w:color w:val="000000"/>
        </w:rPr>
        <w:t xml:space="preserve">, </w:t>
      </w:r>
      <w:proofErr w:type="spellStart"/>
      <w:r>
        <w:rPr>
          <w:rFonts w:cs="Arial"/>
          <w:color w:val="000000"/>
        </w:rPr>
        <w:t>SWIFTAlliance</w:t>
      </w:r>
      <w:proofErr w:type="spellEnd"/>
      <w:r>
        <w:rPr>
          <w:rFonts w:cs="Arial"/>
          <w:color w:val="000000"/>
        </w:rPr>
        <w:t xml:space="preserve"> and </w:t>
      </w:r>
      <w:proofErr w:type="spellStart"/>
      <w:r>
        <w:rPr>
          <w:rFonts w:cs="Arial"/>
          <w:color w:val="000000"/>
        </w:rPr>
        <w:t>SWIFTStandards</w:t>
      </w:r>
      <w:proofErr w:type="spellEnd"/>
      <w:r>
        <w:rPr>
          <w:rFonts w:cs="Arial"/>
          <w:color w:val="000000"/>
        </w:rPr>
        <w:t xml:space="preserve"> - are trademarks of S.W.I.F.T. SCRL.</w:t>
      </w:r>
    </w:p>
    <w:p w:rsidR="008F7250" w:rsidRDefault="008F7250">
      <w:pPr>
        <w:ind w:left="0" w:right="-45"/>
        <w:jc w:val="both"/>
        <w:rPr>
          <w:rFonts w:cs="Arial"/>
          <w:color w:val="000000"/>
        </w:rPr>
      </w:pPr>
      <w:r>
        <w:rPr>
          <w:rFonts w:cs="Arial"/>
          <w:color w:val="000000"/>
        </w:rPr>
        <w:t>SWIFT is the trading name of S.W.I.F.T. SCRL.</w:t>
      </w:r>
    </w:p>
    <w:p w:rsidR="008F7250" w:rsidRDefault="008F7250">
      <w:pPr>
        <w:ind w:left="0" w:right="-45"/>
        <w:jc w:val="both"/>
        <w:rPr>
          <w:rFonts w:cs="Arial"/>
          <w:color w:val="000000"/>
        </w:rPr>
      </w:pPr>
      <w:r>
        <w:rPr>
          <w:rFonts w:cs="Arial"/>
          <w:color w:val="000000"/>
        </w:rPr>
        <w:t>All other product or company names that may be mentioned in this document are trademarks or registered trademarks of their respective owners.</w:t>
      </w:r>
    </w:p>
    <w:p w:rsidR="008F7250" w:rsidRDefault="008F7250">
      <w:pPr>
        <w:ind w:left="0" w:right="-45"/>
        <w:rPr>
          <w:rFonts w:cs="Arial"/>
          <w:color w:val="000000"/>
        </w:rPr>
      </w:pPr>
    </w:p>
    <w:p w:rsidR="008F7250" w:rsidRDefault="008F7250">
      <w:pPr>
        <w:ind w:left="0" w:right="-45"/>
        <w:rPr>
          <w:rFonts w:cs="Arial"/>
          <w:b/>
          <w:color w:val="000000"/>
        </w:rPr>
      </w:pPr>
      <w:r>
        <w:rPr>
          <w:rFonts w:cs="Arial"/>
          <w:b/>
          <w:color w:val="000000"/>
        </w:rPr>
        <w:t>IMPORTANT</w:t>
      </w:r>
    </w:p>
    <w:p w:rsidR="008F7250" w:rsidRDefault="008F7250">
      <w:pPr>
        <w:ind w:left="0" w:right="-45"/>
        <w:jc w:val="both"/>
        <w:rPr>
          <w:rFonts w:cs="Arial"/>
          <w:color w:val="000000"/>
        </w:rPr>
      </w:pPr>
      <w:r>
        <w:rPr>
          <w:rFonts w:cs="Arial"/>
          <w:color w:val="000000"/>
        </w:rPr>
        <w:t>This document is supplied for information purposes only, and shall not be binding nor shall it be construed as constituting any obligation, representation or warranty on the part of SWIFT.</w:t>
      </w:r>
    </w:p>
    <w:p w:rsidR="008F7250" w:rsidRDefault="008F7250">
      <w:pPr>
        <w:ind w:left="0" w:right="-45"/>
        <w:jc w:val="both"/>
        <w:rPr>
          <w:rFonts w:cs="Arial"/>
          <w:color w:val="000000"/>
        </w:rPr>
      </w:pPr>
      <w:r>
        <w:rPr>
          <w:rFonts w:cs="Arial"/>
          <w:color w:val="000000"/>
        </w:rPr>
        <w:t>The information in this document is the latest available at the date of its production, and may change from time to time. If you need to check whether the information in this document is still valid, please contact the SWIFT.</w:t>
      </w:r>
    </w:p>
    <w:p w:rsidR="004C4943" w:rsidRDefault="004C4943" w:rsidP="00667E82">
      <w:pPr>
        <w:ind w:left="720" w:right="-45"/>
      </w:pPr>
    </w:p>
    <w:p w:rsidR="008F7250" w:rsidRPr="002337EF" w:rsidRDefault="000C162C" w:rsidP="009113FA">
      <w:pPr>
        <w:ind w:left="0" w:right="-45"/>
        <w:sectPr w:rsidR="008F7250" w:rsidRPr="002337EF" w:rsidSect="004547A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67" w:footer="720" w:gutter="0"/>
          <w:pgNumType w:start="2"/>
          <w:cols w:space="720"/>
          <w:docGrid w:linePitch="272"/>
        </w:sectPr>
      </w:pPr>
      <w:r>
        <w:t xml:space="preserve"> </w:t>
      </w:r>
    </w:p>
    <w:p w:rsidR="008F7250" w:rsidRDefault="008F7250">
      <w:pPr>
        <w:pStyle w:val="Title"/>
      </w:pPr>
      <w:bookmarkStart w:id="0" w:name="_Toc286866265"/>
      <w:bookmarkStart w:id="1" w:name="_Toc286866824"/>
      <w:bookmarkStart w:id="2" w:name="_Toc286867046"/>
      <w:bookmarkStart w:id="3" w:name="_Toc286868247"/>
      <w:bookmarkStart w:id="4" w:name="_Toc286918808"/>
      <w:bookmarkStart w:id="5" w:name="_Toc286919079"/>
      <w:bookmarkStart w:id="6" w:name="_Toc292089797"/>
      <w:bookmarkStart w:id="7" w:name="_Toc292092542"/>
      <w:bookmarkStart w:id="8" w:name="_Toc340670934"/>
      <w:r>
        <w:lastRenderedPageBreak/>
        <w:t>Table of contents</w:t>
      </w:r>
      <w:bookmarkEnd w:id="0"/>
      <w:bookmarkEnd w:id="1"/>
      <w:bookmarkEnd w:id="2"/>
      <w:bookmarkEnd w:id="3"/>
      <w:bookmarkEnd w:id="4"/>
      <w:bookmarkEnd w:id="5"/>
      <w:bookmarkEnd w:id="6"/>
      <w:bookmarkEnd w:id="7"/>
      <w:bookmarkEnd w:id="8"/>
    </w:p>
    <w:p w:rsidR="008F7250" w:rsidRDefault="008F7250"/>
    <w:p w:rsidR="001D7D60" w:rsidRDefault="00153376">
      <w:pPr>
        <w:pStyle w:val="TOC1"/>
        <w:rPr>
          <w:rFonts w:asciiTheme="minorHAnsi" w:eastAsiaTheme="minorEastAsia" w:hAnsiTheme="minorHAnsi" w:cstheme="minorBidi"/>
          <w:b w:val="0"/>
          <w:sz w:val="22"/>
          <w:szCs w:val="22"/>
          <w:lang w:eastAsia="en-GB"/>
        </w:rPr>
      </w:pPr>
      <w:r>
        <w:rPr>
          <w:rFonts w:cs="Arial"/>
          <w:noProof w:val="0"/>
          <w:color w:val="000000"/>
        </w:rPr>
        <w:fldChar w:fldCharType="begin"/>
      </w:r>
      <w:r w:rsidR="008F7250">
        <w:rPr>
          <w:rFonts w:cs="Arial"/>
          <w:noProof w:val="0"/>
          <w:color w:val="000000"/>
        </w:rPr>
        <w:instrText xml:space="preserve"> TOC \o "1-2" \u </w:instrText>
      </w:r>
      <w:r>
        <w:rPr>
          <w:rFonts w:cs="Arial"/>
          <w:noProof w:val="0"/>
          <w:color w:val="000000"/>
        </w:rPr>
        <w:fldChar w:fldCharType="separate"/>
      </w:r>
      <w:r w:rsidR="001D7D60">
        <w:t>Table of contents</w:t>
      </w:r>
      <w:r w:rsidR="001D7D60">
        <w:tab/>
      </w:r>
      <w:r w:rsidR="001D7D60">
        <w:fldChar w:fldCharType="begin"/>
      </w:r>
      <w:r w:rsidR="001D7D60">
        <w:instrText xml:space="preserve"> PAGEREF _Toc340670934 \h </w:instrText>
      </w:r>
      <w:r w:rsidR="001D7D60">
        <w:fldChar w:fldCharType="separate"/>
      </w:r>
      <w:r w:rsidR="001D7D60">
        <w:t>3</w:t>
      </w:r>
      <w:r w:rsidR="001D7D60">
        <w:fldChar w:fldCharType="end"/>
      </w:r>
    </w:p>
    <w:p w:rsidR="001D7D60" w:rsidRDefault="001D7D60">
      <w:pPr>
        <w:pStyle w:val="TOC1"/>
        <w:rPr>
          <w:rFonts w:asciiTheme="minorHAnsi" w:eastAsiaTheme="minorEastAsia" w:hAnsiTheme="minorHAnsi" w:cstheme="minorBidi"/>
          <w:b w:val="0"/>
          <w:sz w:val="22"/>
          <w:szCs w:val="22"/>
          <w:lang w:eastAsia="en-GB"/>
        </w:rPr>
      </w:pPr>
      <w:r>
        <w:t>Foreword</w:t>
      </w:r>
      <w:r>
        <w:tab/>
      </w:r>
      <w:r>
        <w:fldChar w:fldCharType="begin"/>
      </w:r>
      <w:r>
        <w:instrText xml:space="preserve"> PAGEREF _Toc340670935 \h </w:instrText>
      </w:r>
      <w:r>
        <w:fldChar w:fldCharType="separate"/>
      </w:r>
      <w:r>
        <w:t>6</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1</w:t>
      </w:r>
      <w:r>
        <w:rPr>
          <w:rFonts w:asciiTheme="minorHAnsi" w:eastAsiaTheme="minorEastAsia" w:hAnsiTheme="minorHAnsi" w:cstheme="minorBidi"/>
          <w:b w:val="0"/>
          <w:sz w:val="22"/>
          <w:szCs w:val="22"/>
          <w:lang w:eastAsia="en-GB"/>
        </w:rPr>
        <w:tab/>
      </w:r>
      <w:r>
        <w:t>Payments</w:t>
      </w:r>
      <w:r>
        <w:tab/>
      </w:r>
      <w:r>
        <w:fldChar w:fldCharType="begin"/>
      </w:r>
      <w:r>
        <w:instrText xml:space="preserve"> PAGEREF _Toc340670936 \h </w:instrText>
      </w:r>
      <w:r>
        <w:fldChar w:fldCharType="separate"/>
      </w:r>
      <w:r>
        <w:t>7</w:t>
      </w:r>
      <w:r>
        <w:fldChar w:fldCharType="end"/>
      </w:r>
    </w:p>
    <w:p w:rsidR="001D7D60" w:rsidRDefault="001D7D60">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_Toc340670937 \h </w:instrText>
      </w:r>
      <w:r>
        <w:fldChar w:fldCharType="separate"/>
      </w:r>
      <w:r>
        <w:t>7</w:t>
      </w:r>
      <w:r>
        <w:fldChar w:fldCharType="end"/>
      </w:r>
    </w:p>
    <w:p w:rsidR="001D7D60" w:rsidRDefault="001D7D60">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_Toc340670938 \h </w:instrText>
      </w:r>
      <w:r>
        <w:fldChar w:fldCharType="separate"/>
      </w:r>
      <w:r>
        <w:t>9</w:t>
      </w:r>
      <w:r>
        <w:fldChar w:fldCharType="end"/>
      </w:r>
    </w:p>
    <w:p w:rsidR="001D7D60" w:rsidRDefault="001D7D60">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_Toc340670939 \h </w:instrText>
      </w:r>
      <w:r>
        <w:fldChar w:fldCharType="separate"/>
      </w:r>
      <w:r>
        <w:t>10</w:t>
      </w:r>
      <w:r>
        <w:fldChar w:fldCharType="end"/>
      </w:r>
    </w:p>
    <w:p w:rsidR="001D7D60" w:rsidRDefault="001D7D60">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_Toc340670940 \h </w:instrText>
      </w:r>
      <w:r>
        <w:fldChar w:fldCharType="separate"/>
      </w:r>
      <w:r>
        <w:t>12</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2</w:t>
      </w:r>
      <w:r>
        <w:rPr>
          <w:rFonts w:asciiTheme="minorHAnsi" w:eastAsiaTheme="minorEastAsia" w:hAnsiTheme="minorHAnsi" w:cstheme="minorBidi"/>
          <w:b w:val="0"/>
          <w:sz w:val="22"/>
          <w:szCs w:val="22"/>
          <w:lang w:eastAsia="en-GB"/>
        </w:rPr>
        <w:tab/>
      </w:r>
      <w:r>
        <w:t>Foreign Exchange</w:t>
      </w:r>
      <w:r>
        <w:tab/>
      </w:r>
      <w:r>
        <w:fldChar w:fldCharType="begin"/>
      </w:r>
      <w:r>
        <w:instrText xml:space="preserve"> PAGEREF _Toc340670941 \h </w:instrText>
      </w:r>
      <w:r>
        <w:fldChar w:fldCharType="separate"/>
      </w:r>
      <w:r>
        <w:t>13</w:t>
      </w:r>
      <w:r>
        <w:fldChar w:fldCharType="end"/>
      </w:r>
    </w:p>
    <w:p w:rsidR="001D7D60" w:rsidRDefault="001D7D60">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_Toc340670942 \h </w:instrText>
      </w:r>
      <w:r>
        <w:fldChar w:fldCharType="separate"/>
      </w:r>
      <w:r>
        <w:t>13</w:t>
      </w:r>
      <w:r>
        <w:fldChar w:fldCharType="end"/>
      </w:r>
    </w:p>
    <w:p w:rsidR="001D7D60" w:rsidRDefault="001D7D60">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_Toc340670943 \h </w:instrText>
      </w:r>
      <w:r>
        <w:fldChar w:fldCharType="separate"/>
      </w:r>
      <w:r>
        <w:t>15</w:t>
      </w:r>
      <w:r>
        <w:fldChar w:fldCharType="end"/>
      </w:r>
    </w:p>
    <w:p w:rsidR="001D7D60" w:rsidRDefault="001D7D60">
      <w:pPr>
        <w:pStyle w:val="TOC2"/>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_Toc340670944 \h </w:instrText>
      </w:r>
      <w:r>
        <w:fldChar w:fldCharType="separate"/>
      </w:r>
      <w:r>
        <w:t>15</w:t>
      </w:r>
      <w:r>
        <w:fldChar w:fldCharType="end"/>
      </w:r>
    </w:p>
    <w:p w:rsidR="001D7D60" w:rsidRDefault="001D7D60">
      <w:pPr>
        <w:pStyle w:val="TOC2"/>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_Toc340670945 \h </w:instrText>
      </w:r>
      <w:r>
        <w:fldChar w:fldCharType="separate"/>
      </w:r>
      <w:r>
        <w:t>17</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3</w:t>
      </w:r>
      <w:r>
        <w:rPr>
          <w:rFonts w:asciiTheme="minorHAnsi" w:eastAsiaTheme="minorEastAsia" w:hAnsiTheme="minorHAnsi" w:cstheme="minorBidi"/>
          <w:b w:val="0"/>
          <w:sz w:val="22"/>
          <w:szCs w:val="22"/>
          <w:lang w:eastAsia="en-GB"/>
        </w:rPr>
        <w:tab/>
      </w:r>
      <w:r>
        <w:t>Securities (equities, fixed income, listed funds and listed derivatives)</w:t>
      </w:r>
      <w:r>
        <w:tab/>
      </w:r>
      <w:r>
        <w:fldChar w:fldCharType="begin"/>
      </w:r>
      <w:r>
        <w:instrText xml:space="preserve"> PAGEREF _Toc340670946 \h </w:instrText>
      </w:r>
      <w:r>
        <w:fldChar w:fldCharType="separate"/>
      </w:r>
      <w:r>
        <w:t>18</w:t>
      </w:r>
      <w:r>
        <w:fldChar w:fldCharType="end"/>
      </w:r>
    </w:p>
    <w:p w:rsidR="001D7D60" w:rsidRDefault="001D7D60">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_Toc340670947 \h </w:instrText>
      </w:r>
      <w:r>
        <w:fldChar w:fldCharType="separate"/>
      </w:r>
      <w:r>
        <w:t>18</w:t>
      </w:r>
      <w:r>
        <w:fldChar w:fldCharType="end"/>
      </w:r>
    </w:p>
    <w:p w:rsidR="001D7D60" w:rsidRDefault="001D7D60">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_Toc340670948 \h </w:instrText>
      </w:r>
      <w:r>
        <w:fldChar w:fldCharType="separate"/>
      </w:r>
      <w:r>
        <w:t>22</w:t>
      </w:r>
      <w:r>
        <w:fldChar w:fldCharType="end"/>
      </w:r>
    </w:p>
    <w:p w:rsidR="001D7D60" w:rsidRDefault="001D7D60">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_Toc340670949 \h </w:instrText>
      </w:r>
      <w:r>
        <w:fldChar w:fldCharType="separate"/>
      </w:r>
      <w:r>
        <w:t>23</w:t>
      </w:r>
      <w:r>
        <w:fldChar w:fldCharType="end"/>
      </w:r>
    </w:p>
    <w:p w:rsidR="001D7D60" w:rsidRDefault="001D7D60">
      <w:pPr>
        <w:pStyle w:val="TOC2"/>
        <w:rPr>
          <w:rFonts w:asciiTheme="minorHAnsi" w:eastAsiaTheme="minorEastAsia" w:hAnsiTheme="minorHAnsi" w:cstheme="minorBidi"/>
          <w:sz w:val="22"/>
          <w:szCs w:val="22"/>
          <w:lang w:eastAsia="en-GB"/>
        </w:rPr>
      </w:pPr>
      <w:r>
        <w:t>3.4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_Toc340670950 \h </w:instrText>
      </w:r>
      <w:r>
        <w:fldChar w:fldCharType="separate"/>
      </w:r>
      <w:r>
        <w:t>25</w:t>
      </w:r>
      <w:r>
        <w:fldChar w:fldCharType="end"/>
      </w:r>
    </w:p>
    <w:p w:rsidR="001D7D60" w:rsidRDefault="001D7D60">
      <w:pPr>
        <w:pStyle w:val="TOC2"/>
        <w:rPr>
          <w:rFonts w:asciiTheme="minorHAnsi" w:eastAsiaTheme="minorEastAsia" w:hAnsiTheme="minorHAnsi" w:cstheme="minorBidi"/>
          <w:sz w:val="22"/>
          <w:szCs w:val="22"/>
          <w:lang w:eastAsia="en-GB"/>
        </w:rPr>
      </w:pPr>
      <w:r>
        <w:t>3.5</w:t>
      </w:r>
      <w:r>
        <w:rPr>
          <w:rFonts w:asciiTheme="minorHAnsi" w:eastAsiaTheme="minorEastAsia" w:hAnsiTheme="minorHAnsi" w:cstheme="minorBidi"/>
          <w:sz w:val="22"/>
          <w:szCs w:val="22"/>
          <w:lang w:eastAsia="en-GB"/>
        </w:rPr>
        <w:tab/>
      </w:r>
      <w:r>
        <w:t>Standards Coordination Group Investment Roadmap</w:t>
      </w:r>
      <w:r>
        <w:tab/>
      </w:r>
      <w:r>
        <w:fldChar w:fldCharType="begin"/>
      </w:r>
      <w:r>
        <w:instrText xml:space="preserve"> PAGEREF _Toc340670951 \h </w:instrText>
      </w:r>
      <w:r>
        <w:fldChar w:fldCharType="separate"/>
      </w:r>
      <w:r>
        <w:t>25</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4</w:t>
      </w:r>
      <w:r>
        <w:rPr>
          <w:rFonts w:asciiTheme="minorHAnsi" w:eastAsiaTheme="minorEastAsia" w:hAnsiTheme="minorHAnsi" w:cstheme="minorBidi"/>
          <w:b w:val="0"/>
          <w:sz w:val="22"/>
          <w:szCs w:val="22"/>
          <w:lang w:eastAsia="en-GB"/>
        </w:rPr>
        <w:tab/>
      </w:r>
      <w:r>
        <w:t>Investment Funds</w:t>
      </w:r>
      <w:r>
        <w:tab/>
      </w:r>
      <w:r>
        <w:fldChar w:fldCharType="begin"/>
      </w:r>
      <w:r>
        <w:instrText xml:space="preserve"> PAGEREF _Toc340670952 \h </w:instrText>
      </w:r>
      <w:r>
        <w:fldChar w:fldCharType="separate"/>
      </w:r>
      <w:r>
        <w:t>26</w:t>
      </w:r>
      <w:r>
        <w:fldChar w:fldCharType="end"/>
      </w:r>
    </w:p>
    <w:p w:rsidR="001D7D60" w:rsidRDefault="001D7D60">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_Toc340670953 \h </w:instrText>
      </w:r>
      <w:r>
        <w:fldChar w:fldCharType="separate"/>
      </w:r>
      <w:r>
        <w:t>26</w:t>
      </w:r>
      <w:r>
        <w:fldChar w:fldCharType="end"/>
      </w:r>
    </w:p>
    <w:p w:rsidR="001D7D60" w:rsidRDefault="001D7D60">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_Toc340670954 \h </w:instrText>
      </w:r>
      <w:r>
        <w:fldChar w:fldCharType="separate"/>
      </w:r>
      <w:r>
        <w:t>28</w:t>
      </w:r>
      <w:r>
        <w:fldChar w:fldCharType="end"/>
      </w:r>
    </w:p>
    <w:p w:rsidR="001D7D60" w:rsidRDefault="001D7D60">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_Toc340670955 \h </w:instrText>
      </w:r>
      <w:r>
        <w:fldChar w:fldCharType="separate"/>
      </w:r>
      <w:r>
        <w:t>29</w:t>
      </w:r>
      <w:r>
        <w:fldChar w:fldCharType="end"/>
      </w:r>
    </w:p>
    <w:p w:rsidR="001D7D60" w:rsidRDefault="001D7D60">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_Toc340670956 \h </w:instrText>
      </w:r>
      <w:r>
        <w:fldChar w:fldCharType="separate"/>
      </w:r>
      <w:r>
        <w:t>30</w:t>
      </w:r>
      <w:r>
        <w:fldChar w:fldCharType="end"/>
      </w:r>
    </w:p>
    <w:p w:rsidR="001D7D60" w:rsidRDefault="001D7D60">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Standards Coordination Group Investment Roadmap</w:t>
      </w:r>
      <w:r>
        <w:tab/>
      </w:r>
      <w:r>
        <w:fldChar w:fldCharType="begin"/>
      </w:r>
      <w:r>
        <w:instrText xml:space="preserve"> PAGEREF _Toc340670957 \h </w:instrText>
      </w:r>
      <w:r>
        <w:fldChar w:fldCharType="separate"/>
      </w:r>
      <w:r>
        <w:t>30</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lastRenderedPageBreak/>
        <w:t>5</w:t>
      </w:r>
      <w:r>
        <w:rPr>
          <w:rFonts w:asciiTheme="minorHAnsi" w:eastAsiaTheme="minorEastAsia" w:hAnsiTheme="minorHAnsi" w:cstheme="minorBidi"/>
          <w:b w:val="0"/>
          <w:sz w:val="22"/>
          <w:szCs w:val="22"/>
          <w:lang w:eastAsia="en-GB"/>
        </w:rPr>
        <w:tab/>
      </w:r>
      <w:r>
        <w:t>OTC Derivatives</w:t>
      </w:r>
      <w:r>
        <w:tab/>
      </w:r>
      <w:r>
        <w:fldChar w:fldCharType="begin"/>
      </w:r>
      <w:r>
        <w:instrText xml:space="preserve"> PAGEREF _Toc340670958 \h </w:instrText>
      </w:r>
      <w:r>
        <w:fldChar w:fldCharType="separate"/>
      </w:r>
      <w:r>
        <w:t>31</w:t>
      </w:r>
      <w:r>
        <w:fldChar w:fldCharType="end"/>
      </w:r>
    </w:p>
    <w:p w:rsidR="001D7D60" w:rsidRDefault="001D7D60">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_Toc340670959 \h </w:instrText>
      </w:r>
      <w:r>
        <w:fldChar w:fldCharType="separate"/>
      </w:r>
      <w:r>
        <w:t>31</w:t>
      </w:r>
      <w:r>
        <w:fldChar w:fldCharType="end"/>
      </w:r>
    </w:p>
    <w:p w:rsidR="001D7D60" w:rsidRDefault="001D7D60">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_Toc340670960 \h </w:instrText>
      </w:r>
      <w:r>
        <w:fldChar w:fldCharType="separate"/>
      </w:r>
      <w:r>
        <w:t>32</w:t>
      </w:r>
      <w:r>
        <w:fldChar w:fldCharType="end"/>
      </w:r>
    </w:p>
    <w:p w:rsidR="001D7D60" w:rsidRDefault="001D7D60">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_Toc340670961 \h </w:instrText>
      </w:r>
      <w:r>
        <w:fldChar w:fldCharType="separate"/>
      </w:r>
      <w:r>
        <w:t>33</w:t>
      </w:r>
      <w:r>
        <w:fldChar w:fldCharType="end"/>
      </w:r>
    </w:p>
    <w:p w:rsidR="001D7D60" w:rsidRDefault="001D7D60">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_Toc340670962 \h </w:instrText>
      </w:r>
      <w:r>
        <w:fldChar w:fldCharType="separate"/>
      </w:r>
      <w:r>
        <w:t>35</w:t>
      </w:r>
      <w:r>
        <w:fldChar w:fldCharType="end"/>
      </w:r>
    </w:p>
    <w:p w:rsidR="001D7D60" w:rsidRDefault="001D7D60">
      <w:pPr>
        <w:pStyle w:val="TOC2"/>
        <w:rPr>
          <w:rFonts w:asciiTheme="minorHAnsi" w:eastAsiaTheme="minorEastAsia" w:hAnsiTheme="minorHAnsi" w:cstheme="minorBidi"/>
          <w:sz w:val="22"/>
          <w:szCs w:val="22"/>
          <w:lang w:eastAsia="en-GB"/>
        </w:rPr>
      </w:pPr>
      <w:r>
        <w:t>5.5</w:t>
      </w:r>
      <w:r>
        <w:rPr>
          <w:rFonts w:asciiTheme="minorHAnsi" w:eastAsiaTheme="minorEastAsia" w:hAnsiTheme="minorHAnsi" w:cstheme="minorBidi"/>
          <w:sz w:val="22"/>
          <w:szCs w:val="22"/>
          <w:lang w:eastAsia="en-GB"/>
        </w:rPr>
        <w:tab/>
      </w:r>
      <w:r>
        <w:t>Standards Coordination Group Investment Roadmap</w:t>
      </w:r>
      <w:r>
        <w:tab/>
      </w:r>
      <w:r>
        <w:fldChar w:fldCharType="begin"/>
      </w:r>
      <w:r>
        <w:instrText xml:space="preserve"> PAGEREF _Toc340670963 \h </w:instrText>
      </w:r>
      <w:r>
        <w:fldChar w:fldCharType="separate"/>
      </w:r>
      <w:r>
        <w:t>35</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6</w:t>
      </w:r>
      <w:r>
        <w:rPr>
          <w:rFonts w:asciiTheme="minorHAnsi" w:eastAsiaTheme="minorEastAsia" w:hAnsiTheme="minorHAnsi" w:cstheme="minorBidi"/>
          <w:b w:val="0"/>
          <w:sz w:val="22"/>
          <w:szCs w:val="22"/>
          <w:lang w:eastAsia="en-GB"/>
        </w:rPr>
        <w:tab/>
      </w:r>
      <w:r>
        <w:t>Commercial and Syndicated Loans</w:t>
      </w:r>
      <w:r>
        <w:tab/>
      </w:r>
      <w:r>
        <w:fldChar w:fldCharType="begin"/>
      </w:r>
      <w:r>
        <w:instrText xml:space="preserve"> PAGEREF _Toc340670964 \h </w:instrText>
      </w:r>
      <w:r>
        <w:fldChar w:fldCharType="separate"/>
      </w:r>
      <w:r>
        <w:t>36</w:t>
      </w:r>
      <w:r>
        <w:fldChar w:fldCharType="end"/>
      </w:r>
    </w:p>
    <w:p w:rsidR="001D7D60" w:rsidRDefault="001D7D60">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_Toc340670965 \h </w:instrText>
      </w:r>
      <w:r>
        <w:fldChar w:fldCharType="separate"/>
      </w:r>
      <w:r>
        <w:t>36</w:t>
      </w:r>
      <w:r>
        <w:fldChar w:fldCharType="end"/>
      </w:r>
    </w:p>
    <w:p w:rsidR="001D7D60" w:rsidRDefault="001D7D60">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_Toc340670966 \h </w:instrText>
      </w:r>
      <w:r>
        <w:fldChar w:fldCharType="separate"/>
      </w:r>
      <w:r>
        <w:t>37</w:t>
      </w:r>
      <w:r>
        <w:fldChar w:fldCharType="end"/>
      </w:r>
    </w:p>
    <w:p w:rsidR="001D7D60" w:rsidRDefault="001D7D60">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_Toc340670967 \h </w:instrText>
      </w:r>
      <w:r>
        <w:fldChar w:fldCharType="separate"/>
      </w:r>
      <w:r>
        <w:t>38</w:t>
      </w:r>
      <w:r>
        <w:fldChar w:fldCharType="end"/>
      </w:r>
    </w:p>
    <w:p w:rsidR="001D7D60" w:rsidRDefault="001D7D60">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_Toc340670968 \h </w:instrText>
      </w:r>
      <w:r>
        <w:fldChar w:fldCharType="separate"/>
      </w:r>
      <w:r>
        <w:t>38</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7</w:t>
      </w:r>
      <w:r>
        <w:rPr>
          <w:rFonts w:asciiTheme="minorHAnsi" w:eastAsiaTheme="minorEastAsia" w:hAnsiTheme="minorHAnsi" w:cstheme="minorBidi"/>
          <w:b w:val="0"/>
          <w:sz w:val="22"/>
          <w:szCs w:val="22"/>
          <w:lang w:eastAsia="en-GB"/>
        </w:rPr>
        <w:tab/>
      </w:r>
      <w:r>
        <w:t>Commodities</w:t>
      </w:r>
      <w:r>
        <w:tab/>
      </w:r>
      <w:r>
        <w:fldChar w:fldCharType="begin"/>
      </w:r>
      <w:r>
        <w:instrText xml:space="preserve"> PAGEREF _Toc340670969 \h </w:instrText>
      </w:r>
      <w:r>
        <w:fldChar w:fldCharType="separate"/>
      </w:r>
      <w:r>
        <w:t>39</w:t>
      </w:r>
      <w:r>
        <w:fldChar w:fldCharType="end"/>
      </w:r>
    </w:p>
    <w:p w:rsidR="001D7D60" w:rsidRDefault="001D7D60">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_Toc340670970 \h </w:instrText>
      </w:r>
      <w:r>
        <w:fldChar w:fldCharType="separate"/>
      </w:r>
      <w:r>
        <w:t>39</w:t>
      </w:r>
      <w:r>
        <w:fldChar w:fldCharType="end"/>
      </w:r>
    </w:p>
    <w:p w:rsidR="001D7D60" w:rsidRDefault="001D7D60">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_Toc340670971 \h </w:instrText>
      </w:r>
      <w:r>
        <w:fldChar w:fldCharType="separate"/>
      </w:r>
      <w:r>
        <w:t>40</w:t>
      </w:r>
      <w:r>
        <w:fldChar w:fldCharType="end"/>
      </w:r>
    </w:p>
    <w:p w:rsidR="001D7D60" w:rsidRDefault="001D7D60">
      <w:pPr>
        <w:pStyle w:val="TOC2"/>
        <w:rPr>
          <w:rFonts w:asciiTheme="minorHAnsi" w:eastAsiaTheme="minorEastAsia" w:hAnsiTheme="minorHAnsi" w:cstheme="minorBidi"/>
          <w:sz w:val="22"/>
          <w:szCs w:val="22"/>
          <w:lang w:eastAsia="en-GB"/>
        </w:rPr>
      </w:pPr>
      <w:r>
        <w:t>7.3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_Toc340670972 \h </w:instrText>
      </w:r>
      <w:r>
        <w:fldChar w:fldCharType="separate"/>
      </w:r>
      <w:r>
        <w:t>41</w:t>
      </w:r>
      <w:r>
        <w:fldChar w:fldCharType="end"/>
      </w:r>
    </w:p>
    <w:p w:rsidR="001D7D60" w:rsidRDefault="001D7D60">
      <w:pPr>
        <w:pStyle w:val="TOC2"/>
        <w:rPr>
          <w:rFonts w:asciiTheme="minorHAnsi" w:eastAsiaTheme="minorEastAsia" w:hAnsiTheme="minorHAnsi" w:cstheme="minorBidi"/>
          <w:sz w:val="22"/>
          <w:szCs w:val="22"/>
          <w:lang w:eastAsia="en-GB"/>
        </w:rPr>
      </w:pPr>
      <w:r>
        <w:t>7.4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_Toc340670973 \h </w:instrText>
      </w:r>
      <w:r>
        <w:fldChar w:fldCharType="separate"/>
      </w:r>
      <w:r>
        <w:t>41</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8</w:t>
      </w:r>
      <w:r>
        <w:rPr>
          <w:rFonts w:asciiTheme="minorHAnsi" w:eastAsiaTheme="minorEastAsia" w:hAnsiTheme="minorHAnsi" w:cstheme="minorBidi"/>
          <w:b w:val="0"/>
          <w:sz w:val="22"/>
          <w:szCs w:val="22"/>
          <w:lang w:eastAsia="en-GB"/>
        </w:rPr>
        <w:tab/>
      </w:r>
      <w:r w:rsidRPr="00737D71">
        <w:t>Trade and Supply Chain</w:t>
      </w:r>
      <w:r>
        <w:tab/>
      </w:r>
      <w:r>
        <w:fldChar w:fldCharType="begin"/>
      </w:r>
      <w:r>
        <w:instrText xml:space="preserve"> PAGEREF _Toc340670974 \h </w:instrText>
      </w:r>
      <w:r>
        <w:fldChar w:fldCharType="separate"/>
      </w:r>
      <w:r>
        <w:t>43</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8.1</w:t>
      </w:r>
      <w:r>
        <w:rPr>
          <w:rFonts w:asciiTheme="minorHAnsi" w:eastAsiaTheme="minorEastAsia" w:hAnsiTheme="minorHAnsi" w:cstheme="minorBidi"/>
          <w:b w:val="0"/>
          <w:sz w:val="22"/>
          <w:szCs w:val="22"/>
          <w:lang w:eastAsia="en-GB"/>
        </w:rPr>
        <w:tab/>
      </w:r>
      <w:r>
        <w:t>Supply Chain Overview</w:t>
      </w:r>
      <w:r>
        <w:tab/>
      </w:r>
      <w:r>
        <w:fldChar w:fldCharType="begin"/>
      </w:r>
      <w:r>
        <w:instrText xml:space="preserve"> PAGEREF _Toc340670975 \h </w:instrText>
      </w:r>
      <w:r>
        <w:fldChar w:fldCharType="separate"/>
      </w:r>
      <w:r>
        <w:t>43</w:t>
      </w:r>
      <w:r>
        <w:fldChar w:fldCharType="end"/>
      </w:r>
    </w:p>
    <w:p w:rsidR="001D7D60" w:rsidRDefault="001D7D60">
      <w:pPr>
        <w:pStyle w:val="TOC2"/>
        <w:rPr>
          <w:rFonts w:asciiTheme="minorHAnsi" w:eastAsiaTheme="minorEastAsia" w:hAnsiTheme="minorHAnsi" w:cstheme="minorBidi"/>
          <w:sz w:val="22"/>
          <w:szCs w:val="22"/>
          <w:lang w:eastAsia="en-GB"/>
        </w:rPr>
      </w:pPr>
      <w:r>
        <w:t>8.1.1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_Toc340670976 \h </w:instrText>
      </w:r>
      <w:r>
        <w:fldChar w:fldCharType="separate"/>
      </w:r>
      <w:r>
        <w:t>43</w:t>
      </w:r>
      <w:r>
        <w:fldChar w:fldCharType="end"/>
      </w:r>
    </w:p>
    <w:p w:rsidR="001D7D60" w:rsidRDefault="001D7D60">
      <w:pPr>
        <w:pStyle w:val="TOC2"/>
        <w:rPr>
          <w:rFonts w:asciiTheme="minorHAnsi" w:eastAsiaTheme="minorEastAsia" w:hAnsiTheme="minorHAnsi" w:cstheme="minorBidi"/>
          <w:sz w:val="22"/>
          <w:szCs w:val="22"/>
          <w:lang w:eastAsia="en-GB"/>
        </w:rPr>
      </w:pPr>
      <w:r>
        <w:t>8.1.2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_Toc340670977 \h </w:instrText>
      </w:r>
      <w:r>
        <w:fldChar w:fldCharType="separate"/>
      </w:r>
      <w:r>
        <w:t>45</w:t>
      </w:r>
      <w:r>
        <w:fldChar w:fldCharType="end"/>
      </w:r>
    </w:p>
    <w:p w:rsidR="001D7D60" w:rsidRDefault="001D7D60">
      <w:pPr>
        <w:pStyle w:val="TOC2"/>
        <w:rPr>
          <w:rFonts w:asciiTheme="minorHAnsi" w:eastAsiaTheme="minorEastAsia" w:hAnsiTheme="minorHAnsi" w:cstheme="minorBidi"/>
          <w:sz w:val="22"/>
          <w:szCs w:val="22"/>
          <w:lang w:eastAsia="en-GB"/>
        </w:rPr>
      </w:pPr>
      <w:r>
        <w:t>8.1.3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_Toc340670978 \h </w:instrText>
      </w:r>
      <w:r>
        <w:fldChar w:fldCharType="separate"/>
      </w:r>
      <w:r>
        <w:t>46</w:t>
      </w:r>
      <w:r>
        <w:fldChar w:fldCharType="end"/>
      </w:r>
    </w:p>
    <w:p w:rsidR="001D7D60" w:rsidRDefault="001D7D60">
      <w:pPr>
        <w:pStyle w:val="TOC2"/>
        <w:rPr>
          <w:rFonts w:asciiTheme="minorHAnsi" w:eastAsiaTheme="minorEastAsia" w:hAnsiTheme="minorHAnsi" w:cstheme="minorBidi"/>
          <w:sz w:val="22"/>
          <w:szCs w:val="22"/>
          <w:lang w:eastAsia="en-GB"/>
        </w:rPr>
      </w:pPr>
      <w:r>
        <w:t>8.1.4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_Toc340670979 \h </w:instrText>
      </w:r>
      <w:r>
        <w:fldChar w:fldCharType="separate"/>
      </w:r>
      <w:r>
        <w:t>47</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8.2</w:t>
      </w:r>
      <w:r>
        <w:rPr>
          <w:rFonts w:asciiTheme="minorHAnsi" w:eastAsiaTheme="minorEastAsia" w:hAnsiTheme="minorHAnsi" w:cstheme="minorBidi"/>
          <w:b w:val="0"/>
          <w:sz w:val="22"/>
          <w:szCs w:val="22"/>
          <w:lang w:eastAsia="en-GB"/>
        </w:rPr>
        <w:tab/>
      </w:r>
      <w:r>
        <w:t>Documentary Collections (Payment Instrument)</w:t>
      </w:r>
      <w:r>
        <w:tab/>
      </w:r>
      <w:r>
        <w:fldChar w:fldCharType="begin"/>
      </w:r>
      <w:r>
        <w:instrText xml:space="preserve"> PAGEREF _Toc340670980 \h </w:instrText>
      </w:r>
      <w:r>
        <w:fldChar w:fldCharType="separate"/>
      </w:r>
      <w:r>
        <w:t>48</w:t>
      </w:r>
      <w:r>
        <w:fldChar w:fldCharType="end"/>
      </w:r>
    </w:p>
    <w:p w:rsidR="001D7D60" w:rsidRDefault="001D7D60">
      <w:pPr>
        <w:pStyle w:val="TOC2"/>
        <w:rPr>
          <w:rFonts w:asciiTheme="minorHAnsi" w:eastAsiaTheme="minorEastAsia" w:hAnsiTheme="minorHAnsi" w:cstheme="minorBidi"/>
          <w:sz w:val="22"/>
          <w:szCs w:val="22"/>
          <w:lang w:eastAsia="en-GB"/>
        </w:rPr>
      </w:pPr>
      <w:r>
        <w:t>8.2.1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_Toc340670981 \h </w:instrText>
      </w:r>
      <w:r>
        <w:fldChar w:fldCharType="separate"/>
      </w:r>
      <w:r>
        <w:t>48</w:t>
      </w:r>
      <w:r>
        <w:fldChar w:fldCharType="end"/>
      </w:r>
    </w:p>
    <w:p w:rsidR="001D7D60" w:rsidRDefault="001D7D60">
      <w:pPr>
        <w:pStyle w:val="TOC2"/>
        <w:rPr>
          <w:rFonts w:asciiTheme="minorHAnsi" w:eastAsiaTheme="minorEastAsia" w:hAnsiTheme="minorHAnsi" w:cstheme="minorBidi"/>
          <w:sz w:val="22"/>
          <w:szCs w:val="22"/>
          <w:lang w:eastAsia="en-GB"/>
        </w:rPr>
      </w:pPr>
      <w:r>
        <w:t>8.2.2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_Toc340670982 \h </w:instrText>
      </w:r>
      <w:r>
        <w:fldChar w:fldCharType="separate"/>
      </w:r>
      <w:r>
        <w:t>49</w:t>
      </w:r>
      <w:r>
        <w:fldChar w:fldCharType="end"/>
      </w:r>
    </w:p>
    <w:p w:rsidR="001D7D60" w:rsidRDefault="001D7D60">
      <w:pPr>
        <w:pStyle w:val="TOC2"/>
        <w:rPr>
          <w:rFonts w:asciiTheme="minorHAnsi" w:eastAsiaTheme="minorEastAsia" w:hAnsiTheme="minorHAnsi" w:cstheme="minorBidi"/>
          <w:sz w:val="22"/>
          <w:szCs w:val="22"/>
          <w:lang w:eastAsia="en-GB"/>
        </w:rPr>
      </w:pPr>
      <w:r>
        <w:t>8.2.3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_Toc340670983 \h </w:instrText>
      </w:r>
      <w:r>
        <w:fldChar w:fldCharType="separate"/>
      </w:r>
      <w:r>
        <w:t>50</w:t>
      </w:r>
      <w:r>
        <w:fldChar w:fldCharType="end"/>
      </w:r>
    </w:p>
    <w:p w:rsidR="001D7D60" w:rsidRDefault="001D7D60">
      <w:pPr>
        <w:pStyle w:val="TOC2"/>
        <w:rPr>
          <w:rFonts w:asciiTheme="minorHAnsi" w:eastAsiaTheme="minorEastAsia" w:hAnsiTheme="minorHAnsi" w:cstheme="minorBidi"/>
          <w:sz w:val="22"/>
          <w:szCs w:val="22"/>
          <w:lang w:eastAsia="en-GB"/>
        </w:rPr>
      </w:pPr>
      <w:r>
        <w:t>8.2.4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_Toc340670984 \h </w:instrText>
      </w:r>
      <w:r>
        <w:fldChar w:fldCharType="separate"/>
      </w:r>
      <w:r>
        <w:t>50</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lastRenderedPageBreak/>
        <w:t>8.3</w:t>
      </w:r>
      <w:r>
        <w:rPr>
          <w:rFonts w:asciiTheme="minorHAnsi" w:eastAsiaTheme="minorEastAsia" w:hAnsiTheme="minorHAnsi" w:cstheme="minorBidi"/>
          <w:b w:val="0"/>
          <w:sz w:val="22"/>
          <w:szCs w:val="22"/>
          <w:lang w:eastAsia="en-GB"/>
        </w:rPr>
        <w:tab/>
      </w:r>
      <w:r>
        <w:t>Documentary Credits (Payment Instrument)</w:t>
      </w:r>
      <w:r>
        <w:tab/>
      </w:r>
      <w:r>
        <w:fldChar w:fldCharType="begin"/>
      </w:r>
      <w:r>
        <w:instrText xml:space="preserve"> PAGEREF _Toc340670985 \h </w:instrText>
      </w:r>
      <w:r>
        <w:fldChar w:fldCharType="separate"/>
      </w:r>
      <w:r>
        <w:t>51</w:t>
      </w:r>
      <w:r>
        <w:fldChar w:fldCharType="end"/>
      </w:r>
    </w:p>
    <w:p w:rsidR="001D7D60" w:rsidRDefault="001D7D60">
      <w:pPr>
        <w:pStyle w:val="TOC2"/>
        <w:rPr>
          <w:rFonts w:asciiTheme="minorHAnsi" w:eastAsiaTheme="minorEastAsia" w:hAnsiTheme="minorHAnsi" w:cstheme="minorBidi"/>
          <w:sz w:val="22"/>
          <w:szCs w:val="22"/>
          <w:lang w:eastAsia="en-GB"/>
        </w:rPr>
      </w:pPr>
      <w:r>
        <w:t>8.3.1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_Toc340670986 \h </w:instrText>
      </w:r>
      <w:r>
        <w:fldChar w:fldCharType="separate"/>
      </w:r>
      <w:r>
        <w:t>51</w:t>
      </w:r>
      <w:r>
        <w:fldChar w:fldCharType="end"/>
      </w:r>
    </w:p>
    <w:p w:rsidR="001D7D60" w:rsidRDefault="001D7D60">
      <w:pPr>
        <w:pStyle w:val="TOC2"/>
        <w:rPr>
          <w:rFonts w:asciiTheme="minorHAnsi" w:eastAsiaTheme="minorEastAsia" w:hAnsiTheme="minorHAnsi" w:cstheme="minorBidi"/>
          <w:sz w:val="22"/>
          <w:szCs w:val="22"/>
          <w:lang w:eastAsia="en-GB"/>
        </w:rPr>
      </w:pPr>
      <w:r>
        <w:t>8.3.2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_Toc340670987 \h </w:instrText>
      </w:r>
      <w:r>
        <w:fldChar w:fldCharType="separate"/>
      </w:r>
      <w:r>
        <w:t>53</w:t>
      </w:r>
      <w:r>
        <w:fldChar w:fldCharType="end"/>
      </w:r>
    </w:p>
    <w:p w:rsidR="001D7D60" w:rsidRDefault="001D7D60">
      <w:pPr>
        <w:pStyle w:val="TOC2"/>
        <w:rPr>
          <w:rFonts w:asciiTheme="minorHAnsi" w:eastAsiaTheme="minorEastAsia" w:hAnsiTheme="minorHAnsi" w:cstheme="minorBidi"/>
          <w:sz w:val="22"/>
          <w:szCs w:val="22"/>
          <w:lang w:eastAsia="en-GB"/>
        </w:rPr>
      </w:pPr>
      <w:r>
        <w:t>8.3.3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_Toc340670988 \h </w:instrText>
      </w:r>
      <w:r>
        <w:fldChar w:fldCharType="separate"/>
      </w:r>
      <w:r>
        <w:t>54</w:t>
      </w:r>
      <w:r>
        <w:fldChar w:fldCharType="end"/>
      </w:r>
    </w:p>
    <w:p w:rsidR="001D7D60" w:rsidRDefault="001D7D60">
      <w:pPr>
        <w:pStyle w:val="TOC2"/>
        <w:rPr>
          <w:rFonts w:asciiTheme="minorHAnsi" w:eastAsiaTheme="minorEastAsia" w:hAnsiTheme="minorHAnsi" w:cstheme="minorBidi"/>
          <w:sz w:val="22"/>
          <w:szCs w:val="22"/>
          <w:lang w:eastAsia="en-GB"/>
        </w:rPr>
      </w:pPr>
      <w:r>
        <w:t>8.3.4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_Toc340670989 \h </w:instrText>
      </w:r>
      <w:r>
        <w:fldChar w:fldCharType="separate"/>
      </w:r>
      <w:r>
        <w:t>56</w:t>
      </w:r>
      <w:r>
        <w:fldChar w:fldCharType="end"/>
      </w:r>
    </w:p>
    <w:p w:rsidR="001D7D60" w:rsidRDefault="001D7D60">
      <w:pPr>
        <w:pStyle w:val="TOC1"/>
        <w:rPr>
          <w:rFonts w:asciiTheme="minorHAnsi" w:eastAsiaTheme="minorEastAsia" w:hAnsiTheme="minorHAnsi" w:cstheme="minorBidi"/>
          <w:b w:val="0"/>
          <w:sz w:val="22"/>
          <w:szCs w:val="22"/>
          <w:lang w:eastAsia="en-GB"/>
        </w:rPr>
      </w:pPr>
      <w:r w:rsidRPr="00737D71">
        <w:t>8.4</w:t>
      </w:r>
      <w:r>
        <w:rPr>
          <w:rFonts w:asciiTheme="minorHAnsi" w:eastAsiaTheme="minorEastAsia" w:hAnsiTheme="minorHAnsi" w:cstheme="minorBidi"/>
          <w:b w:val="0"/>
          <w:sz w:val="22"/>
          <w:szCs w:val="22"/>
          <w:lang w:eastAsia="en-GB"/>
        </w:rPr>
        <w:tab/>
      </w:r>
      <w:r>
        <w:t>Demand Guarantees/ Standby Letters of Credit (Payment Instrument)</w:t>
      </w:r>
      <w:r>
        <w:tab/>
      </w:r>
      <w:r>
        <w:fldChar w:fldCharType="begin"/>
      </w:r>
      <w:r>
        <w:instrText xml:space="preserve"> PAGEREF _Toc340670990 \h </w:instrText>
      </w:r>
      <w:r>
        <w:fldChar w:fldCharType="separate"/>
      </w:r>
      <w:r>
        <w:t>57</w:t>
      </w:r>
      <w:r>
        <w:fldChar w:fldCharType="end"/>
      </w:r>
    </w:p>
    <w:p w:rsidR="001D7D60" w:rsidRDefault="001D7D60">
      <w:pPr>
        <w:pStyle w:val="TOC2"/>
        <w:rPr>
          <w:rFonts w:asciiTheme="minorHAnsi" w:eastAsiaTheme="minorEastAsia" w:hAnsiTheme="minorHAnsi" w:cstheme="minorBidi"/>
          <w:sz w:val="22"/>
          <w:szCs w:val="22"/>
          <w:lang w:eastAsia="en-GB"/>
        </w:rPr>
      </w:pPr>
      <w:r>
        <w:t>8.4.1</w:t>
      </w:r>
      <w:r>
        <w:rPr>
          <w:rFonts w:asciiTheme="minorHAnsi" w:eastAsiaTheme="minorEastAsia" w:hAnsiTheme="minorHAnsi" w:cstheme="minorBidi"/>
          <w:sz w:val="22"/>
          <w:szCs w:val="22"/>
          <w:lang w:eastAsia="en-GB"/>
        </w:rPr>
        <w:tab/>
      </w:r>
      <w:r>
        <w:t>Business overview</w:t>
      </w:r>
      <w:r>
        <w:tab/>
      </w:r>
      <w:r>
        <w:fldChar w:fldCharType="begin"/>
      </w:r>
      <w:r>
        <w:instrText xml:space="preserve"> PAGEREF _Toc340670991 \h </w:instrText>
      </w:r>
      <w:r>
        <w:fldChar w:fldCharType="separate"/>
      </w:r>
      <w:r>
        <w:t>57</w:t>
      </w:r>
      <w:r>
        <w:fldChar w:fldCharType="end"/>
      </w:r>
    </w:p>
    <w:p w:rsidR="001D7D60" w:rsidRDefault="001D7D60">
      <w:pPr>
        <w:pStyle w:val="TOC2"/>
        <w:rPr>
          <w:rFonts w:asciiTheme="minorHAnsi" w:eastAsiaTheme="minorEastAsia" w:hAnsiTheme="minorHAnsi" w:cstheme="minorBidi"/>
          <w:sz w:val="22"/>
          <w:szCs w:val="22"/>
          <w:lang w:eastAsia="en-GB"/>
        </w:rPr>
      </w:pPr>
      <w:r>
        <w:t>8.4.2</w:t>
      </w:r>
      <w:r>
        <w:rPr>
          <w:rFonts w:asciiTheme="minorHAnsi" w:eastAsiaTheme="minorEastAsia" w:hAnsiTheme="minorHAnsi" w:cstheme="minorBidi"/>
          <w:sz w:val="22"/>
          <w:szCs w:val="22"/>
          <w:lang w:eastAsia="en-GB"/>
        </w:rPr>
        <w:tab/>
      </w:r>
      <w:r>
        <w:t>High-level standards landscape</w:t>
      </w:r>
      <w:r>
        <w:tab/>
      </w:r>
      <w:r>
        <w:fldChar w:fldCharType="begin"/>
      </w:r>
      <w:r>
        <w:instrText xml:space="preserve"> PAGEREF _Toc340670992 \h </w:instrText>
      </w:r>
      <w:r>
        <w:fldChar w:fldCharType="separate"/>
      </w:r>
      <w:r>
        <w:t>58</w:t>
      </w:r>
      <w:r>
        <w:fldChar w:fldCharType="end"/>
      </w:r>
    </w:p>
    <w:p w:rsidR="001D7D60" w:rsidRDefault="001D7D60">
      <w:pPr>
        <w:pStyle w:val="TOC2"/>
        <w:rPr>
          <w:rFonts w:asciiTheme="minorHAnsi" w:eastAsiaTheme="minorEastAsia" w:hAnsiTheme="minorHAnsi" w:cstheme="minorBidi"/>
          <w:sz w:val="22"/>
          <w:szCs w:val="22"/>
          <w:lang w:eastAsia="en-GB"/>
        </w:rPr>
      </w:pPr>
      <w:r>
        <w:t>8.4.3</w:t>
      </w:r>
      <w:r>
        <w:rPr>
          <w:rFonts w:asciiTheme="minorHAnsi" w:eastAsiaTheme="minorEastAsia" w:hAnsiTheme="minorHAnsi" w:cstheme="minorBidi"/>
          <w:sz w:val="22"/>
          <w:szCs w:val="22"/>
          <w:lang w:eastAsia="en-GB"/>
        </w:rPr>
        <w:tab/>
      </w:r>
      <w:r>
        <w:t>Detailed standards landscape</w:t>
      </w:r>
      <w:r>
        <w:tab/>
      </w:r>
      <w:r>
        <w:fldChar w:fldCharType="begin"/>
      </w:r>
      <w:r>
        <w:instrText xml:space="preserve"> PAGEREF _Toc340670993 \h </w:instrText>
      </w:r>
      <w:r>
        <w:fldChar w:fldCharType="separate"/>
      </w:r>
      <w:r>
        <w:t>58</w:t>
      </w:r>
      <w:r>
        <w:fldChar w:fldCharType="end"/>
      </w:r>
    </w:p>
    <w:p w:rsidR="001D7D60" w:rsidRDefault="001D7D60">
      <w:pPr>
        <w:pStyle w:val="TOC2"/>
        <w:rPr>
          <w:rFonts w:asciiTheme="minorHAnsi" w:eastAsiaTheme="minorEastAsia" w:hAnsiTheme="minorHAnsi" w:cstheme="minorBidi"/>
          <w:sz w:val="22"/>
          <w:szCs w:val="22"/>
          <w:lang w:eastAsia="en-GB"/>
        </w:rPr>
      </w:pPr>
      <w:r>
        <w:t>8.4.4</w:t>
      </w:r>
      <w:r>
        <w:rPr>
          <w:rFonts w:asciiTheme="minorHAnsi" w:eastAsiaTheme="minorEastAsia" w:hAnsiTheme="minorHAnsi" w:cstheme="minorBidi"/>
          <w:sz w:val="22"/>
          <w:szCs w:val="22"/>
          <w:lang w:eastAsia="en-GB"/>
        </w:rPr>
        <w:tab/>
      </w:r>
      <w:r>
        <w:t>Additional opportunities</w:t>
      </w:r>
      <w:r>
        <w:tab/>
      </w:r>
      <w:r>
        <w:fldChar w:fldCharType="begin"/>
      </w:r>
      <w:r>
        <w:instrText xml:space="preserve"> PAGEREF _Toc340670994 \h </w:instrText>
      </w:r>
      <w:r>
        <w:fldChar w:fldCharType="separate"/>
      </w:r>
      <w:r>
        <w:t>60</w:t>
      </w:r>
      <w:r>
        <w:fldChar w:fldCharType="end"/>
      </w:r>
    </w:p>
    <w:p w:rsidR="008F7250" w:rsidRDefault="00153376">
      <w:pPr>
        <w:pStyle w:val="TOC1"/>
        <w:ind w:left="0" w:right="-45" w:firstLine="0"/>
        <w:rPr>
          <w:rFonts w:cs="Arial"/>
          <w:noProof w:val="0"/>
          <w:color w:val="000000"/>
        </w:rPr>
      </w:pPr>
      <w:r>
        <w:rPr>
          <w:rFonts w:cs="Arial"/>
          <w:noProof w:val="0"/>
          <w:color w:val="000000"/>
        </w:rPr>
        <w:fldChar w:fldCharType="end"/>
      </w:r>
    </w:p>
    <w:p w:rsidR="00334B36" w:rsidRDefault="00334B36">
      <w:pPr>
        <w:spacing w:before="0"/>
        <w:ind w:left="0" w:right="0"/>
        <w:rPr>
          <w:rFonts w:cs="Arial"/>
          <w:b/>
          <w:color w:val="7E6F62"/>
          <w:kern w:val="28"/>
          <w:sz w:val="24"/>
          <w:szCs w:val="24"/>
        </w:rPr>
      </w:pPr>
      <w:bookmarkStart w:id="9" w:name="_Toc36011766"/>
      <w:bookmarkStart w:id="10" w:name="_Toc36012160"/>
      <w:bookmarkStart w:id="11" w:name="_Toc91922883"/>
      <w:bookmarkStart w:id="12" w:name="_Toc94599526"/>
      <w:bookmarkStart w:id="13" w:name="_Ref94600779"/>
      <w:bookmarkStart w:id="14" w:name="_Ref94600797"/>
      <w:bookmarkStart w:id="15" w:name="_Toc94600835"/>
      <w:bookmarkStart w:id="16" w:name="_Toc114909930"/>
      <w:bookmarkStart w:id="17" w:name="_Toc115671516"/>
      <w:r>
        <w:br w:type="page"/>
      </w:r>
    </w:p>
    <w:p w:rsidR="00334B36" w:rsidRDefault="00334B36" w:rsidP="00334B36">
      <w:pPr>
        <w:pStyle w:val="Title"/>
        <w:ind w:left="1152"/>
        <w:rPr>
          <w:color w:val="000000"/>
        </w:rPr>
      </w:pPr>
      <w:bookmarkStart w:id="18" w:name="_Toc340670935"/>
      <w:r>
        <w:lastRenderedPageBreak/>
        <w:t>Foreword</w:t>
      </w:r>
      <w:bookmarkEnd w:id="18"/>
      <w:r>
        <w:rPr>
          <w:color w:val="000000"/>
        </w:rPr>
        <w:t xml:space="preserve"> </w:t>
      </w:r>
    </w:p>
    <w:p w:rsidR="00BC326E" w:rsidRDefault="00BC326E" w:rsidP="00334B36">
      <w:pPr>
        <w:pStyle w:val="ListParagraph"/>
        <w:ind w:left="1152" w:right="-45"/>
        <w:jc w:val="both"/>
      </w:pPr>
    </w:p>
    <w:p w:rsidR="00B312D9" w:rsidRPr="0024446D" w:rsidRDefault="00B312D9" w:rsidP="00B312D9">
      <w:pPr>
        <w:pStyle w:val="ListParagraph"/>
        <w:ind w:left="1152" w:right="-45"/>
        <w:jc w:val="both"/>
        <w:rPr>
          <w:rFonts w:cs="Arial"/>
        </w:rPr>
      </w:pPr>
      <w:r w:rsidRPr="0024446D">
        <w:rPr>
          <w:rFonts w:cs="Arial"/>
        </w:rPr>
        <w:t>This document provides an analysis of the standards messaging landscape by business domain and/or financial instrument. It is an assessment by SWIFT Standards of the current standards offer, the status of various on</w:t>
      </w:r>
      <w:r w:rsidR="00096037">
        <w:rPr>
          <w:rFonts w:cs="Arial"/>
        </w:rPr>
        <w:t>-</w:t>
      </w:r>
      <w:r w:rsidRPr="0024446D">
        <w:rPr>
          <w:rFonts w:cs="Arial"/>
        </w:rPr>
        <w:t xml:space="preserve">going and planned standardisation initiatives and additional opportunities for standardisation. The </w:t>
      </w:r>
      <w:r>
        <w:rPr>
          <w:rFonts w:cs="Arial"/>
        </w:rPr>
        <w:t xml:space="preserve">document </w:t>
      </w:r>
      <w:r w:rsidRPr="0024446D">
        <w:rPr>
          <w:rFonts w:cs="Arial"/>
        </w:rPr>
        <w:t>focuses on the various business domains of interest to SWIFT users, looks at standards other than MT, ISO 15022 and ISO 20022, and highlights areas with potential for standardisation.</w:t>
      </w:r>
    </w:p>
    <w:p w:rsidR="00B312D9" w:rsidRPr="0024446D" w:rsidRDefault="00B312D9" w:rsidP="00B312D9">
      <w:pPr>
        <w:pStyle w:val="ListParagraph"/>
        <w:ind w:left="1152" w:right="-45"/>
        <w:jc w:val="both"/>
        <w:rPr>
          <w:rFonts w:cs="Arial"/>
        </w:rPr>
      </w:pPr>
    </w:p>
    <w:p w:rsidR="00B312D9" w:rsidRPr="0024446D" w:rsidRDefault="00B312D9" w:rsidP="00B312D9">
      <w:pPr>
        <w:pStyle w:val="ListParagraph"/>
        <w:ind w:left="1152" w:right="-45"/>
        <w:jc w:val="both"/>
        <w:rPr>
          <w:rFonts w:cs="Arial"/>
        </w:rPr>
      </w:pPr>
      <w:r w:rsidRPr="0024446D">
        <w:rPr>
          <w:rFonts w:cs="Arial"/>
        </w:rPr>
        <w:t>For each business domain, the section documents:</w:t>
      </w:r>
    </w:p>
    <w:p w:rsidR="00B312D9" w:rsidRPr="0024446D" w:rsidRDefault="00B312D9" w:rsidP="00B312D9">
      <w:pPr>
        <w:pStyle w:val="ListParagraph"/>
        <w:ind w:left="1152" w:right="-45"/>
        <w:jc w:val="both"/>
        <w:rPr>
          <w:rFonts w:cs="Arial"/>
        </w:rPr>
      </w:pPr>
      <w:r w:rsidRPr="0024446D">
        <w:rPr>
          <w:rFonts w:cs="Arial"/>
        </w:rPr>
        <w:t>- A business overview, including a business process diagram</w:t>
      </w:r>
    </w:p>
    <w:p w:rsidR="00B312D9" w:rsidRPr="0024446D" w:rsidRDefault="00B312D9" w:rsidP="00B312D9">
      <w:pPr>
        <w:pStyle w:val="ListParagraph"/>
        <w:ind w:left="1152" w:right="-45"/>
        <w:jc w:val="both"/>
        <w:rPr>
          <w:rFonts w:cs="Arial"/>
        </w:rPr>
      </w:pPr>
      <w:r w:rsidRPr="0024446D">
        <w:rPr>
          <w:rFonts w:cs="Arial"/>
        </w:rPr>
        <w:t xml:space="preserve">- A high-level standards landscape that gives a visual overview of the landscape, further described in </w:t>
      </w:r>
    </w:p>
    <w:p w:rsidR="00B312D9" w:rsidRPr="0024446D" w:rsidRDefault="00B312D9" w:rsidP="00B312D9">
      <w:pPr>
        <w:pStyle w:val="ListParagraph"/>
        <w:ind w:left="1152" w:right="-45"/>
        <w:jc w:val="both"/>
        <w:rPr>
          <w:rFonts w:cs="Arial"/>
        </w:rPr>
      </w:pPr>
      <w:r w:rsidRPr="0024446D">
        <w:rPr>
          <w:rFonts w:cs="Arial"/>
        </w:rPr>
        <w:t>- A detailed standards landscape that offers a breakdown by business process on availability of standards, including on</w:t>
      </w:r>
      <w:r w:rsidR="00096037">
        <w:rPr>
          <w:rFonts w:cs="Arial"/>
        </w:rPr>
        <w:t>-</w:t>
      </w:r>
      <w:r w:rsidRPr="0024446D">
        <w:rPr>
          <w:rFonts w:cs="Arial"/>
        </w:rPr>
        <w:t xml:space="preserve">going and planned activities, and opportunities </w:t>
      </w:r>
    </w:p>
    <w:p w:rsidR="00B312D9" w:rsidRDefault="00B312D9" w:rsidP="00B312D9">
      <w:pPr>
        <w:pStyle w:val="ListParagraph"/>
        <w:ind w:left="1152" w:right="-45"/>
        <w:jc w:val="both"/>
      </w:pPr>
      <w:r w:rsidRPr="0024446D">
        <w:rPr>
          <w:rFonts w:cs="Arial"/>
        </w:rPr>
        <w:t>- Additional opportunities</w:t>
      </w:r>
    </w:p>
    <w:p w:rsidR="004F2E02" w:rsidRDefault="004F2E02" w:rsidP="00334B36">
      <w:pPr>
        <w:pStyle w:val="ListParagraph"/>
        <w:ind w:left="1152" w:right="-45"/>
        <w:jc w:val="both"/>
      </w:pPr>
    </w:p>
    <w:p w:rsidR="00B9502A" w:rsidRDefault="004F2E02" w:rsidP="008A3AFA">
      <w:pPr>
        <w:pStyle w:val="ListParagraph"/>
        <w:ind w:left="1152" w:right="-45"/>
        <w:jc w:val="both"/>
      </w:pPr>
      <w:r>
        <w:t xml:space="preserve">For the high-level </w:t>
      </w:r>
      <w:r w:rsidR="00F11B42">
        <w:t>standards landscape graphics, the following legend applies:</w:t>
      </w:r>
    </w:p>
    <w:p w:rsidR="00B9502A" w:rsidRDefault="00B9502A" w:rsidP="00334B36">
      <w:pPr>
        <w:pStyle w:val="ListParagraph"/>
        <w:ind w:left="1152" w:right="-45"/>
        <w:jc w:val="both"/>
      </w:pPr>
    </w:p>
    <w:p w:rsidR="00B9502A" w:rsidRDefault="00B9502A" w:rsidP="00334B36">
      <w:pPr>
        <w:pStyle w:val="ListParagraph"/>
        <w:ind w:left="1152" w:right="-45"/>
        <w:jc w:val="both"/>
      </w:pPr>
      <w:r>
        <w:rPr>
          <w:noProof/>
          <w:lang w:eastAsia="en-GB"/>
        </w:rPr>
        <w:drawing>
          <wp:anchor distT="0" distB="0" distL="114300" distR="114300" simplePos="0" relativeHeight="251674112" behindDoc="1" locked="0" layoutInCell="1" allowOverlap="1" wp14:anchorId="2D3F4847" wp14:editId="6FC49525">
            <wp:simplePos x="0" y="0"/>
            <wp:positionH relativeFrom="column">
              <wp:posOffset>751840</wp:posOffset>
            </wp:positionH>
            <wp:positionV relativeFrom="paragraph">
              <wp:posOffset>-3175</wp:posOffset>
            </wp:positionV>
            <wp:extent cx="6139815" cy="1936115"/>
            <wp:effectExtent l="19050" t="0" r="0" b="0"/>
            <wp:wrapTight wrapText="bothSides">
              <wp:wrapPolygon edited="0">
                <wp:start x="469" y="1063"/>
                <wp:lineTo x="201" y="2550"/>
                <wp:lineTo x="-67" y="4463"/>
                <wp:lineTo x="0" y="8926"/>
                <wp:lineTo x="268" y="14027"/>
                <wp:lineTo x="335" y="17215"/>
                <wp:lineTo x="10790" y="18065"/>
                <wp:lineTo x="469" y="18703"/>
                <wp:lineTo x="402" y="19765"/>
                <wp:lineTo x="1877" y="19978"/>
                <wp:lineTo x="3016" y="19978"/>
                <wp:lineTo x="10723" y="18065"/>
                <wp:lineTo x="10790" y="14664"/>
                <wp:lineTo x="13404" y="14664"/>
                <wp:lineTo x="19904" y="12327"/>
                <wp:lineTo x="19837" y="11264"/>
                <wp:lineTo x="20240" y="8076"/>
                <wp:lineTo x="20240" y="7864"/>
                <wp:lineTo x="19234" y="4463"/>
                <wp:lineTo x="17827" y="1063"/>
                <wp:lineTo x="469" y="10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139815" cy="1936115"/>
                    </a:xfrm>
                    <a:prstGeom prst="rect">
                      <a:avLst/>
                    </a:prstGeom>
                    <a:noFill/>
                    <a:ln w="9525">
                      <a:noFill/>
                      <a:miter lim="800000"/>
                      <a:headEnd/>
                      <a:tailEnd/>
                    </a:ln>
                  </pic:spPr>
                </pic:pic>
              </a:graphicData>
            </a:graphic>
          </wp:anchor>
        </w:drawing>
      </w:r>
    </w:p>
    <w:p w:rsidR="004F2E02" w:rsidRDefault="00B9502A" w:rsidP="00B9502A">
      <w:pPr>
        <w:spacing w:before="0"/>
        <w:ind w:left="0" w:right="0"/>
      </w:pPr>
      <w:r>
        <w:br w:type="page"/>
      </w:r>
    </w:p>
    <w:p w:rsidR="00CF7167" w:rsidRDefault="00CF7167" w:rsidP="008A3AFA">
      <w:pPr>
        <w:pStyle w:val="Heading1"/>
        <w:numPr>
          <w:ilvl w:val="0"/>
          <w:numId w:val="4"/>
        </w:numPr>
      </w:pPr>
      <w:bookmarkStart w:id="19" w:name="_Toc340670936"/>
      <w:bookmarkEnd w:id="9"/>
      <w:bookmarkEnd w:id="10"/>
      <w:bookmarkEnd w:id="11"/>
      <w:bookmarkEnd w:id="12"/>
      <w:bookmarkEnd w:id="13"/>
      <w:bookmarkEnd w:id="14"/>
      <w:bookmarkEnd w:id="15"/>
      <w:bookmarkEnd w:id="16"/>
      <w:bookmarkEnd w:id="17"/>
      <w:r>
        <w:lastRenderedPageBreak/>
        <w:t>Payments</w:t>
      </w:r>
      <w:r w:rsidR="0039499A">
        <w:rPr>
          <w:rStyle w:val="FootnoteReference"/>
          <w:sz w:val="18"/>
          <w:szCs w:val="18"/>
        </w:rPr>
        <w:footnoteReference w:id="1"/>
      </w:r>
      <w:bookmarkEnd w:id="19"/>
    </w:p>
    <w:p w:rsidR="00392BF9" w:rsidRDefault="008F7250">
      <w:pPr>
        <w:pStyle w:val="Heading2"/>
        <w:numPr>
          <w:ilvl w:val="1"/>
          <w:numId w:val="4"/>
        </w:numPr>
        <w:tabs>
          <w:tab w:val="num" w:pos="780"/>
        </w:tabs>
        <w:spacing w:before="300" w:after="60"/>
        <w:ind w:left="780" w:right="0" w:hanging="720"/>
      </w:pPr>
      <w:bookmarkStart w:id="20" w:name="_Toc340670937"/>
      <w:r>
        <w:t>Business overview</w:t>
      </w:r>
      <w:bookmarkEnd w:id="20"/>
    </w:p>
    <w:p w:rsidR="0013420B" w:rsidRPr="0013420B" w:rsidRDefault="00B702A4" w:rsidP="0013420B">
      <w:r>
        <w:rPr>
          <w:noProof/>
          <w:lang w:eastAsia="en-GB"/>
        </w:rPr>
        <w:drawing>
          <wp:anchor distT="0" distB="0" distL="114300" distR="114300" simplePos="0" relativeHeight="251676160" behindDoc="1" locked="0" layoutInCell="1" allowOverlap="1" wp14:anchorId="639AA5F9" wp14:editId="3EDE3320">
            <wp:simplePos x="0" y="0"/>
            <wp:positionH relativeFrom="column">
              <wp:align>center</wp:align>
            </wp:positionH>
            <wp:positionV relativeFrom="paragraph">
              <wp:posOffset>158750</wp:posOffset>
            </wp:positionV>
            <wp:extent cx="7379970" cy="3529965"/>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7379970" cy="3529965"/>
                    </a:xfrm>
                    <a:prstGeom prst="rect">
                      <a:avLst/>
                    </a:prstGeom>
                    <a:noFill/>
                    <a:ln w="9525">
                      <a:noFill/>
                      <a:miter lim="800000"/>
                      <a:headEnd/>
                      <a:tailEnd/>
                    </a:ln>
                  </pic:spPr>
                </pic:pic>
              </a:graphicData>
            </a:graphic>
          </wp:anchor>
        </w:drawing>
      </w:r>
    </w:p>
    <w:p w:rsidR="0013420B" w:rsidRDefault="0013420B" w:rsidP="008A3AFA">
      <w:pPr>
        <w:ind w:left="0"/>
      </w:pPr>
    </w:p>
    <w:p w:rsidR="008F7250" w:rsidRPr="007B2B41" w:rsidRDefault="008F7250" w:rsidP="00916FE2">
      <w:pPr>
        <w:ind w:left="0" w:right="60"/>
        <w:jc w:val="both"/>
      </w:pPr>
      <w:r w:rsidRPr="007B2B41">
        <w:t xml:space="preserve">A payment is the transfer of </w:t>
      </w:r>
      <w:r>
        <w:t>cash</w:t>
      </w:r>
      <w:r w:rsidRPr="007B2B41">
        <w:t xml:space="preserve"> from one party (such as a person, a company or a financial institution) to another. A payment is usually made in exchange for the provision of goods, services, or both, or to fulfil a legal obligation.</w:t>
      </w:r>
    </w:p>
    <w:p w:rsidR="008F7250" w:rsidRDefault="008F7250" w:rsidP="0039499A">
      <w:pPr>
        <w:ind w:left="0" w:right="60"/>
        <w:jc w:val="both"/>
      </w:pPr>
    </w:p>
    <w:p w:rsidR="008F7250" w:rsidRPr="002A4469" w:rsidRDefault="008F7250" w:rsidP="00916FE2">
      <w:pPr>
        <w:ind w:left="0" w:right="60"/>
        <w:jc w:val="both"/>
        <w:rPr>
          <w:b/>
        </w:rPr>
      </w:pPr>
      <w:r>
        <w:rPr>
          <w:b/>
        </w:rPr>
        <w:lastRenderedPageBreak/>
        <w:t>Initiation</w:t>
      </w:r>
    </w:p>
    <w:p w:rsidR="00BD57FD" w:rsidRDefault="008F7250" w:rsidP="00BD57FD">
      <w:pPr>
        <w:ind w:left="0" w:right="60"/>
        <w:jc w:val="both"/>
      </w:pPr>
      <w:r w:rsidRPr="007B2B41">
        <w:t xml:space="preserve">A payment transaction always starts with the initiation of the payment, be it a customer or a financial institution </w:t>
      </w:r>
      <w:r>
        <w:t>payment</w:t>
      </w:r>
      <w:r w:rsidRPr="007B2B41">
        <w:t xml:space="preserve">, a credit transfer or a </w:t>
      </w:r>
      <w:r>
        <w:t xml:space="preserve">direct </w:t>
      </w:r>
      <w:r w:rsidRPr="007B2B41">
        <w:t xml:space="preserve">debit. </w:t>
      </w:r>
      <w:r>
        <w:t xml:space="preserve">The initiation of a payment might be preceded by other processes, for example, the exchange of mandate information for direct debits or of guarantees for electronic online payments. </w:t>
      </w:r>
      <w:r w:rsidR="00BD57FD">
        <w:t>Bank customer may initiate a</w:t>
      </w:r>
      <w:r w:rsidR="00BD57FD" w:rsidRPr="007B2B41">
        <w:t xml:space="preserve"> payment by </w:t>
      </w:r>
      <w:r w:rsidR="00BD57FD">
        <w:t xml:space="preserve">paying a visit to their bank or </w:t>
      </w:r>
      <w:r w:rsidR="00BD57FD" w:rsidRPr="007B2B41">
        <w:t xml:space="preserve">using online banking. A company may initiate </w:t>
      </w:r>
      <w:r w:rsidR="00BD57FD">
        <w:t>a</w:t>
      </w:r>
      <w:r w:rsidR="00BD57FD" w:rsidRPr="007B2B41">
        <w:t xml:space="preserve"> payment by means of electronic access to banking services to instruct payments out of their accounts. A payment </w:t>
      </w:r>
      <w:r w:rsidR="00BD57FD">
        <w:t>may</w:t>
      </w:r>
      <w:r w:rsidR="00BD57FD" w:rsidRPr="007B2B41">
        <w:t xml:space="preserve"> also be initiated by a bank as the result of their normal daily business, for example</w:t>
      </w:r>
      <w:r w:rsidR="00BD57FD">
        <w:t>,</w:t>
      </w:r>
      <w:r w:rsidR="00BD57FD" w:rsidRPr="007B2B41">
        <w:t xml:space="preserve"> as a result of a loan, a FX deal or the acquisition of stocks, bonds, commodities, metals etc. </w:t>
      </w:r>
    </w:p>
    <w:p w:rsidR="008F7250" w:rsidRDefault="008F7250" w:rsidP="00916FE2">
      <w:pPr>
        <w:ind w:left="0" w:right="60"/>
        <w:jc w:val="both"/>
      </w:pPr>
      <w:r>
        <w:t>T</w:t>
      </w:r>
      <w:r w:rsidRPr="007B2B41">
        <w:t>he initiator of the payment may decide to request cancellation</w:t>
      </w:r>
      <w:r>
        <w:t>,</w:t>
      </w:r>
      <w:r w:rsidRPr="007B2B41">
        <w:t xml:space="preserve"> </w:t>
      </w:r>
      <w:r>
        <w:t xml:space="preserve">to </w:t>
      </w:r>
      <w:r w:rsidRPr="007B2B41">
        <w:t xml:space="preserve">reverse </w:t>
      </w:r>
      <w:r>
        <w:t xml:space="preserve">or to query </w:t>
      </w:r>
      <w:r w:rsidRPr="007B2B41">
        <w:t>a payment.</w:t>
      </w:r>
    </w:p>
    <w:p w:rsidR="008F7250" w:rsidRPr="007B2B41" w:rsidRDefault="008F7250" w:rsidP="00F84134">
      <w:pPr>
        <w:ind w:left="851" w:right="60"/>
        <w:jc w:val="both"/>
      </w:pPr>
    </w:p>
    <w:p w:rsidR="008F7250" w:rsidRPr="002A4469" w:rsidRDefault="008F7250" w:rsidP="00916FE2">
      <w:pPr>
        <w:ind w:left="0" w:right="60"/>
        <w:jc w:val="both"/>
        <w:rPr>
          <w:b/>
        </w:rPr>
      </w:pPr>
      <w:r w:rsidRPr="002A4469">
        <w:rPr>
          <w:b/>
        </w:rPr>
        <w:t xml:space="preserve">Clearing </w:t>
      </w:r>
      <w:r>
        <w:rPr>
          <w:b/>
        </w:rPr>
        <w:t>&amp;</w:t>
      </w:r>
      <w:r w:rsidRPr="002A4469">
        <w:rPr>
          <w:b/>
        </w:rPr>
        <w:t xml:space="preserve"> Settlement</w:t>
      </w:r>
    </w:p>
    <w:p w:rsidR="008F7250" w:rsidRDefault="008F7250" w:rsidP="00916FE2">
      <w:pPr>
        <w:ind w:left="0" w:right="60"/>
        <w:jc w:val="both"/>
      </w:pPr>
      <w:r>
        <w:t>Upo</w:t>
      </w:r>
      <w:r w:rsidRPr="00DE58F6">
        <w:t>n receipt of the payment</w:t>
      </w:r>
      <w:r>
        <w:t xml:space="preserve"> instruction,</w:t>
      </w:r>
      <w:r w:rsidRPr="00DE58F6">
        <w:t xml:space="preserve"> and prior to execution</w:t>
      </w:r>
      <w:r>
        <w:t>,</w:t>
      </w:r>
      <w:r w:rsidRPr="00DE58F6">
        <w:t xml:space="preserve"> control</w:t>
      </w:r>
      <w:r>
        <w:t xml:space="preserve"> processes and filtering mechanisms are applied - </w:t>
      </w:r>
      <w:r w:rsidRPr="00DE58F6">
        <w:t xml:space="preserve"> such as anti-money laundering and sanction list screening, ensuring that necessary mandates are in place, verifying the authority of the initiator to request the payment, the availability of funds etc. Depending on the nature of the payment, the bank will use the most appropriate means for executing the transaction. High value or urgent payments might be channelled through </w:t>
      </w:r>
      <w:r w:rsidR="00BD57FD">
        <w:t>high value payment systems (</w:t>
      </w:r>
      <w:r w:rsidRPr="00DE58F6">
        <w:t xml:space="preserve">real time gross </w:t>
      </w:r>
      <w:r w:rsidR="00BD57FD">
        <w:t xml:space="preserve">or net </w:t>
      </w:r>
      <w:r w:rsidRPr="00DE58F6">
        <w:t>settlement systems</w:t>
      </w:r>
      <w:r w:rsidR="00BD57FD">
        <w:t>)</w:t>
      </w:r>
      <w:r w:rsidRPr="00DE58F6">
        <w:t xml:space="preserve">, whereas low-value payments are typically batched and sent for clearing and settlement through an automated clearing house (ACH). Cross border payments will be sent to a correspondent bank in the currency of the transfer. Charges are taken as appropriate and regulatory reporting is done if required. </w:t>
      </w:r>
      <w:r>
        <w:t>Payment related processes such as c</w:t>
      </w:r>
      <w:r w:rsidRPr="00DE58F6">
        <w:t xml:space="preserve">ancellation, </w:t>
      </w:r>
      <w:r>
        <w:t xml:space="preserve">reject, </w:t>
      </w:r>
      <w:r w:rsidRPr="00DE58F6">
        <w:t>return</w:t>
      </w:r>
      <w:r>
        <w:t xml:space="preserve">, </w:t>
      </w:r>
      <w:r w:rsidRPr="00DE58F6">
        <w:t xml:space="preserve">reversal </w:t>
      </w:r>
      <w:r>
        <w:t>and investigation of a payment may also occur.</w:t>
      </w:r>
      <w:r w:rsidRPr="00E17202">
        <w:t xml:space="preserve"> </w:t>
      </w:r>
    </w:p>
    <w:p w:rsidR="008F7250" w:rsidRDefault="008F7250" w:rsidP="00916FE2">
      <w:pPr>
        <w:ind w:left="0" w:right="60"/>
        <w:jc w:val="both"/>
      </w:pPr>
    </w:p>
    <w:p w:rsidR="008F7250" w:rsidRPr="002A4469" w:rsidRDefault="008F7250" w:rsidP="00916FE2">
      <w:pPr>
        <w:ind w:left="0"/>
        <w:jc w:val="both"/>
        <w:rPr>
          <w:b/>
        </w:rPr>
      </w:pPr>
      <w:r>
        <w:rPr>
          <w:b/>
        </w:rPr>
        <w:t>Cash Management</w:t>
      </w:r>
    </w:p>
    <w:p w:rsidR="008F7250" w:rsidRPr="00DE58F6" w:rsidRDefault="008F7250" w:rsidP="00916FE2">
      <w:pPr>
        <w:ind w:left="0" w:right="60"/>
        <w:jc w:val="both"/>
      </w:pPr>
      <w:r w:rsidRPr="00DE58F6">
        <w:t>Advices</w:t>
      </w:r>
      <w:r>
        <w:t xml:space="preserve"> and</w:t>
      </w:r>
      <w:r w:rsidRPr="00DE58F6">
        <w:t xml:space="preserve"> reports</w:t>
      </w:r>
      <w:r>
        <w:t xml:space="preserve">, for example, end of day </w:t>
      </w:r>
      <w:r w:rsidRPr="00DE58F6">
        <w:t>statements</w:t>
      </w:r>
      <w:r>
        <w:t>,</w:t>
      </w:r>
      <w:r w:rsidRPr="00DE58F6">
        <w:t xml:space="preserve"> are sent to </w:t>
      </w:r>
      <w:r w:rsidR="00BD57FD">
        <w:t>account holders</w:t>
      </w:r>
      <w:r w:rsidRPr="00DE58F6">
        <w:t xml:space="preserve">, on which they can start their </w:t>
      </w:r>
      <w:r>
        <w:t xml:space="preserve">matching and </w:t>
      </w:r>
      <w:r w:rsidRPr="00DE58F6">
        <w:t xml:space="preserve">reconciliation processes. Liquidity </w:t>
      </w:r>
      <w:r>
        <w:t xml:space="preserve">is monitored </w:t>
      </w:r>
      <w:r w:rsidRPr="00DE58F6">
        <w:t xml:space="preserve">based on </w:t>
      </w:r>
      <w:r>
        <w:t xml:space="preserve">incoming </w:t>
      </w:r>
      <w:r w:rsidRPr="00DE58F6">
        <w:t xml:space="preserve">transaction </w:t>
      </w:r>
      <w:r>
        <w:t xml:space="preserve">and balance </w:t>
      </w:r>
      <w:r w:rsidRPr="00DE58F6">
        <w:t xml:space="preserve">reports or interactive </w:t>
      </w:r>
      <w:r>
        <w:t xml:space="preserve">online </w:t>
      </w:r>
      <w:r w:rsidRPr="00DE58F6">
        <w:t>monitor</w:t>
      </w:r>
      <w:r>
        <w:t>ing</w:t>
      </w:r>
      <w:r w:rsidRPr="00DE58F6">
        <w:t xml:space="preserve"> </w:t>
      </w:r>
      <w:r>
        <w:t xml:space="preserve">and </w:t>
      </w:r>
      <w:r w:rsidRPr="00DE58F6">
        <w:t>may</w:t>
      </w:r>
      <w:r>
        <w:t xml:space="preserve"> trigger actions, for example, </w:t>
      </w:r>
      <w:r w:rsidR="00BD57FD">
        <w:t xml:space="preserve">collateralisation of assets to obtain liquidity and process pending </w:t>
      </w:r>
      <w:r>
        <w:t>payment</w:t>
      </w:r>
      <w:r w:rsidR="00BD57FD">
        <w:t>s in queues</w:t>
      </w:r>
      <w:r w:rsidRPr="00DE58F6">
        <w:t>.</w:t>
      </w:r>
    </w:p>
    <w:p w:rsidR="008F7250" w:rsidRDefault="008F7250" w:rsidP="00F84134">
      <w:pPr>
        <w:ind w:left="142"/>
        <w:jc w:val="both"/>
        <w:rPr>
          <w:b/>
        </w:rPr>
      </w:pPr>
    </w:p>
    <w:p w:rsidR="008F7250" w:rsidRPr="00BF737F" w:rsidRDefault="008F7250" w:rsidP="00916FE2">
      <w:pPr>
        <w:ind w:left="0"/>
        <w:jc w:val="both"/>
        <w:rPr>
          <w:b/>
        </w:rPr>
      </w:pPr>
      <w:r w:rsidRPr="00BF737F">
        <w:rPr>
          <w:b/>
        </w:rPr>
        <w:t xml:space="preserve">Transversal </w:t>
      </w:r>
    </w:p>
    <w:p w:rsidR="008F7250" w:rsidRDefault="005F2341" w:rsidP="005F2341">
      <w:pPr>
        <w:pStyle w:val="CommentText"/>
        <w:ind w:left="0"/>
      </w:pPr>
      <w:r>
        <w:t xml:space="preserve">Transversal processes can occur across the different business areas. </w:t>
      </w:r>
      <w:r w:rsidR="008F7250">
        <w:t>Throughout the lifecycle of a payment</w:t>
      </w:r>
      <w:r>
        <w:t>,</w:t>
      </w:r>
      <w:r w:rsidR="008F7250">
        <w:t xml:space="preserve"> exceptions and investigations may be initiated, managed and resolved and this by all parties in the chain. All players will have the necessary tools in place to manage their accounts (for example, opening and closing of accounts), to manage risk, to meet regulatory requirements (for example, KYC procedures, AML screening) and to manage their counterparties and reference data to optimise the payment processing. </w:t>
      </w:r>
    </w:p>
    <w:p w:rsidR="00D27ACD" w:rsidRDefault="00D27ACD" w:rsidP="005F2341">
      <w:pPr>
        <w:pStyle w:val="CommentText"/>
        <w:ind w:left="0"/>
      </w:pPr>
    </w:p>
    <w:p w:rsidR="00D27ACD" w:rsidRDefault="00D27ACD" w:rsidP="005F2341">
      <w:pPr>
        <w:pStyle w:val="CommentText"/>
        <w:ind w:left="0"/>
      </w:pPr>
    </w:p>
    <w:p w:rsidR="005251CB" w:rsidRDefault="005251CB">
      <w:pPr>
        <w:spacing w:before="0"/>
        <w:ind w:left="0" w:right="0"/>
        <w:rPr>
          <w:b/>
        </w:rPr>
      </w:pPr>
      <w:r>
        <w:br w:type="page"/>
      </w:r>
    </w:p>
    <w:p w:rsidR="00D27ACD" w:rsidRDefault="000E706E" w:rsidP="008A3AFA">
      <w:pPr>
        <w:pStyle w:val="Heading2"/>
        <w:numPr>
          <w:ilvl w:val="1"/>
          <w:numId w:val="4"/>
        </w:numPr>
        <w:tabs>
          <w:tab w:val="num" w:pos="780"/>
        </w:tabs>
        <w:spacing w:before="300" w:after="60"/>
        <w:ind w:left="780" w:right="0" w:hanging="720"/>
      </w:pPr>
      <w:bookmarkStart w:id="21" w:name="_Toc340670938"/>
      <w:r>
        <w:lastRenderedPageBreak/>
        <w:t>High-level</w:t>
      </w:r>
      <w:r w:rsidR="008F7250">
        <w:t xml:space="preserve"> standards landscape</w:t>
      </w:r>
      <w:bookmarkEnd w:id="21"/>
    </w:p>
    <w:p w:rsidR="008D6BF1" w:rsidRDefault="008D6BF1" w:rsidP="00D27ACD"/>
    <w:p w:rsidR="008D6BF1" w:rsidRDefault="008D6BF1" w:rsidP="00D27ACD">
      <w:r w:rsidRPr="008D6BF1">
        <w:rPr>
          <w:noProof/>
          <w:lang w:eastAsia="en-GB"/>
        </w:rPr>
        <w:drawing>
          <wp:inline distT="0" distB="0" distL="0" distR="0" wp14:anchorId="6D5C1B27" wp14:editId="018AA0C8">
            <wp:extent cx="7293935" cy="3962051"/>
            <wp:effectExtent l="0" t="0" r="2540" b="63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93935" cy="3962051"/>
                    </a:xfrm>
                    <a:prstGeom prst="rect">
                      <a:avLst/>
                    </a:prstGeom>
                    <a:noFill/>
                    <a:ln>
                      <a:noFill/>
                    </a:ln>
                  </pic:spPr>
                </pic:pic>
              </a:graphicData>
            </a:graphic>
          </wp:inline>
        </w:drawing>
      </w:r>
    </w:p>
    <w:p w:rsidR="008D6BF1" w:rsidRDefault="008D6BF1" w:rsidP="00D27ACD"/>
    <w:p w:rsidR="008D6BF1" w:rsidRDefault="008D6BF1" w:rsidP="00D27ACD"/>
    <w:p w:rsidR="009729A4" w:rsidRPr="00D27ACD" w:rsidRDefault="009729A4" w:rsidP="00D27ACD"/>
    <w:p w:rsidR="008F7250" w:rsidRDefault="008F7250" w:rsidP="00D27ACD">
      <w:pPr>
        <w:ind w:left="142"/>
        <w:jc w:val="center"/>
      </w:pPr>
    </w:p>
    <w:p w:rsidR="00392BF9" w:rsidRDefault="008F7250">
      <w:pPr>
        <w:pStyle w:val="Heading2"/>
        <w:numPr>
          <w:ilvl w:val="1"/>
          <w:numId w:val="4"/>
        </w:numPr>
        <w:tabs>
          <w:tab w:val="num" w:pos="780"/>
        </w:tabs>
        <w:spacing w:before="300" w:after="60"/>
        <w:ind w:left="780" w:right="0" w:hanging="720"/>
      </w:pPr>
      <w:r>
        <w:br w:type="page"/>
      </w:r>
      <w:bookmarkStart w:id="22" w:name="_Toc340670939"/>
      <w:r>
        <w:lastRenderedPageBreak/>
        <w:t>Detailed standards landscape</w:t>
      </w:r>
      <w:bookmarkEnd w:id="22"/>
    </w:p>
    <w:p w:rsidR="00874D7A" w:rsidRPr="00874D7A" w:rsidRDefault="00874D7A" w:rsidP="00874D7A"/>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733"/>
        <w:gridCol w:w="3733"/>
        <w:gridCol w:w="3733"/>
      </w:tblGrid>
      <w:tr w:rsidR="008F7250" w:rsidRPr="00BF737F" w:rsidTr="00F24D90">
        <w:trPr>
          <w:cantSplit/>
          <w:tblHeader/>
        </w:trPr>
        <w:tc>
          <w:tcPr>
            <w:tcW w:w="1559" w:type="dxa"/>
          </w:tcPr>
          <w:p w:rsidR="008F7250" w:rsidRPr="00BF737F" w:rsidRDefault="008F7250" w:rsidP="00F24D90">
            <w:pPr>
              <w:ind w:left="0" w:right="33"/>
              <w:rPr>
                <w:b/>
              </w:rPr>
            </w:pPr>
            <w:r>
              <w:rPr>
                <w:b/>
              </w:rPr>
              <w:t>Process Area</w:t>
            </w:r>
          </w:p>
        </w:tc>
        <w:tc>
          <w:tcPr>
            <w:tcW w:w="3733" w:type="dxa"/>
          </w:tcPr>
          <w:p w:rsidR="008F7250" w:rsidRPr="00BF737F" w:rsidRDefault="008F7250" w:rsidP="00F24D90">
            <w:pPr>
              <w:ind w:left="0" w:right="53"/>
              <w:rPr>
                <w:b/>
              </w:rPr>
            </w:pPr>
            <w:r w:rsidRPr="00BF737F">
              <w:rPr>
                <w:b/>
              </w:rPr>
              <w:t>Availability of MT, ISO 15022 and ISO 20022</w:t>
            </w:r>
          </w:p>
        </w:tc>
        <w:tc>
          <w:tcPr>
            <w:tcW w:w="3733" w:type="dxa"/>
          </w:tcPr>
          <w:p w:rsidR="008F7250" w:rsidRPr="00BF737F" w:rsidRDefault="008F7250" w:rsidP="00F24D90">
            <w:pPr>
              <w:ind w:left="0" w:right="53"/>
              <w:rPr>
                <w:b/>
              </w:rPr>
            </w:pPr>
            <w:r w:rsidRPr="00BF737F">
              <w:rPr>
                <w:b/>
              </w:rPr>
              <w:t>Availability of other standards</w:t>
            </w:r>
          </w:p>
        </w:tc>
        <w:tc>
          <w:tcPr>
            <w:tcW w:w="3733" w:type="dxa"/>
          </w:tcPr>
          <w:p w:rsidR="008F7250" w:rsidRPr="00BF737F" w:rsidRDefault="008F7250" w:rsidP="00F24D90">
            <w:pPr>
              <w:ind w:left="0" w:right="53"/>
              <w:rPr>
                <w:b/>
              </w:rPr>
            </w:pPr>
            <w:proofErr w:type="spellStart"/>
            <w:r w:rsidRPr="00BF737F">
              <w:rPr>
                <w:b/>
              </w:rPr>
              <w:t>Ongoing</w:t>
            </w:r>
            <w:proofErr w:type="spellEnd"/>
            <w:r w:rsidRPr="00BF737F">
              <w:rPr>
                <w:b/>
              </w:rPr>
              <w:t xml:space="preserve"> &amp; planned activities Opportunities</w:t>
            </w:r>
          </w:p>
        </w:tc>
      </w:tr>
      <w:tr w:rsidR="008F7250" w:rsidRPr="001D5EB7" w:rsidTr="00F24D90">
        <w:trPr>
          <w:cantSplit/>
        </w:trPr>
        <w:tc>
          <w:tcPr>
            <w:tcW w:w="1559" w:type="dxa"/>
          </w:tcPr>
          <w:p w:rsidR="008F7250" w:rsidRPr="00555624" w:rsidRDefault="008F7250" w:rsidP="00F24D90">
            <w:pPr>
              <w:ind w:left="0" w:right="33"/>
              <w:rPr>
                <w:b/>
              </w:rPr>
            </w:pPr>
            <w:r w:rsidRPr="00555624">
              <w:rPr>
                <w:b/>
              </w:rPr>
              <w:t>Initiation</w:t>
            </w:r>
          </w:p>
        </w:tc>
        <w:tc>
          <w:tcPr>
            <w:tcW w:w="3733" w:type="dxa"/>
          </w:tcPr>
          <w:p w:rsidR="008F7250" w:rsidRPr="00BF737F" w:rsidRDefault="008F7250" w:rsidP="00F24D90">
            <w:pPr>
              <w:ind w:left="0" w:right="53"/>
              <w:rPr>
                <w:sz w:val="18"/>
                <w:szCs w:val="18"/>
              </w:rPr>
            </w:pPr>
            <w:r w:rsidRPr="00BF737F">
              <w:rPr>
                <w:sz w:val="18"/>
                <w:szCs w:val="18"/>
              </w:rPr>
              <w:t>Full coverage:</w:t>
            </w:r>
          </w:p>
          <w:p w:rsidR="008F7250" w:rsidRPr="00BF737F" w:rsidRDefault="008F7250" w:rsidP="00F24D90">
            <w:pPr>
              <w:ind w:left="0" w:right="53"/>
              <w:rPr>
                <w:sz w:val="18"/>
                <w:szCs w:val="18"/>
              </w:rPr>
            </w:pPr>
            <w:r w:rsidRPr="00BF737F">
              <w:rPr>
                <w:sz w:val="18"/>
                <w:szCs w:val="18"/>
              </w:rPr>
              <w:t>Customer and Financial Institution Request for Transfer/Direct Debit MT messages in category 1 and 2 to initiate payments.</w:t>
            </w:r>
          </w:p>
          <w:p w:rsidR="008F7250" w:rsidRPr="00BF737F" w:rsidRDefault="008F7250" w:rsidP="00F24D90">
            <w:pPr>
              <w:ind w:left="0" w:right="53"/>
              <w:rPr>
                <w:sz w:val="18"/>
                <w:szCs w:val="18"/>
              </w:rPr>
            </w:pPr>
            <w:r w:rsidRPr="00BF737F">
              <w:rPr>
                <w:sz w:val="18"/>
                <w:szCs w:val="18"/>
              </w:rPr>
              <w:t>Common Group Request for Cancellation MT message in category 1 and 2 to cancel payments.</w:t>
            </w:r>
          </w:p>
          <w:p w:rsidR="008F7250" w:rsidRPr="00BF737F" w:rsidRDefault="008F7250" w:rsidP="00F24D90">
            <w:pPr>
              <w:ind w:left="0" w:right="53"/>
              <w:rPr>
                <w:sz w:val="18"/>
                <w:szCs w:val="18"/>
              </w:rPr>
            </w:pPr>
            <w:r w:rsidRPr="00BF737F">
              <w:rPr>
                <w:sz w:val="18"/>
                <w:szCs w:val="18"/>
              </w:rPr>
              <w:t>Corporate-to-Bank Payment Initiation (pain) ISO 20022 messages to initiate payments, request cancellation of payments and report payment status.</w:t>
            </w:r>
          </w:p>
          <w:p w:rsidR="008F7250" w:rsidRPr="00BF737F" w:rsidRDefault="008F7250" w:rsidP="00F24D90">
            <w:pPr>
              <w:ind w:left="0" w:right="53"/>
              <w:rPr>
                <w:sz w:val="18"/>
                <w:szCs w:val="18"/>
              </w:rPr>
            </w:pPr>
            <w:r w:rsidRPr="00BF737F">
              <w:rPr>
                <w:sz w:val="18"/>
                <w:szCs w:val="18"/>
              </w:rPr>
              <w:t>E-mandate ISO 20022 messages for the Initiation, Amendment, Cancellation and Confirmation/Validation of e-Mandates.</w:t>
            </w:r>
          </w:p>
          <w:p w:rsidR="008F7250" w:rsidRPr="00BF737F" w:rsidRDefault="008F7250" w:rsidP="00BD57FD">
            <w:pPr>
              <w:ind w:left="0" w:right="53"/>
              <w:rPr>
                <w:sz w:val="18"/>
                <w:szCs w:val="18"/>
              </w:rPr>
            </w:pPr>
            <w:r w:rsidRPr="00BF737F">
              <w:rPr>
                <w:sz w:val="18"/>
                <w:szCs w:val="18"/>
              </w:rPr>
              <w:t xml:space="preserve">E-payment XML messages for the Request and Guarantee of electronic online payments. </w:t>
            </w:r>
          </w:p>
        </w:tc>
        <w:tc>
          <w:tcPr>
            <w:tcW w:w="3733" w:type="dxa"/>
          </w:tcPr>
          <w:p w:rsidR="008F7250" w:rsidRDefault="008F7250" w:rsidP="00F24D90">
            <w:pPr>
              <w:ind w:left="0" w:right="53"/>
              <w:rPr>
                <w:sz w:val="18"/>
                <w:szCs w:val="18"/>
              </w:rPr>
            </w:pPr>
            <w:r w:rsidRPr="00BF737F">
              <w:rPr>
                <w:sz w:val="18"/>
                <w:szCs w:val="18"/>
              </w:rPr>
              <w:t xml:space="preserve">Mainly governed by domestic standards (best case) or bank-proprietary communication protocols. </w:t>
            </w:r>
          </w:p>
          <w:p w:rsidR="00BD57FD" w:rsidRPr="00BF737F" w:rsidRDefault="00BD57FD" w:rsidP="00BD57FD">
            <w:pPr>
              <w:ind w:left="0" w:right="53"/>
              <w:rPr>
                <w:sz w:val="18"/>
                <w:szCs w:val="18"/>
              </w:rPr>
            </w:pPr>
            <w:r w:rsidRPr="00BF737F">
              <w:rPr>
                <w:sz w:val="18"/>
                <w:szCs w:val="18"/>
              </w:rPr>
              <w:t>EDIFACT (</w:t>
            </w:r>
            <w:proofErr w:type="spellStart"/>
            <w:r w:rsidRPr="00BF737F">
              <w:rPr>
                <w:sz w:val="18"/>
                <w:szCs w:val="18"/>
              </w:rPr>
              <w:t>Payext</w:t>
            </w:r>
            <w:proofErr w:type="spellEnd"/>
            <w:r w:rsidRPr="00BF737F">
              <w:rPr>
                <w:sz w:val="18"/>
                <w:szCs w:val="18"/>
              </w:rPr>
              <w:t xml:space="preserve"> and </w:t>
            </w:r>
            <w:proofErr w:type="spellStart"/>
            <w:r w:rsidRPr="00BF737F">
              <w:rPr>
                <w:sz w:val="18"/>
                <w:szCs w:val="18"/>
              </w:rPr>
              <w:t>Paymul</w:t>
            </w:r>
            <w:proofErr w:type="spellEnd"/>
            <w:r w:rsidRPr="00BF737F">
              <w:rPr>
                <w:sz w:val="18"/>
                <w:szCs w:val="18"/>
              </w:rPr>
              <w:t>)</w:t>
            </w:r>
          </w:p>
          <w:p w:rsidR="00BD57FD" w:rsidRPr="00BF737F" w:rsidRDefault="00BD57FD" w:rsidP="00F24D90">
            <w:pPr>
              <w:ind w:left="0" w:right="53"/>
              <w:rPr>
                <w:sz w:val="18"/>
                <w:szCs w:val="18"/>
              </w:rPr>
            </w:pPr>
          </w:p>
        </w:tc>
        <w:tc>
          <w:tcPr>
            <w:tcW w:w="3733" w:type="dxa"/>
          </w:tcPr>
          <w:p w:rsidR="008F7250" w:rsidRPr="00BF737F" w:rsidRDefault="008F7250" w:rsidP="00F24D90">
            <w:pPr>
              <w:ind w:left="0" w:right="53"/>
              <w:rPr>
                <w:sz w:val="18"/>
                <w:szCs w:val="18"/>
              </w:rPr>
            </w:pPr>
            <w:r>
              <w:rPr>
                <w:sz w:val="18"/>
                <w:szCs w:val="18"/>
              </w:rPr>
              <w:t>Significant</w:t>
            </w:r>
            <w:r w:rsidRPr="00BF737F">
              <w:rPr>
                <w:sz w:val="18"/>
                <w:szCs w:val="18"/>
              </w:rPr>
              <w:t xml:space="preserve"> opportunities to deploy the standards: </w:t>
            </w:r>
          </w:p>
          <w:p w:rsidR="008F7250" w:rsidRPr="00BF737F" w:rsidRDefault="008F7250" w:rsidP="00F24D90">
            <w:pPr>
              <w:ind w:left="0" w:right="53"/>
              <w:rPr>
                <w:sz w:val="18"/>
                <w:szCs w:val="18"/>
              </w:rPr>
            </w:pPr>
            <w:r w:rsidRPr="00BF737F">
              <w:rPr>
                <w:sz w:val="18"/>
                <w:szCs w:val="18"/>
              </w:rPr>
              <w:t>- Important progress is being made by agreeing on common implementation of ISO 20022 in the corporate to bank payment initiation and reporting space through the Common Global Implementation (CGI) initiative.</w:t>
            </w:r>
          </w:p>
          <w:p w:rsidR="008F7250" w:rsidRPr="00BF737F" w:rsidRDefault="008F7250" w:rsidP="00F24D90">
            <w:pPr>
              <w:ind w:left="0" w:right="53"/>
              <w:rPr>
                <w:sz w:val="18"/>
                <w:szCs w:val="18"/>
              </w:rPr>
            </w:pPr>
            <w:r w:rsidRPr="00BF737F">
              <w:rPr>
                <w:sz w:val="18"/>
                <w:szCs w:val="18"/>
              </w:rPr>
              <w:t>- E-mandate ISO 20022 message implementation guidelines included in EPC rulebooks for SEPA direct debits.</w:t>
            </w:r>
          </w:p>
          <w:p w:rsidR="008F7250" w:rsidRDefault="008F7250" w:rsidP="00603BAA">
            <w:pPr>
              <w:ind w:left="0" w:right="53"/>
              <w:rPr>
                <w:sz w:val="18"/>
                <w:szCs w:val="18"/>
              </w:rPr>
            </w:pPr>
            <w:r w:rsidRPr="00BF737F">
              <w:rPr>
                <w:sz w:val="18"/>
                <w:szCs w:val="18"/>
              </w:rPr>
              <w:t xml:space="preserve">Furthermore: </w:t>
            </w:r>
            <w:r>
              <w:rPr>
                <w:sz w:val="18"/>
                <w:szCs w:val="18"/>
              </w:rPr>
              <w:t xml:space="preserve">opportunities in ensuring standards support for new channels such as mobile and e-payments. For example </w:t>
            </w:r>
            <w:r w:rsidRPr="00BF737F">
              <w:rPr>
                <w:sz w:val="18"/>
                <w:szCs w:val="18"/>
              </w:rPr>
              <w:t xml:space="preserve">TC68/SC7/WG10 NWIP to create international standards for mobile banking/payments. </w:t>
            </w:r>
          </w:p>
          <w:p w:rsidR="008F7250" w:rsidRPr="00BF737F" w:rsidRDefault="008F7250" w:rsidP="00603BAA">
            <w:pPr>
              <w:ind w:left="0" w:right="53"/>
              <w:rPr>
                <w:sz w:val="18"/>
                <w:szCs w:val="18"/>
              </w:rPr>
            </w:pPr>
          </w:p>
        </w:tc>
      </w:tr>
      <w:tr w:rsidR="008F7250" w:rsidRPr="001D5EB7" w:rsidTr="00F24D90">
        <w:trPr>
          <w:cantSplit/>
        </w:trPr>
        <w:tc>
          <w:tcPr>
            <w:tcW w:w="1559" w:type="dxa"/>
          </w:tcPr>
          <w:p w:rsidR="008F7250" w:rsidRPr="00555624" w:rsidRDefault="008F7250" w:rsidP="00F24D90">
            <w:pPr>
              <w:ind w:left="0" w:right="33"/>
              <w:rPr>
                <w:b/>
              </w:rPr>
            </w:pPr>
            <w:r w:rsidRPr="00555624">
              <w:rPr>
                <w:b/>
              </w:rPr>
              <w:t>Clearing and Settlement</w:t>
            </w:r>
          </w:p>
        </w:tc>
        <w:tc>
          <w:tcPr>
            <w:tcW w:w="3733" w:type="dxa"/>
          </w:tcPr>
          <w:p w:rsidR="008F7250" w:rsidRPr="00BF737F" w:rsidRDefault="008F7250" w:rsidP="00F24D90">
            <w:pPr>
              <w:ind w:left="0" w:right="53"/>
              <w:rPr>
                <w:sz w:val="18"/>
                <w:szCs w:val="18"/>
              </w:rPr>
            </w:pPr>
            <w:r>
              <w:rPr>
                <w:sz w:val="18"/>
                <w:szCs w:val="18"/>
              </w:rPr>
              <w:t>Almost f</w:t>
            </w:r>
            <w:r w:rsidRPr="00BF737F">
              <w:rPr>
                <w:sz w:val="18"/>
                <w:szCs w:val="18"/>
              </w:rPr>
              <w:t xml:space="preserve">ull coverage: </w:t>
            </w:r>
          </w:p>
          <w:p w:rsidR="008F7250" w:rsidRPr="00BF737F" w:rsidRDefault="008F7250" w:rsidP="00F24D90">
            <w:pPr>
              <w:ind w:left="0" w:right="53"/>
              <w:rPr>
                <w:sz w:val="18"/>
                <w:szCs w:val="18"/>
              </w:rPr>
            </w:pPr>
            <w:r w:rsidRPr="00BF737F">
              <w:rPr>
                <w:sz w:val="18"/>
                <w:szCs w:val="18"/>
              </w:rPr>
              <w:t>Customer and Financial Institution Credit Transfer and Direct Debit MT messages in category 1 and 2 to clear and settle payments, including payment returns.</w:t>
            </w:r>
          </w:p>
          <w:p w:rsidR="008F7250" w:rsidRPr="00BF737F" w:rsidRDefault="008F7250" w:rsidP="00F24D90">
            <w:pPr>
              <w:ind w:left="0" w:right="53"/>
              <w:rPr>
                <w:sz w:val="18"/>
                <w:szCs w:val="18"/>
              </w:rPr>
            </w:pPr>
            <w:r w:rsidRPr="00BF737F">
              <w:rPr>
                <w:sz w:val="18"/>
                <w:szCs w:val="18"/>
              </w:rPr>
              <w:t>Common Group Request for Cancellation MT message in category 1 and 2 to cancel inter-bank payments.</w:t>
            </w:r>
          </w:p>
          <w:p w:rsidR="008F7250" w:rsidRPr="00BF737F" w:rsidRDefault="008F7250" w:rsidP="00F24D90">
            <w:pPr>
              <w:ind w:left="0" w:right="53"/>
              <w:rPr>
                <w:sz w:val="18"/>
                <w:szCs w:val="18"/>
              </w:rPr>
            </w:pPr>
            <w:r w:rsidRPr="00BF737F">
              <w:rPr>
                <w:sz w:val="18"/>
                <w:szCs w:val="18"/>
              </w:rPr>
              <w:t>FI-to-FI Payment Clearing and Settlement (</w:t>
            </w:r>
            <w:proofErr w:type="spellStart"/>
            <w:r w:rsidRPr="00BF737F">
              <w:rPr>
                <w:sz w:val="18"/>
                <w:szCs w:val="18"/>
              </w:rPr>
              <w:t>pacs</w:t>
            </w:r>
            <w:proofErr w:type="spellEnd"/>
            <w:r w:rsidRPr="00BF737F">
              <w:rPr>
                <w:sz w:val="18"/>
                <w:szCs w:val="18"/>
              </w:rPr>
              <w:t xml:space="preserve">) ISO 20022 messages to clear and settle payments, request cancellation, reverse, </w:t>
            </w:r>
            <w:proofErr w:type="gramStart"/>
            <w:r w:rsidRPr="00BF737F">
              <w:rPr>
                <w:sz w:val="18"/>
                <w:szCs w:val="18"/>
              </w:rPr>
              <w:t>return</w:t>
            </w:r>
            <w:proofErr w:type="gramEnd"/>
            <w:r w:rsidRPr="00BF737F">
              <w:rPr>
                <w:sz w:val="18"/>
                <w:szCs w:val="18"/>
              </w:rPr>
              <w:t xml:space="preserve"> and report status of payments.</w:t>
            </w:r>
          </w:p>
          <w:p w:rsidR="008F7250" w:rsidRPr="00BF737F" w:rsidRDefault="008F7250" w:rsidP="00F24D90">
            <w:pPr>
              <w:ind w:left="0" w:right="53"/>
              <w:rPr>
                <w:sz w:val="18"/>
                <w:szCs w:val="18"/>
              </w:rPr>
            </w:pPr>
            <w:r w:rsidRPr="00BF737F">
              <w:rPr>
                <w:sz w:val="18"/>
                <w:szCs w:val="18"/>
              </w:rPr>
              <w:t>ISO 15022 messages for Standing Settlement Instructions (SSI) available.</w:t>
            </w:r>
          </w:p>
        </w:tc>
        <w:tc>
          <w:tcPr>
            <w:tcW w:w="3733" w:type="dxa"/>
          </w:tcPr>
          <w:p w:rsidR="008F7250" w:rsidRDefault="008F7250" w:rsidP="00F24D90">
            <w:pPr>
              <w:ind w:left="0" w:right="53"/>
              <w:rPr>
                <w:sz w:val="18"/>
                <w:szCs w:val="18"/>
              </w:rPr>
            </w:pPr>
            <w:r w:rsidRPr="00BF737F">
              <w:rPr>
                <w:sz w:val="18"/>
                <w:szCs w:val="18"/>
              </w:rPr>
              <w:t>Domestic standards in local clearing systems.</w:t>
            </w:r>
          </w:p>
          <w:p w:rsidR="00BD57FD" w:rsidRPr="00BF737F" w:rsidRDefault="00BD57FD" w:rsidP="00BD57FD">
            <w:pPr>
              <w:ind w:left="0" w:right="53"/>
              <w:rPr>
                <w:sz w:val="18"/>
                <w:szCs w:val="18"/>
              </w:rPr>
            </w:pPr>
            <w:r w:rsidRPr="00BF737F">
              <w:rPr>
                <w:sz w:val="18"/>
                <w:szCs w:val="18"/>
              </w:rPr>
              <w:t>EDIFACT (</w:t>
            </w:r>
            <w:proofErr w:type="spellStart"/>
            <w:r w:rsidRPr="00BF737F">
              <w:rPr>
                <w:sz w:val="18"/>
                <w:szCs w:val="18"/>
              </w:rPr>
              <w:t>Finpay</w:t>
            </w:r>
            <w:proofErr w:type="spellEnd"/>
            <w:r w:rsidRPr="00BF737F">
              <w:rPr>
                <w:sz w:val="18"/>
                <w:szCs w:val="18"/>
              </w:rPr>
              <w:t>)</w:t>
            </w:r>
          </w:p>
          <w:p w:rsidR="00BD57FD" w:rsidRPr="00BF737F" w:rsidRDefault="00BD57FD" w:rsidP="00F24D90">
            <w:pPr>
              <w:ind w:left="0" w:right="53"/>
              <w:rPr>
                <w:sz w:val="18"/>
                <w:szCs w:val="18"/>
              </w:rPr>
            </w:pPr>
          </w:p>
        </w:tc>
        <w:tc>
          <w:tcPr>
            <w:tcW w:w="3733" w:type="dxa"/>
          </w:tcPr>
          <w:p w:rsidR="008F7250" w:rsidRPr="00BF737F" w:rsidRDefault="008F7250" w:rsidP="008D6BF1">
            <w:pPr>
              <w:ind w:left="0" w:right="53"/>
              <w:rPr>
                <w:sz w:val="18"/>
                <w:szCs w:val="18"/>
              </w:rPr>
            </w:pPr>
            <w:r w:rsidRPr="00BF737F">
              <w:rPr>
                <w:sz w:val="18"/>
                <w:szCs w:val="18"/>
              </w:rPr>
              <w:t xml:space="preserve"> </w:t>
            </w:r>
          </w:p>
        </w:tc>
      </w:tr>
      <w:tr w:rsidR="008F7250" w:rsidRPr="001D5EB7" w:rsidTr="00F24D90">
        <w:trPr>
          <w:cantSplit/>
        </w:trPr>
        <w:tc>
          <w:tcPr>
            <w:tcW w:w="1559" w:type="dxa"/>
          </w:tcPr>
          <w:p w:rsidR="008F7250" w:rsidRPr="00555624" w:rsidRDefault="008F7250" w:rsidP="00F24D90">
            <w:pPr>
              <w:ind w:left="0" w:right="33"/>
              <w:rPr>
                <w:b/>
              </w:rPr>
            </w:pPr>
            <w:r w:rsidRPr="00555624">
              <w:rPr>
                <w:b/>
              </w:rPr>
              <w:lastRenderedPageBreak/>
              <w:t>Cash Management</w:t>
            </w:r>
          </w:p>
        </w:tc>
        <w:tc>
          <w:tcPr>
            <w:tcW w:w="3733" w:type="dxa"/>
          </w:tcPr>
          <w:p w:rsidR="008F7250" w:rsidRPr="00BF737F" w:rsidRDefault="008F7250" w:rsidP="00F24D90">
            <w:pPr>
              <w:ind w:left="0" w:right="53"/>
              <w:rPr>
                <w:sz w:val="18"/>
                <w:szCs w:val="18"/>
              </w:rPr>
            </w:pPr>
            <w:r w:rsidRPr="00BF737F">
              <w:rPr>
                <w:sz w:val="18"/>
                <w:szCs w:val="18"/>
              </w:rPr>
              <w:t>Full coverage:</w:t>
            </w:r>
          </w:p>
          <w:p w:rsidR="008F7250" w:rsidRPr="00BF737F" w:rsidRDefault="008F7250" w:rsidP="00F24D90">
            <w:pPr>
              <w:ind w:left="0" w:right="53"/>
              <w:rPr>
                <w:sz w:val="18"/>
                <w:szCs w:val="18"/>
              </w:rPr>
            </w:pPr>
            <w:r w:rsidRPr="00BF737F">
              <w:rPr>
                <w:sz w:val="18"/>
                <w:szCs w:val="18"/>
              </w:rPr>
              <w:t>Cash management MT messages in category 9 for payment confirmations, reports, statements and status reporting.</w:t>
            </w:r>
          </w:p>
          <w:p w:rsidR="008F7250" w:rsidRPr="00BF737F" w:rsidRDefault="008F7250" w:rsidP="00F24D90">
            <w:pPr>
              <w:ind w:left="0" w:right="53"/>
              <w:rPr>
                <w:sz w:val="18"/>
                <w:szCs w:val="18"/>
              </w:rPr>
            </w:pPr>
            <w:r w:rsidRPr="00BF737F">
              <w:rPr>
                <w:sz w:val="18"/>
                <w:szCs w:val="18"/>
              </w:rPr>
              <w:t>Cash Management (</w:t>
            </w:r>
            <w:proofErr w:type="spellStart"/>
            <w:r w:rsidRPr="00BF737F">
              <w:rPr>
                <w:sz w:val="18"/>
                <w:szCs w:val="18"/>
              </w:rPr>
              <w:t>camt</w:t>
            </w:r>
            <w:proofErr w:type="spellEnd"/>
            <w:r w:rsidRPr="00BF737F">
              <w:rPr>
                <w:sz w:val="18"/>
                <w:szCs w:val="18"/>
              </w:rPr>
              <w:t xml:space="preserve">) ISO 20022 messages for debit/credit notifications, notification to receive, account and balance reports and statements for the bank-to-corporate and interbank space. </w:t>
            </w:r>
          </w:p>
          <w:p w:rsidR="008F7250" w:rsidRDefault="008F7250" w:rsidP="00F24D90">
            <w:pPr>
              <w:ind w:left="0" w:right="53"/>
              <w:rPr>
                <w:sz w:val="18"/>
                <w:szCs w:val="18"/>
              </w:rPr>
            </w:pPr>
            <w:r w:rsidRPr="00BF737F">
              <w:rPr>
                <w:sz w:val="18"/>
                <w:szCs w:val="18"/>
              </w:rPr>
              <w:t>Cash Management (</w:t>
            </w:r>
            <w:proofErr w:type="spellStart"/>
            <w:r w:rsidRPr="00BF737F">
              <w:rPr>
                <w:sz w:val="18"/>
                <w:szCs w:val="18"/>
              </w:rPr>
              <w:t>camt</w:t>
            </w:r>
            <w:proofErr w:type="spellEnd"/>
            <w:r w:rsidRPr="00BF737F">
              <w:rPr>
                <w:sz w:val="18"/>
                <w:szCs w:val="18"/>
              </w:rPr>
              <w:t>) draft ISO 20022 messages to retrieve business information and manage limits and cash reservations within high value payment systems.</w:t>
            </w:r>
          </w:p>
          <w:p w:rsidR="00F30D0B" w:rsidRDefault="00F30D0B" w:rsidP="00F24D90">
            <w:pPr>
              <w:ind w:left="0" w:right="53"/>
              <w:rPr>
                <w:sz w:val="18"/>
                <w:szCs w:val="18"/>
              </w:rPr>
            </w:pPr>
            <w:r>
              <w:rPr>
                <w:sz w:val="18"/>
                <w:szCs w:val="18"/>
              </w:rPr>
              <w:t>Cash Intra-Balance movements draft ISO 20022 messages to manage the cash leg of a securities settlement transaction/instruction</w:t>
            </w:r>
          </w:p>
          <w:p w:rsidR="00F30D0B" w:rsidRPr="00BF737F" w:rsidRDefault="00F30D0B" w:rsidP="00F24D90">
            <w:pPr>
              <w:ind w:left="0" w:right="53"/>
              <w:rPr>
                <w:sz w:val="18"/>
                <w:szCs w:val="18"/>
              </w:rPr>
            </w:pPr>
          </w:p>
        </w:tc>
        <w:tc>
          <w:tcPr>
            <w:tcW w:w="3733" w:type="dxa"/>
          </w:tcPr>
          <w:p w:rsidR="008F7250" w:rsidRDefault="008F7250" w:rsidP="00F24D90">
            <w:pPr>
              <w:ind w:left="0" w:right="53"/>
              <w:rPr>
                <w:sz w:val="18"/>
                <w:szCs w:val="18"/>
              </w:rPr>
            </w:pPr>
            <w:r w:rsidRPr="00BF737F">
              <w:rPr>
                <w:sz w:val="18"/>
                <w:szCs w:val="18"/>
              </w:rPr>
              <w:t>Domestic and bank proprietary standards</w:t>
            </w:r>
          </w:p>
          <w:p w:rsidR="009C7F4F" w:rsidRPr="00BF737F" w:rsidRDefault="009C7F4F" w:rsidP="009C7F4F">
            <w:pPr>
              <w:ind w:left="0" w:right="53"/>
              <w:rPr>
                <w:sz w:val="18"/>
                <w:szCs w:val="18"/>
              </w:rPr>
            </w:pPr>
            <w:r w:rsidRPr="00BF737F">
              <w:rPr>
                <w:sz w:val="18"/>
                <w:szCs w:val="18"/>
              </w:rPr>
              <w:t>EDIFACT (</w:t>
            </w:r>
            <w:proofErr w:type="spellStart"/>
            <w:r w:rsidRPr="00BF737F">
              <w:rPr>
                <w:sz w:val="18"/>
                <w:szCs w:val="18"/>
              </w:rPr>
              <w:t>Debmul</w:t>
            </w:r>
            <w:proofErr w:type="spellEnd"/>
            <w:r w:rsidRPr="00BF737F">
              <w:rPr>
                <w:sz w:val="18"/>
                <w:szCs w:val="18"/>
              </w:rPr>
              <w:t xml:space="preserve">, </w:t>
            </w:r>
            <w:proofErr w:type="spellStart"/>
            <w:r w:rsidRPr="00BF737F">
              <w:rPr>
                <w:sz w:val="18"/>
                <w:szCs w:val="18"/>
              </w:rPr>
              <w:t>Cremul</w:t>
            </w:r>
            <w:proofErr w:type="spellEnd"/>
            <w:r w:rsidRPr="00BF737F">
              <w:rPr>
                <w:sz w:val="18"/>
                <w:szCs w:val="18"/>
              </w:rPr>
              <w:t xml:space="preserve"> and </w:t>
            </w:r>
            <w:proofErr w:type="spellStart"/>
            <w:r w:rsidRPr="00BF737F">
              <w:rPr>
                <w:sz w:val="18"/>
                <w:szCs w:val="18"/>
              </w:rPr>
              <w:t>Finsta</w:t>
            </w:r>
            <w:proofErr w:type="spellEnd"/>
            <w:r w:rsidRPr="00BF737F">
              <w:rPr>
                <w:sz w:val="18"/>
                <w:szCs w:val="18"/>
              </w:rPr>
              <w:t>)</w:t>
            </w:r>
          </w:p>
          <w:p w:rsidR="009C7F4F" w:rsidRPr="00BF737F" w:rsidRDefault="009C7F4F" w:rsidP="00F24D90">
            <w:pPr>
              <w:ind w:left="0" w:right="53"/>
              <w:rPr>
                <w:sz w:val="18"/>
                <w:szCs w:val="18"/>
              </w:rPr>
            </w:pPr>
          </w:p>
        </w:tc>
        <w:tc>
          <w:tcPr>
            <w:tcW w:w="3733" w:type="dxa"/>
          </w:tcPr>
          <w:p w:rsidR="008F7250" w:rsidRPr="008D6BF1" w:rsidRDefault="008F7250" w:rsidP="00F24D90">
            <w:pPr>
              <w:ind w:left="0" w:right="53"/>
              <w:rPr>
                <w:sz w:val="18"/>
                <w:szCs w:val="18"/>
              </w:rPr>
            </w:pPr>
            <w:r w:rsidRPr="008D6BF1">
              <w:rPr>
                <w:sz w:val="18"/>
                <w:szCs w:val="18"/>
              </w:rPr>
              <w:t>Significant opportunities to deploy the standards globally. Important progress is being made by agreeing on common implementation of the ISO 20022 in the bank to corporate space through the Common Global Implementation (CGI) initiative.</w:t>
            </w:r>
          </w:p>
          <w:p w:rsidR="008F7250" w:rsidRPr="005C1B05" w:rsidRDefault="008F7250" w:rsidP="00F24D90">
            <w:pPr>
              <w:ind w:left="0" w:right="53"/>
              <w:rPr>
                <w:sz w:val="18"/>
                <w:szCs w:val="18"/>
              </w:rPr>
            </w:pPr>
            <w:r w:rsidRPr="005C1B05">
              <w:rPr>
                <w:sz w:val="18"/>
                <w:szCs w:val="18"/>
              </w:rPr>
              <w:t>The cash management messages for use within high value payment systems are being fine</w:t>
            </w:r>
            <w:r w:rsidR="005C1B05">
              <w:rPr>
                <w:sz w:val="18"/>
                <w:szCs w:val="18"/>
              </w:rPr>
              <w:t>-</w:t>
            </w:r>
            <w:r w:rsidRPr="005C1B05">
              <w:rPr>
                <w:sz w:val="18"/>
                <w:szCs w:val="18"/>
              </w:rPr>
              <w:t>tuned through maintenance to incorporate requirements for Target2-Securities (T2S), as well as being aligned with the existing ISO 20022 payment standards.</w:t>
            </w:r>
          </w:p>
          <w:p w:rsidR="008F7250" w:rsidRPr="005C1B05" w:rsidRDefault="008F7250" w:rsidP="00F24D90">
            <w:pPr>
              <w:ind w:left="0" w:right="53"/>
              <w:rPr>
                <w:sz w:val="18"/>
                <w:szCs w:val="18"/>
              </w:rPr>
            </w:pPr>
            <w:r w:rsidRPr="005C1B05">
              <w:rPr>
                <w:sz w:val="18"/>
                <w:szCs w:val="18"/>
              </w:rPr>
              <w:t>There may be opportunities in ensuring that new products like e-bill presentment have adequate reporting and reconciliation means and in this area also card payments may require some more attention and potentially SWIFT involvement.</w:t>
            </w:r>
          </w:p>
          <w:p w:rsidR="008D6BF1" w:rsidRPr="008D6BF1" w:rsidRDefault="00644D22" w:rsidP="00644D22">
            <w:pPr>
              <w:ind w:left="0" w:right="53"/>
              <w:rPr>
                <w:sz w:val="18"/>
                <w:szCs w:val="18"/>
              </w:rPr>
            </w:pPr>
            <w:r w:rsidRPr="005C1B05">
              <w:rPr>
                <w:sz w:val="18"/>
                <w:szCs w:val="18"/>
              </w:rPr>
              <w:t>Discussion</w:t>
            </w:r>
            <w:r>
              <w:rPr>
                <w:sz w:val="18"/>
                <w:szCs w:val="18"/>
              </w:rPr>
              <w:t>s</w:t>
            </w:r>
            <w:r w:rsidRPr="00644D22">
              <w:rPr>
                <w:sz w:val="18"/>
                <w:szCs w:val="18"/>
              </w:rPr>
              <w:t xml:space="preserve"> </w:t>
            </w:r>
            <w:r>
              <w:rPr>
                <w:sz w:val="18"/>
                <w:szCs w:val="18"/>
              </w:rPr>
              <w:t xml:space="preserve">are on-going to set </w:t>
            </w:r>
            <w:r w:rsidR="008D6BF1" w:rsidRPr="005C1B05">
              <w:rPr>
                <w:rFonts w:eastAsia="Times New Roman" w:cs="Arial"/>
                <w:sz w:val="18"/>
                <w:szCs w:val="18"/>
              </w:rPr>
              <w:t>global market practice</w:t>
            </w:r>
            <w:r>
              <w:rPr>
                <w:rFonts w:eastAsia="Times New Roman" w:cs="Arial"/>
                <w:sz w:val="18"/>
                <w:szCs w:val="18"/>
              </w:rPr>
              <w:t>s</w:t>
            </w:r>
            <w:r w:rsidR="008D6BF1" w:rsidRPr="005C1B05">
              <w:rPr>
                <w:rFonts w:eastAsia="Times New Roman" w:cs="Arial"/>
                <w:sz w:val="18"/>
                <w:szCs w:val="18"/>
              </w:rPr>
              <w:t xml:space="preserve"> in the area of liquidity management in reaction to increasing regulatory measures.</w:t>
            </w:r>
          </w:p>
        </w:tc>
      </w:tr>
      <w:tr w:rsidR="008F7250" w:rsidRPr="001D5EB7" w:rsidTr="00F24D90">
        <w:trPr>
          <w:cantSplit/>
        </w:trPr>
        <w:tc>
          <w:tcPr>
            <w:tcW w:w="1559" w:type="dxa"/>
          </w:tcPr>
          <w:p w:rsidR="008F7250" w:rsidRPr="00555624" w:rsidRDefault="008F7250" w:rsidP="00F24D90">
            <w:pPr>
              <w:ind w:left="0" w:right="33"/>
              <w:rPr>
                <w:b/>
              </w:rPr>
            </w:pPr>
            <w:r w:rsidRPr="00555624">
              <w:rPr>
                <w:b/>
              </w:rPr>
              <w:lastRenderedPageBreak/>
              <w:t>Transversal</w:t>
            </w:r>
          </w:p>
        </w:tc>
        <w:tc>
          <w:tcPr>
            <w:tcW w:w="3733" w:type="dxa"/>
          </w:tcPr>
          <w:p w:rsidR="008F7250" w:rsidRPr="00BF737F" w:rsidRDefault="008F7250" w:rsidP="00F24D90">
            <w:pPr>
              <w:ind w:left="0" w:right="53"/>
              <w:rPr>
                <w:sz w:val="18"/>
                <w:szCs w:val="18"/>
              </w:rPr>
            </w:pPr>
            <w:r w:rsidRPr="00BF737F">
              <w:rPr>
                <w:sz w:val="18"/>
                <w:szCs w:val="18"/>
              </w:rPr>
              <w:t>Partial coverage:</w:t>
            </w:r>
          </w:p>
          <w:p w:rsidR="008F7250" w:rsidRPr="00BF737F" w:rsidRDefault="008F7250" w:rsidP="00F24D90">
            <w:pPr>
              <w:ind w:left="0" w:right="53"/>
              <w:rPr>
                <w:sz w:val="18"/>
                <w:szCs w:val="18"/>
              </w:rPr>
            </w:pPr>
            <w:r w:rsidRPr="00BF737F">
              <w:rPr>
                <w:sz w:val="18"/>
                <w:szCs w:val="18"/>
              </w:rPr>
              <w:t>Common Group Query/Answer MT messages in category 1, 2 and 9 to investigate payments and reported transactions.</w:t>
            </w:r>
          </w:p>
          <w:p w:rsidR="008F7250" w:rsidRPr="00BF737F" w:rsidRDefault="008F7250" w:rsidP="00F24D90">
            <w:pPr>
              <w:ind w:left="0" w:right="53"/>
              <w:rPr>
                <w:sz w:val="18"/>
                <w:szCs w:val="18"/>
              </w:rPr>
            </w:pPr>
            <w:r w:rsidRPr="00BF737F">
              <w:rPr>
                <w:sz w:val="18"/>
                <w:szCs w:val="18"/>
              </w:rPr>
              <w:t>Exception and Investigation (</w:t>
            </w:r>
            <w:proofErr w:type="spellStart"/>
            <w:r w:rsidRPr="00BF737F">
              <w:rPr>
                <w:sz w:val="18"/>
                <w:szCs w:val="18"/>
              </w:rPr>
              <w:t>camt</w:t>
            </w:r>
            <w:proofErr w:type="spellEnd"/>
            <w:r w:rsidRPr="00BF737F">
              <w:rPr>
                <w:sz w:val="18"/>
                <w:szCs w:val="18"/>
              </w:rPr>
              <w:t>) ISO 20022 messages to investigate payments and reported transactions.</w:t>
            </w:r>
          </w:p>
          <w:p w:rsidR="008F7250" w:rsidRDefault="008F7250" w:rsidP="00F24D90">
            <w:pPr>
              <w:ind w:left="0" w:right="53"/>
              <w:rPr>
                <w:sz w:val="18"/>
                <w:szCs w:val="18"/>
              </w:rPr>
            </w:pPr>
            <w:r w:rsidRPr="00BF737F">
              <w:rPr>
                <w:sz w:val="18"/>
                <w:szCs w:val="18"/>
              </w:rPr>
              <w:t>Bank Account Management (</w:t>
            </w:r>
            <w:proofErr w:type="spellStart"/>
            <w:r w:rsidRPr="00BF737F">
              <w:rPr>
                <w:sz w:val="18"/>
                <w:szCs w:val="18"/>
              </w:rPr>
              <w:t>acmt</w:t>
            </w:r>
            <w:proofErr w:type="spellEnd"/>
            <w:r w:rsidRPr="00BF737F">
              <w:rPr>
                <w:sz w:val="18"/>
                <w:szCs w:val="18"/>
              </w:rPr>
              <w:t>) ISO 20022 messages to Open, Maintain and Close a cash account, including mandate management (account permissions). The set also includes messages to report account (parameter) information.</w:t>
            </w:r>
          </w:p>
          <w:p w:rsidR="00F30D0B" w:rsidRDefault="00096037" w:rsidP="00F30D0B">
            <w:pPr>
              <w:ind w:left="0" w:right="53"/>
              <w:rPr>
                <w:sz w:val="18"/>
                <w:szCs w:val="18"/>
              </w:rPr>
            </w:pPr>
            <w:r>
              <w:rPr>
                <w:sz w:val="18"/>
                <w:szCs w:val="18"/>
              </w:rPr>
              <w:t xml:space="preserve">Bank Services Billing </w:t>
            </w:r>
            <w:r w:rsidR="00F30D0B" w:rsidRPr="00603BAA">
              <w:rPr>
                <w:sz w:val="18"/>
                <w:szCs w:val="18"/>
              </w:rPr>
              <w:t xml:space="preserve">ISO 20022 </w:t>
            </w:r>
            <w:r>
              <w:rPr>
                <w:sz w:val="18"/>
                <w:szCs w:val="18"/>
              </w:rPr>
              <w:t xml:space="preserve">(reverse engineered </w:t>
            </w:r>
            <w:r w:rsidR="00F30D0B" w:rsidRPr="00603BAA">
              <w:rPr>
                <w:sz w:val="18"/>
                <w:szCs w:val="18"/>
              </w:rPr>
              <w:t>TWIST message</w:t>
            </w:r>
            <w:r>
              <w:rPr>
                <w:sz w:val="18"/>
                <w:szCs w:val="18"/>
              </w:rPr>
              <w:t>)</w:t>
            </w:r>
            <w:r w:rsidR="00F30D0B" w:rsidRPr="00603BAA">
              <w:rPr>
                <w:sz w:val="18"/>
                <w:szCs w:val="18"/>
              </w:rPr>
              <w:t xml:space="preserve"> </w:t>
            </w:r>
            <w:r w:rsidR="00F30D0B">
              <w:rPr>
                <w:sz w:val="18"/>
                <w:szCs w:val="18"/>
              </w:rPr>
              <w:t xml:space="preserve">for both </w:t>
            </w:r>
            <w:r>
              <w:rPr>
                <w:sz w:val="18"/>
                <w:szCs w:val="18"/>
              </w:rPr>
              <w:t xml:space="preserve">use in both </w:t>
            </w:r>
            <w:r w:rsidR="00F30D0B" w:rsidRPr="00603BAA">
              <w:rPr>
                <w:sz w:val="18"/>
                <w:szCs w:val="18"/>
              </w:rPr>
              <w:t xml:space="preserve">bank to corporate </w:t>
            </w:r>
            <w:r w:rsidR="00F30D0B">
              <w:rPr>
                <w:sz w:val="18"/>
                <w:szCs w:val="18"/>
              </w:rPr>
              <w:t xml:space="preserve">and </w:t>
            </w:r>
            <w:r w:rsidR="00F30D0B" w:rsidRPr="00603BAA">
              <w:rPr>
                <w:sz w:val="18"/>
                <w:szCs w:val="18"/>
              </w:rPr>
              <w:t>interbank space.</w:t>
            </w:r>
            <w:r w:rsidR="00F30D0B">
              <w:rPr>
                <w:sz w:val="18"/>
                <w:szCs w:val="18"/>
              </w:rPr>
              <w:t xml:space="preserve"> </w:t>
            </w:r>
          </w:p>
          <w:p w:rsidR="00F30D0B" w:rsidRPr="00BF737F" w:rsidRDefault="00F30D0B" w:rsidP="005C1B05">
            <w:pPr>
              <w:ind w:left="0" w:right="53"/>
              <w:rPr>
                <w:sz w:val="18"/>
                <w:szCs w:val="18"/>
              </w:rPr>
            </w:pPr>
            <w:r>
              <w:rPr>
                <w:sz w:val="18"/>
                <w:szCs w:val="18"/>
              </w:rPr>
              <w:t>Authority Financing ISO 20022 messages have been developed to allow financial authorities to investigate cash accounts and associated movements.</w:t>
            </w:r>
          </w:p>
        </w:tc>
        <w:tc>
          <w:tcPr>
            <w:tcW w:w="3733" w:type="dxa"/>
          </w:tcPr>
          <w:p w:rsidR="008F7250" w:rsidRDefault="008F7250" w:rsidP="00F24D90">
            <w:pPr>
              <w:ind w:left="0" w:right="53"/>
              <w:rPr>
                <w:sz w:val="18"/>
                <w:szCs w:val="18"/>
              </w:rPr>
            </w:pPr>
            <w:r w:rsidRPr="00BF737F">
              <w:rPr>
                <w:sz w:val="18"/>
                <w:szCs w:val="18"/>
              </w:rPr>
              <w:t>Domestic and bank proprietary standards</w:t>
            </w:r>
          </w:p>
          <w:p w:rsidR="009C7F4F" w:rsidRPr="00BF737F" w:rsidRDefault="009C7F4F" w:rsidP="009C7F4F">
            <w:pPr>
              <w:ind w:left="0" w:right="53"/>
              <w:rPr>
                <w:sz w:val="18"/>
                <w:szCs w:val="18"/>
              </w:rPr>
            </w:pPr>
            <w:r w:rsidRPr="00BF737F">
              <w:rPr>
                <w:sz w:val="18"/>
                <w:szCs w:val="18"/>
              </w:rPr>
              <w:t>TWIST (Charging &amp; Billing)</w:t>
            </w:r>
          </w:p>
          <w:p w:rsidR="009C7F4F" w:rsidRPr="00BF737F" w:rsidRDefault="009C7F4F" w:rsidP="00F24D90">
            <w:pPr>
              <w:ind w:left="0" w:right="53"/>
              <w:rPr>
                <w:sz w:val="18"/>
                <w:szCs w:val="18"/>
              </w:rPr>
            </w:pPr>
          </w:p>
        </w:tc>
        <w:tc>
          <w:tcPr>
            <w:tcW w:w="3733" w:type="dxa"/>
          </w:tcPr>
          <w:p w:rsidR="004B10BC" w:rsidRDefault="004B10BC" w:rsidP="004B10BC">
            <w:pPr>
              <w:ind w:left="0" w:right="53"/>
              <w:rPr>
                <w:sz w:val="18"/>
                <w:szCs w:val="18"/>
              </w:rPr>
            </w:pPr>
            <w:r w:rsidRPr="004B10BC">
              <w:rPr>
                <w:sz w:val="18"/>
                <w:szCs w:val="18"/>
              </w:rPr>
              <w:t xml:space="preserve">The development of a message for maintenance of mandates ("delta message") </w:t>
            </w:r>
            <w:r>
              <w:rPr>
                <w:sz w:val="18"/>
                <w:szCs w:val="18"/>
              </w:rPr>
              <w:t>is foreseen, but not yet started</w:t>
            </w:r>
            <w:r w:rsidRPr="004B10BC">
              <w:rPr>
                <w:sz w:val="18"/>
                <w:szCs w:val="18"/>
              </w:rPr>
              <w:t>.</w:t>
            </w:r>
          </w:p>
          <w:p w:rsidR="00BC326E" w:rsidRPr="00603BAA" w:rsidRDefault="00BC326E" w:rsidP="00BC326E">
            <w:pPr>
              <w:ind w:left="0" w:right="53"/>
              <w:rPr>
                <w:sz w:val="18"/>
                <w:szCs w:val="18"/>
              </w:rPr>
            </w:pPr>
          </w:p>
        </w:tc>
      </w:tr>
    </w:tbl>
    <w:p w:rsidR="00392BF9" w:rsidRDefault="008F7250">
      <w:pPr>
        <w:pStyle w:val="Heading2"/>
        <w:numPr>
          <w:ilvl w:val="1"/>
          <w:numId w:val="4"/>
        </w:numPr>
        <w:tabs>
          <w:tab w:val="num" w:pos="780"/>
        </w:tabs>
        <w:spacing w:before="300" w:after="60"/>
        <w:ind w:left="780" w:right="0" w:hanging="720"/>
      </w:pPr>
      <w:bookmarkStart w:id="23" w:name="_Toc340670940"/>
      <w:r>
        <w:t>Additional opportunities</w:t>
      </w:r>
      <w:bookmarkEnd w:id="23"/>
    </w:p>
    <w:p w:rsidR="008F7250" w:rsidRDefault="008F7250" w:rsidP="00F84134">
      <w:pPr>
        <w:ind w:left="142" w:right="60"/>
        <w:jc w:val="both"/>
      </w:pPr>
      <w:r>
        <w:t xml:space="preserve">Most value will be added in the coming years by supporting our different customer profiles with guidance on how to implement the existing standards in a harmonised and consistent, but at the same time flexible manner to address their specific needs.  </w:t>
      </w:r>
    </w:p>
    <w:p w:rsidR="008F7250" w:rsidRDefault="008F7250" w:rsidP="00F84134">
      <w:pPr>
        <w:ind w:left="142" w:right="60"/>
        <w:jc w:val="both"/>
      </w:pPr>
      <w:r>
        <w:t xml:space="preserve">There is a big opportunity for the securities industry to </w:t>
      </w:r>
      <w:r w:rsidR="003836D7">
        <w:t xml:space="preserve">identify the </w:t>
      </w:r>
      <w:r>
        <w:t xml:space="preserve">complete set of </w:t>
      </w:r>
      <w:r w:rsidR="003836D7">
        <w:t xml:space="preserve">ISO 20022 </w:t>
      </w:r>
      <w:r>
        <w:t xml:space="preserve">messages </w:t>
      </w:r>
      <w:r w:rsidR="003836D7">
        <w:t xml:space="preserve">or potential messages </w:t>
      </w:r>
      <w:r>
        <w:t>that will allow full automation of cash processing for the buy-side, custodians, and fund administrators.</w:t>
      </w:r>
    </w:p>
    <w:p w:rsidR="008F7250" w:rsidRDefault="008F7250" w:rsidP="00F84134">
      <w:pPr>
        <w:ind w:left="142" w:right="60"/>
        <w:jc w:val="both"/>
      </w:pPr>
    </w:p>
    <w:p w:rsidR="00667E82" w:rsidRDefault="00667E82">
      <w:pPr>
        <w:spacing w:before="0"/>
        <w:ind w:left="0" w:right="0"/>
        <w:rPr>
          <w:rFonts w:cs="Arial"/>
          <w:b/>
          <w:color w:val="7E6F62"/>
          <w:kern w:val="28"/>
          <w:sz w:val="24"/>
          <w:szCs w:val="24"/>
        </w:rPr>
      </w:pPr>
      <w:r>
        <w:br w:type="page"/>
      </w:r>
    </w:p>
    <w:p w:rsidR="00392BF9" w:rsidRDefault="008F7250" w:rsidP="00874D7A">
      <w:pPr>
        <w:pStyle w:val="Heading1"/>
        <w:numPr>
          <w:ilvl w:val="0"/>
          <w:numId w:val="4"/>
        </w:numPr>
        <w:tabs>
          <w:tab w:val="clear" w:pos="1152"/>
          <w:tab w:val="num" w:pos="709"/>
        </w:tabs>
        <w:ind w:left="709"/>
      </w:pPr>
      <w:bookmarkStart w:id="24" w:name="_Toc340670941"/>
      <w:r w:rsidRPr="00E17202">
        <w:lastRenderedPageBreak/>
        <w:t>Foreign Exchange</w:t>
      </w:r>
      <w:bookmarkEnd w:id="24"/>
    </w:p>
    <w:p w:rsidR="00392BF9" w:rsidRDefault="008F7250" w:rsidP="00874D7A">
      <w:pPr>
        <w:pStyle w:val="Heading2"/>
        <w:numPr>
          <w:ilvl w:val="1"/>
          <w:numId w:val="4"/>
        </w:numPr>
        <w:tabs>
          <w:tab w:val="clear" w:pos="1296"/>
          <w:tab w:val="num" w:pos="709"/>
        </w:tabs>
        <w:spacing w:before="300" w:after="60"/>
        <w:ind w:left="709" w:right="0"/>
      </w:pPr>
      <w:bookmarkStart w:id="25" w:name="_Toc340670942"/>
      <w:r>
        <w:t>Business overview</w:t>
      </w:r>
      <w:bookmarkEnd w:id="25"/>
    </w:p>
    <w:p w:rsidR="00FA35FD" w:rsidRPr="00FA35FD" w:rsidRDefault="00FA35FD" w:rsidP="00FA35FD">
      <w:r>
        <w:rPr>
          <w:noProof/>
          <w:lang w:eastAsia="en-GB"/>
        </w:rPr>
        <w:drawing>
          <wp:anchor distT="0" distB="0" distL="114300" distR="114300" simplePos="0" relativeHeight="251680256" behindDoc="1" locked="0" layoutInCell="1" allowOverlap="1" wp14:anchorId="3E46C4A4" wp14:editId="3BF292F5">
            <wp:simplePos x="0" y="0"/>
            <wp:positionH relativeFrom="column">
              <wp:align>center</wp:align>
            </wp:positionH>
            <wp:positionV relativeFrom="paragraph">
              <wp:posOffset>234950</wp:posOffset>
            </wp:positionV>
            <wp:extent cx="7378065" cy="381000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7378065" cy="3810000"/>
                    </a:xfrm>
                    <a:prstGeom prst="rect">
                      <a:avLst/>
                    </a:prstGeom>
                    <a:noFill/>
                    <a:ln w="9525">
                      <a:noFill/>
                      <a:miter lim="800000"/>
                      <a:headEnd/>
                      <a:tailEnd/>
                    </a:ln>
                  </pic:spPr>
                </pic:pic>
              </a:graphicData>
            </a:graphic>
          </wp:anchor>
        </w:drawing>
      </w:r>
    </w:p>
    <w:p w:rsidR="0013420B" w:rsidRPr="00603BAA" w:rsidRDefault="0013420B" w:rsidP="00D10AD6">
      <w:pPr>
        <w:ind w:left="0"/>
      </w:pPr>
    </w:p>
    <w:p w:rsidR="008F7250" w:rsidRDefault="008F7250" w:rsidP="00737464">
      <w:pPr>
        <w:ind w:left="0" w:right="60"/>
        <w:jc w:val="both"/>
      </w:pPr>
      <w:r>
        <w:t xml:space="preserve">The foreign exchange business and process flow covers pre-trade, trade, post-trade, clearing/pre-settlement and settlement processes where two dealing parties, for example, foreign exchange dealers, investment managers, banks, custodians, </w:t>
      </w:r>
      <w:r w:rsidR="00E62FC1">
        <w:t>corporations</w:t>
      </w:r>
      <w:r>
        <w:t>, central banks, amongst others may play various roles in any individual step of the process.</w:t>
      </w:r>
    </w:p>
    <w:p w:rsidR="008F7250" w:rsidRDefault="008F7250" w:rsidP="00737464">
      <w:pPr>
        <w:ind w:left="0" w:right="60"/>
        <w:jc w:val="both"/>
        <w:rPr>
          <w:b/>
          <w:lang w:eastAsia="en-GB"/>
        </w:rPr>
      </w:pPr>
    </w:p>
    <w:p w:rsidR="008F7250" w:rsidRPr="002A4469" w:rsidRDefault="008F7250" w:rsidP="00737464">
      <w:pPr>
        <w:ind w:left="0" w:right="60"/>
        <w:jc w:val="both"/>
        <w:rPr>
          <w:b/>
          <w:lang w:eastAsia="en-GB"/>
        </w:rPr>
      </w:pPr>
      <w:r w:rsidRPr="002A4469">
        <w:rPr>
          <w:b/>
          <w:lang w:eastAsia="en-GB"/>
        </w:rPr>
        <w:t>Pre-trade</w:t>
      </w:r>
    </w:p>
    <w:p w:rsidR="008F7250" w:rsidRPr="00E17202" w:rsidRDefault="008F7250" w:rsidP="00737464">
      <w:pPr>
        <w:ind w:left="0" w:right="60"/>
        <w:jc w:val="both"/>
      </w:pPr>
      <w:r>
        <w:lastRenderedPageBreak/>
        <w:t>T</w:t>
      </w:r>
      <w:r w:rsidRPr="00E17202">
        <w:t xml:space="preserve">he </w:t>
      </w:r>
      <w:r>
        <w:t xml:space="preserve">pre-trade area of the foreign exchange business includes business </w:t>
      </w:r>
      <w:r w:rsidRPr="00E17202">
        <w:t>flows prior to the placement of an order</w:t>
      </w:r>
      <w:r>
        <w:t xml:space="preserve">, for example, a financial institution or </w:t>
      </w:r>
      <w:r w:rsidR="00E62FC1">
        <w:t>corporation</w:t>
      </w:r>
      <w:r>
        <w:t xml:space="preserve"> is searching </w:t>
      </w:r>
      <w:r w:rsidRPr="00E17202">
        <w:t xml:space="preserve">for quotes to </w:t>
      </w:r>
      <w:r>
        <w:t>exchange one currency for another and provides an indication of interest for a specific quote to a foreign exchange dealer, bank or other financial institution.</w:t>
      </w:r>
    </w:p>
    <w:p w:rsidR="008F7250" w:rsidRDefault="008F7250" w:rsidP="00737464">
      <w:pPr>
        <w:ind w:left="0" w:right="60"/>
        <w:jc w:val="both"/>
        <w:rPr>
          <w:b/>
          <w:lang w:eastAsia="en-GB"/>
        </w:rPr>
      </w:pPr>
    </w:p>
    <w:p w:rsidR="008F7250" w:rsidRDefault="008F7250" w:rsidP="00737464">
      <w:pPr>
        <w:ind w:left="0" w:right="60"/>
        <w:jc w:val="both"/>
        <w:rPr>
          <w:b/>
          <w:lang w:eastAsia="en-GB"/>
        </w:rPr>
      </w:pPr>
      <w:r>
        <w:rPr>
          <w:b/>
          <w:lang w:eastAsia="en-GB"/>
        </w:rPr>
        <w:t>Trade</w:t>
      </w:r>
    </w:p>
    <w:p w:rsidR="008F7250" w:rsidRPr="00E17202" w:rsidRDefault="008F7250" w:rsidP="00737464">
      <w:pPr>
        <w:ind w:left="0" w:right="60"/>
        <w:jc w:val="both"/>
      </w:pPr>
      <w:r w:rsidRPr="00E17202">
        <w:t xml:space="preserve">The </w:t>
      </w:r>
      <w:r>
        <w:t>t</w:t>
      </w:r>
      <w:r w:rsidRPr="00E17202">
        <w:t xml:space="preserve">rade </w:t>
      </w:r>
      <w:r>
        <w:t>area of the foreign exchange business</w:t>
      </w:r>
      <w:r w:rsidRPr="00E17202">
        <w:t xml:space="preserve"> </w:t>
      </w:r>
      <w:r>
        <w:t>includes the</w:t>
      </w:r>
      <w:r w:rsidRPr="00E17202">
        <w:t xml:space="preserve"> placement or amendment of orders</w:t>
      </w:r>
      <w:r>
        <w:t xml:space="preserve"> as well as their agreement, matching and execution and the </w:t>
      </w:r>
      <w:r w:rsidRPr="00E17202">
        <w:t>communication of results and status</w:t>
      </w:r>
      <w:r>
        <w:t>es</w:t>
      </w:r>
      <w:r w:rsidRPr="00E17202">
        <w:t>.</w:t>
      </w:r>
      <w:r>
        <w:t xml:space="preserve"> It may also include p</w:t>
      </w:r>
      <w:r w:rsidRPr="00E17202">
        <w:t>re-</w:t>
      </w:r>
      <w:r>
        <w:t>a</w:t>
      </w:r>
      <w:r w:rsidRPr="00E17202">
        <w:t>llocation</w:t>
      </w:r>
      <w:r>
        <w:t>s</w:t>
      </w:r>
      <w:r w:rsidRPr="00E17202">
        <w:t xml:space="preserve"> </w:t>
      </w:r>
      <w:r>
        <w:t>(if investment managers are involved) and o</w:t>
      </w:r>
      <w:r w:rsidRPr="00E17202">
        <w:t>rder</w:t>
      </w:r>
      <w:r>
        <w:t xml:space="preserve"> b</w:t>
      </w:r>
      <w:r w:rsidRPr="00E17202">
        <w:t>ook reconciliation</w:t>
      </w:r>
      <w:r>
        <w:t>.</w:t>
      </w:r>
    </w:p>
    <w:p w:rsidR="008F7250" w:rsidRDefault="008F7250" w:rsidP="00BF737F">
      <w:pPr>
        <w:ind w:left="142" w:right="60"/>
        <w:jc w:val="both"/>
        <w:rPr>
          <w:b/>
        </w:rPr>
      </w:pPr>
    </w:p>
    <w:p w:rsidR="008F7250" w:rsidRPr="00A83ADD" w:rsidRDefault="008F7250" w:rsidP="00737464">
      <w:pPr>
        <w:ind w:left="0" w:right="60"/>
        <w:jc w:val="both"/>
        <w:rPr>
          <w:b/>
        </w:rPr>
      </w:pPr>
      <w:r w:rsidRPr="00A83ADD">
        <w:rPr>
          <w:b/>
        </w:rPr>
        <w:t>Post-trade</w:t>
      </w:r>
    </w:p>
    <w:p w:rsidR="008F7250" w:rsidRDefault="008F7250" w:rsidP="00737464">
      <w:pPr>
        <w:ind w:left="0" w:right="60"/>
        <w:jc w:val="both"/>
      </w:pPr>
      <w:r w:rsidRPr="00E17202">
        <w:t xml:space="preserve">The </w:t>
      </w:r>
      <w:r>
        <w:t>p</w:t>
      </w:r>
      <w:r w:rsidRPr="00E17202">
        <w:t xml:space="preserve">ost-trade </w:t>
      </w:r>
      <w:r>
        <w:t xml:space="preserve">area of the foreign exchange business </w:t>
      </w:r>
      <w:r w:rsidRPr="00E17202">
        <w:t xml:space="preserve">covers all activities performed </w:t>
      </w:r>
      <w:r>
        <w:t>once</w:t>
      </w:r>
      <w:r w:rsidRPr="00E17202">
        <w:t xml:space="preserve"> </w:t>
      </w:r>
      <w:r>
        <w:t>a</w:t>
      </w:r>
      <w:r w:rsidRPr="00E17202">
        <w:t xml:space="preserve"> trade has been executed</w:t>
      </w:r>
      <w:r>
        <w:t>, such as matching, a</w:t>
      </w:r>
      <w:r w:rsidRPr="00E17202">
        <w:t>llocation</w:t>
      </w:r>
      <w:r>
        <w:t xml:space="preserve"> (if investment managers are involved), c</w:t>
      </w:r>
      <w:r w:rsidRPr="00E17202">
        <w:t>onfirmation</w:t>
      </w:r>
      <w:r>
        <w:t xml:space="preserve"> and</w:t>
      </w:r>
      <w:r w:rsidRPr="00E17202">
        <w:t xml:space="preserve"> affirmation</w:t>
      </w:r>
      <w:r>
        <w:t>.</w:t>
      </w:r>
    </w:p>
    <w:p w:rsidR="008F7250" w:rsidRDefault="008F7250" w:rsidP="00BF737F">
      <w:pPr>
        <w:ind w:left="142" w:right="60"/>
        <w:jc w:val="both"/>
        <w:rPr>
          <w:b/>
        </w:rPr>
      </w:pPr>
    </w:p>
    <w:p w:rsidR="008F7250" w:rsidRPr="00A83ADD" w:rsidRDefault="008F7250" w:rsidP="00737464">
      <w:pPr>
        <w:ind w:left="0" w:right="60"/>
        <w:jc w:val="both"/>
        <w:rPr>
          <w:b/>
        </w:rPr>
      </w:pPr>
      <w:r w:rsidRPr="00A83ADD">
        <w:rPr>
          <w:b/>
        </w:rPr>
        <w:t>Clearing / Pre-settlement</w:t>
      </w:r>
    </w:p>
    <w:p w:rsidR="008F7250" w:rsidRDefault="008F7250" w:rsidP="00737464">
      <w:pPr>
        <w:ind w:left="0" w:right="60"/>
        <w:jc w:val="both"/>
      </w:pPr>
      <w:r w:rsidRPr="00954291">
        <w:t xml:space="preserve">The </w:t>
      </w:r>
      <w:r>
        <w:t>c</w:t>
      </w:r>
      <w:r w:rsidRPr="00954291">
        <w:t xml:space="preserve">learing </w:t>
      </w:r>
      <w:r>
        <w:t>/</w:t>
      </w:r>
      <w:r w:rsidRPr="00954291">
        <w:t xml:space="preserve"> </w:t>
      </w:r>
      <w:r>
        <w:t>p</w:t>
      </w:r>
      <w:r w:rsidRPr="00954291">
        <w:t xml:space="preserve">re-settlement area contains processes such as netting, risk management, </w:t>
      </w:r>
      <w:r>
        <w:t>regulatory reporting, etc</w:t>
      </w:r>
      <w:r w:rsidRPr="00954291">
        <w:t>.</w:t>
      </w:r>
    </w:p>
    <w:p w:rsidR="008F7250" w:rsidRDefault="008F7250" w:rsidP="00BF737F">
      <w:pPr>
        <w:ind w:left="142" w:right="60"/>
        <w:jc w:val="both"/>
        <w:rPr>
          <w:b/>
          <w:lang w:eastAsia="en-GB"/>
        </w:rPr>
      </w:pPr>
    </w:p>
    <w:p w:rsidR="008F7250" w:rsidRPr="002A4469" w:rsidRDefault="008F7250" w:rsidP="00737464">
      <w:pPr>
        <w:ind w:left="0" w:right="60"/>
        <w:jc w:val="both"/>
        <w:rPr>
          <w:b/>
          <w:lang w:eastAsia="en-GB"/>
        </w:rPr>
      </w:pPr>
      <w:r w:rsidRPr="002A4469">
        <w:rPr>
          <w:b/>
          <w:lang w:eastAsia="en-GB"/>
        </w:rPr>
        <w:t>Settlement</w:t>
      </w:r>
    </w:p>
    <w:p w:rsidR="008F7250" w:rsidRDefault="008F7250" w:rsidP="00737464">
      <w:pPr>
        <w:ind w:left="0" w:right="60"/>
        <w:jc w:val="both"/>
      </w:pPr>
      <w:r>
        <w:t>Settlement takes place when the currencies are exchanged between the trading parties. This can happen on a gross basis (through normal payment channels), on a net basis (bilateral or multilateral netting between parties) or through CLS Bank on a continuous linked settlement basis.</w:t>
      </w:r>
    </w:p>
    <w:p w:rsidR="008F7250" w:rsidRDefault="008F7250">
      <w:pPr>
        <w:spacing w:before="0"/>
        <w:ind w:left="0" w:right="0"/>
        <w:rPr>
          <w:b/>
        </w:rPr>
      </w:pPr>
      <w:r>
        <w:br w:type="page"/>
      </w:r>
    </w:p>
    <w:p w:rsidR="00392BF9" w:rsidRDefault="000E706E">
      <w:pPr>
        <w:pStyle w:val="Heading2"/>
        <w:numPr>
          <w:ilvl w:val="1"/>
          <w:numId w:val="4"/>
        </w:numPr>
        <w:tabs>
          <w:tab w:val="num" w:pos="780"/>
        </w:tabs>
        <w:spacing w:before="300" w:after="60"/>
        <w:ind w:left="780" w:right="0" w:hanging="720"/>
      </w:pPr>
      <w:bookmarkStart w:id="26" w:name="_Toc340670943"/>
      <w:r>
        <w:lastRenderedPageBreak/>
        <w:t>High-level</w:t>
      </w:r>
      <w:r w:rsidR="008F7250">
        <w:t xml:space="preserve"> standards landscape</w:t>
      </w:r>
      <w:bookmarkEnd w:id="26"/>
    </w:p>
    <w:p w:rsidR="00DC4B5F" w:rsidRDefault="00DC4B5F" w:rsidP="008A3AFA"/>
    <w:p w:rsidR="008F7250" w:rsidRDefault="00DC4B5F" w:rsidP="00DC4B5F">
      <w:pPr>
        <w:ind w:left="360"/>
      </w:pPr>
      <w:r>
        <w:rPr>
          <w:noProof/>
          <w:lang w:eastAsia="en-GB"/>
        </w:rPr>
        <w:drawing>
          <wp:inline distT="0" distB="0" distL="0" distR="0" wp14:anchorId="63FC9BF7" wp14:editId="6CF84033">
            <wp:extent cx="7910623" cy="245251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910623" cy="2452517"/>
                    </a:xfrm>
                    <a:prstGeom prst="rect">
                      <a:avLst/>
                    </a:prstGeom>
                  </pic:spPr>
                </pic:pic>
              </a:graphicData>
            </a:graphic>
          </wp:inline>
        </w:drawing>
      </w:r>
    </w:p>
    <w:p w:rsidR="00392BF9" w:rsidRDefault="008F7250">
      <w:pPr>
        <w:pStyle w:val="Heading2"/>
        <w:numPr>
          <w:ilvl w:val="1"/>
          <w:numId w:val="4"/>
        </w:numPr>
        <w:tabs>
          <w:tab w:val="num" w:pos="780"/>
        </w:tabs>
        <w:spacing w:before="300" w:after="60"/>
        <w:ind w:left="780" w:right="0" w:hanging="720"/>
      </w:pPr>
      <w:bookmarkStart w:id="27" w:name="_Toc340670944"/>
      <w:r>
        <w:t>Detailed standards landscape</w:t>
      </w:r>
      <w:bookmarkEnd w:id="27"/>
    </w:p>
    <w:p w:rsidR="00F57630" w:rsidRPr="00F57630" w:rsidRDefault="00F57630" w:rsidP="00F5763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778"/>
        <w:gridCol w:w="3778"/>
        <w:gridCol w:w="3779"/>
      </w:tblGrid>
      <w:tr w:rsidR="00F57630" w:rsidRPr="001D5EB7" w:rsidTr="00091848">
        <w:trPr>
          <w:cantSplit/>
          <w:tblHeader/>
        </w:trPr>
        <w:tc>
          <w:tcPr>
            <w:tcW w:w="1276" w:type="dxa"/>
          </w:tcPr>
          <w:p w:rsidR="00F57630" w:rsidRPr="001D5EB7" w:rsidRDefault="00F57630" w:rsidP="00091848">
            <w:pPr>
              <w:ind w:left="0" w:right="0"/>
              <w:rPr>
                <w:b/>
              </w:rPr>
            </w:pPr>
            <w:r>
              <w:rPr>
                <w:b/>
              </w:rPr>
              <w:t>Process Area</w:t>
            </w:r>
          </w:p>
        </w:tc>
        <w:tc>
          <w:tcPr>
            <w:tcW w:w="3778" w:type="dxa"/>
          </w:tcPr>
          <w:p w:rsidR="00F57630" w:rsidRPr="001D5EB7" w:rsidRDefault="00F57630" w:rsidP="00091848">
            <w:pPr>
              <w:ind w:left="0" w:right="127"/>
              <w:rPr>
                <w:b/>
              </w:rPr>
            </w:pPr>
            <w:r w:rsidRPr="001D5EB7">
              <w:rPr>
                <w:b/>
              </w:rPr>
              <w:t xml:space="preserve">Availability of </w:t>
            </w:r>
            <w:r>
              <w:rPr>
                <w:b/>
              </w:rPr>
              <w:t xml:space="preserve">MT, </w:t>
            </w:r>
            <w:r w:rsidRPr="001D5EB7">
              <w:rPr>
                <w:b/>
              </w:rPr>
              <w:t xml:space="preserve">ISO 15022 </w:t>
            </w:r>
            <w:r>
              <w:rPr>
                <w:b/>
              </w:rPr>
              <w:t>and ISO 20022</w:t>
            </w:r>
          </w:p>
        </w:tc>
        <w:tc>
          <w:tcPr>
            <w:tcW w:w="3778" w:type="dxa"/>
          </w:tcPr>
          <w:p w:rsidR="00F57630" w:rsidRPr="001D5EB7" w:rsidRDefault="00F57630" w:rsidP="00091848">
            <w:pPr>
              <w:ind w:left="0" w:right="127"/>
              <w:rPr>
                <w:b/>
              </w:rPr>
            </w:pPr>
            <w:r w:rsidRPr="001D5EB7">
              <w:rPr>
                <w:b/>
              </w:rPr>
              <w:t>Availability of other standards</w:t>
            </w:r>
          </w:p>
        </w:tc>
        <w:tc>
          <w:tcPr>
            <w:tcW w:w="3779" w:type="dxa"/>
          </w:tcPr>
          <w:p w:rsidR="00F57630" w:rsidRPr="001D5EB7" w:rsidRDefault="00F57630" w:rsidP="00091848">
            <w:pPr>
              <w:ind w:left="0" w:right="127"/>
              <w:rPr>
                <w:b/>
              </w:rPr>
            </w:pPr>
            <w:proofErr w:type="spellStart"/>
            <w:r w:rsidRPr="001D5EB7">
              <w:rPr>
                <w:b/>
              </w:rPr>
              <w:t>Ongoing</w:t>
            </w:r>
            <w:proofErr w:type="spellEnd"/>
            <w:r w:rsidRPr="001D5EB7">
              <w:rPr>
                <w:b/>
              </w:rPr>
              <w:t xml:space="preserve"> &amp; planned activities Opportunities</w:t>
            </w:r>
          </w:p>
        </w:tc>
      </w:tr>
      <w:tr w:rsidR="00F57630" w:rsidRPr="001D5EB7" w:rsidTr="00091848">
        <w:trPr>
          <w:cantSplit/>
        </w:trPr>
        <w:tc>
          <w:tcPr>
            <w:tcW w:w="1276" w:type="dxa"/>
          </w:tcPr>
          <w:p w:rsidR="00F57630" w:rsidRPr="001D5EB7" w:rsidRDefault="00F57630" w:rsidP="00091848">
            <w:pPr>
              <w:ind w:left="0" w:right="0"/>
              <w:rPr>
                <w:b/>
              </w:rPr>
            </w:pPr>
            <w:r w:rsidRPr="001D5EB7">
              <w:rPr>
                <w:b/>
              </w:rPr>
              <w:t>Pre-trade</w:t>
            </w:r>
          </w:p>
        </w:tc>
        <w:tc>
          <w:tcPr>
            <w:tcW w:w="3778" w:type="dxa"/>
          </w:tcPr>
          <w:p w:rsidR="00F57630" w:rsidRPr="00BF737F" w:rsidRDefault="00F57630" w:rsidP="00091848">
            <w:pPr>
              <w:ind w:left="0" w:right="127"/>
            </w:pPr>
            <w:r w:rsidRPr="00BF737F">
              <w:t>None.</w:t>
            </w:r>
          </w:p>
        </w:tc>
        <w:tc>
          <w:tcPr>
            <w:tcW w:w="3778" w:type="dxa"/>
          </w:tcPr>
          <w:p w:rsidR="00F57630" w:rsidRPr="00BF737F" w:rsidRDefault="00F57630" w:rsidP="00091848">
            <w:pPr>
              <w:ind w:left="0" w:right="127"/>
            </w:pPr>
            <w:r w:rsidRPr="00BF737F">
              <w:t xml:space="preserve">A series of proprietary standards for quoting of foreign exchange rates, </w:t>
            </w:r>
            <w:r>
              <w:t>for example,</w:t>
            </w:r>
            <w:r w:rsidRPr="00BF737F">
              <w:t xml:space="preserve"> the US Fed, ECB, Bloomberg, Reuters, FIX</w:t>
            </w:r>
            <w:r>
              <w:t>,</w:t>
            </w:r>
            <w:r w:rsidRPr="00BF737F">
              <w:t xml:space="preserve"> exist in the pre-trade space for FX. </w:t>
            </w:r>
          </w:p>
        </w:tc>
        <w:tc>
          <w:tcPr>
            <w:tcW w:w="3779" w:type="dxa"/>
          </w:tcPr>
          <w:p w:rsidR="00F57630" w:rsidRPr="00BF737F" w:rsidRDefault="00F57630" w:rsidP="00091848">
            <w:pPr>
              <w:ind w:left="0" w:right="127"/>
              <w:rPr>
                <w:lang w:eastAsia="en-GB"/>
              </w:rPr>
            </w:pPr>
            <w:r w:rsidRPr="00BF737F">
              <w:rPr>
                <w:lang w:eastAsia="en-GB"/>
              </w:rPr>
              <w:t>This process is very often not automated and is usually executed through an electronic trading platform.</w:t>
            </w:r>
          </w:p>
          <w:p w:rsidR="00F57630" w:rsidRDefault="00F57630" w:rsidP="00091848">
            <w:pPr>
              <w:ind w:left="0" w:right="127"/>
            </w:pPr>
            <w:r>
              <w:t>Opportunity to a</w:t>
            </w:r>
            <w:r w:rsidRPr="00BF737F">
              <w:t xml:space="preserve">nalyse the need for ISO standards for pre-trade advertisements, </w:t>
            </w:r>
            <w:r>
              <w:t>indications of interest (</w:t>
            </w:r>
            <w:r w:rsidRPr="00BF737F">
              <w:t>IOIs</w:t>
            </w:r>
            <w:r>
              <w:t>)</w:t>
            </w:r>
            <w:r w:rsidRPr="00BF737F">
              <w:t xml:space="preserve"> and quotes of foreign exchange rates.</w:t>
            </w:r>
          </w:p>
        </w:tc>
      </w:tr>
      <w:tr w:rsidR="00F57630" w:rsidRPr="001D5EB7" w:rsidTr="00091848">
        <w:trPr>
          <w:cantSplit/>
        </w:trPr>
        <w:tc>
          <w:tcPr>
            <w:tcW w:w="1276" w:type="dxa"/>
          </w:tcPr>
          <w:p w:rsidR="00F57630" w:rsidRPr="001D5EB7" w:rsidRDefault="00F57630" w:rsidP="00091848">
            <w:pPr>
              <w:ind w:left="0" w:right="0"/>
              <w:rPr>
                <w:b/>
              </w:rPr>
            </w:pPr>
            <w:r w:rsidRPr="001D5EB7">
              <w:rPr>
                <w:b/>
              </w:rPr>
              <w:lastRenderedPageBreak/>
              <w:t>Trade</w:t>
            </w:r>
          </w:p>
        </w:tc>
        <w:tc>
          <w:tcPr>
            <w:tcW w:w="3778" w:type="dxa"/>
          </w:tcPr>
          <w:p w:rsidR="00F57630" w:rsidRPr="00BF737F" w:rsidRDefault="00F57630" w:rsidP="00091848">
            <w:pPr>
              <w:ind w:left="0" w:right="127"/>
            </w:pPr>
            <w:r w:rsidRPr="00BF737F">
              <w:t xml:space="preserve">Some </w:t>
            </w:r>
            <w:r>
              <w:t xml:space="preserve">MT </w:t>
            </w:r>
            <w:r w:rsidRPr="00BF737F">
              <w:t xml:space="preserve">coverage </w:t>
            </w:r>
            <w:r>
              <w:t>for orders and trade execution</w:t>
            </w:r>
            <w:r w:rsidRPr="00BF737F">
              <w:t>/notification</w:t>
            </w:r>
            <w:r>
              <w:t xml:space="preserve"> but very low usage</w:t>
            </w:r>
            <w:r w:rsidRPr="00BF737F">
              <w:t>.</w:t>
            </w:r>
          </w:p>
          <w:p w:rsidR="00F57630" w:rsidRPr="00BF737F" w:rsidRDefault="00F57630" w:rsidP="00091848">
            <w:pPr>
              <w:ind w:left="0" w:right="127"/>
            </w:pPr>
          </w:p>
        </w:tc>
        <w:tc>
          <w:tcPr>
            <w:tcW w:w="3778" w:type="dxa"/>
          </w:tcPr>
          <w:p w:rsidR="00F57630" w:rsidRPr="00BF737F" w:rsidRDefault="00F57630" w:rsidP="00091848">
            <w:pPr>
              <w:ind w:left="0" w:right="127"/>
            </w:pPr>
            <w:r w:rsidRPr="00BF737F">
              <w:t>T</w:t>
            </w:r>
            <w:r>
              <w:t>WIST</w:t>
            </w:r>
            <w:r w:rsidRPr="00BF737F">
              <w:t xml:space="preserve">, IFX, FIX and </w:t>
            </w:r>
            <w:proofErr w:type="spellStart"/>
            <w:r w:rsidRPr="00BF737F">
              <w:t>FpML</w:t>
            </w:r>
            <w:proofErr w:type="spellEnd"/>
            <w:r w:rsidRPr="00BF737F">
              <w:t xml:space="preserve"> all have limited coverage in this area.  Additional proprietary standards exist for trade activity, </w:t>
            </w:r>
            <w:r>
              <w:t>for example,</w:t>
            </w:r>
            <w:r w:rsidRPr="00BF737F">
              <w:t xml:space="preserve"> Bloomberg, Reuters, etc.</w:t>
            </w:r>
          </w:p>
        </w:tc>
        <w:tc>
          <w:tcPr>
            <w:tcW w:w="3779" w:type="dxa"/>
          </w:tcPr>
          <w:p w:rsidR="00BC326E" w:rsidRDefault="00F57630" w:rsidP="00BC326E">
            <w:pPr>
              <w:ind w:left="0" w:right="127"/>
            </w:pPr>
            <w:r w:rsidRPr="00BF737F">
              <w:rPr>
                <w:lang w:eastAsia="en-GB"/>
              </w:rPr>
              <w:t xml:space="preserve">Parties can currently exchange trade data using any number of protocols or syntaxes. The process remains heavily focused on a manual environment, meaning that trading parties manually enter and confirm trades via </w:t>
            </w:r>
            <w:r>
              <w:rPr>
                <w:lang w:eastAsia="en-GB"/>
              </w:rPr>
              <w:t>one or more user interfaces</w:t>
            </w:r>
            <w:r w:rsidRPr="00BF737F">
              <w:rPr>
                <w:lang w:eastAsia="en-GB"/>
              </w:rPr>
              <w:t xml:space="preserve"> – mainly dependent upon which trading platform(s) they use with specific counterparties.</w:t>
            </w:r>
          </w:p>
        </w:tc>
      </w:tr>
      <w:tr w:rsidR="00F57630" w:rsidRPr="00BF737F" w:rsidTr="00091848">
        <w:trPr>
          <w:cantSplit/>
        </w:trPr>
        <w:tc>
          <w:tcPr>
            <w:tcW w:w="1276" w:type="dxa"/>
          </w:tcPr>
          <w:p w:rsidR="00F57630" w:rsidRPr="00BF737F" w:rsidRDefault="00F57630" w:rsidP="00091848">
            <w:pPr>
              <w:ind w:left="0" w:right="0"/>
              <w:rPr>
                <w:b/>
              </w:rPr>
            </w:pPr>
            <w:r w:rsidRPr="00BF737F">
              <w:rPr>
                <w:b/>
              </w:rPr>
              <w:t>Post-trade</w:t>
            </w:r>
          </w:p>
        </w:tc>
        <w:tc>
          <w:tcPr>
            <w:tcW w:w="3778" w:type="dxa"/>
          </w:tcPr>
          <w:p w:rsidR="00F57630" w:rsidRPr="00BF737F" w:rsidRDefault="00F57630" w:rsidP="00D2761E">
            <w:pPr>
              <w:ind w:left="0" w:right="127"/>
            </w:pPr>
            <w:r w:rsidRPr="00BF737F">
              <w:t xml:space="preserve">Some coverage in the confirmation space using </w:t>
            </w:r>
            <w:r w:rsidR="00D2761E">
              <w:t>C</w:t>
            </w:r>
            <w:r w:rsidRPr="00BF737F">
              <w:t>ategory 3 messages.</w:t>
            </w:r>
          </w:p>
        </w:tc>
        <w:tc>
          <w:tcPr>
            <w:tcW w:w="3778" w:type="dxa"/>
          </w:tcPr>
          <w:p w:rsidR="00E3229D" w:rsidRDefault="00F57630" w:rsidP="00091848">
            <w:pPr>
              <w:ind w:left="0" w:right="127"/>
            </w:pPr>
            <w:proofErr w:type="spellStart"/>
            <w:r w:rsidRPr="00BF737F">
              <w:t>FpML</w:t>
            </w:r>
            <w:proofErr w:type="spellEnd"/>
            <w:r w:rsidRPr="00BF737F">
              <w:t xml:space="preserve"> has some coverage in the FX post-trade area, mainly concentrating on FX derivatives. </w:t>
            </w:r>
            <w:proofErr w:type="spellStart"/>
            <w:r w:rsidR="00E3229D">
              <w:t>FpML</w:t>
            </w:r>
            <w:proofErr w:type="spellEnd"/>
            <w:r w:rsidR="00E3229D">
              <w:t xml:space="preserve"> is also becoming increasingly important for reporting to trade repositories.</w:t>
            </w:r>
          </w:p>
          <w:p w:rsidR="00F57630" w:rsidRPr="00BF737F" w:rsidRDefault="00F57630" w:rsidP="00091848">
            <w:pPr>
              <w:ind w:left="0" w:right="127"/>
            </w:pPr>
            <w:r w:rsidRPr="00BF737F">
              <w:t xml:space="preserve">FIX has limited coverage for confirmation, allocation and matching. </w:t>
            </w:r>
          </w:p>
        </w:tc>
        <w:tc>
          <w:tcPr>
            <w:tcW w:w="3779" w:type="dxa"/>
          </w:tcPr>
          <w:p w:rsidR="00F57630" w:rsidRPr="00BF737F" w:rsidRDefault="00F57630" w:rsidP="00091848">
            <w:pPr>
              <w:ind w:left="0" w:right="127"/>
              <w:rPr>
                <w:lang w:eastAsia="en-GB"/>
              </w:rPr>
            </w:pPr>
            <w:r w:rsidRPr="00BF737F">
              <w:rPr>
                <w:lang w:eastAsia="en-GB"/>
              </w:rPr>
              <w:t xml:space="preserve">Parties can currently exchange post-trade data using any number of protocols or syntaxes. </w:t>
            </w:r>
          </w:p>
          <w:p w:rsidR="00F203B1" w:rsidRPr="00BF737F" w:rsidRDefault="00E32425" w:rsidP="00E32425">
            <w:pPr>
              <w:ind w:left="0" w:right="127"/>
            </w:pPr>
            <w:r>
              <w:rPr>
                <w:lang w:eastAsia="en-GB"/>
              </w:rPr>
              <w:t>N</w:t>
            </w:r>
            <w:r w:rsidR="00F203B1" w:rsidRPr="00E32425">
              <w:rPr>
                <w:lang w:eastAsia="en-GB"/>
              </w:rPr>
              <w:t xml:space="preserve">ew fields have been </w:t>
            </w:r>
            <w:r>
              <w:rPr>
                <w:lang w:eastAsia="en-GB"/>
              </w:rPr>
              <w:t>added to some Category 3 MTs</w:t>
            </w:r>
            <w:r w:rsidR="00F203B1" w:rsidRPr="00E32425">
              <w:rPr>
                <w:lang w:eastAsia="en-GB"/>
              </w:rPr>
              <w:t xml:space="preserve"> to address the </w:t>
            </w:r>
            <w:r>
              <w:rPr>
                <w:lang w:eastAsia="en-GB"/>
              </w:rPr>
              <w:t>r</w:t>
            </w:r>
            <w:r w:rsidR="00F203B1" w:rsidRPr="00E32425">
              <w:rPr>
                <w:lang w:eastAsia="en-GB"/>
              </w:rPr>
              <w:t xml:space="preserve">egulatory </w:t>
            </w:r>
            <w:r>
              <w:rPr>
                <w:lang w:eastAsia="en-GB"/>
              </w:rPr>
              <w:t>r</w:t>
            </w:r>
            <w:r w:rsidR="00F203B1" w:rsidRPr="00E32425">
              <w:rPr>
                <w:lang w:eastAsia="en-GB"/>
              </w:rPr>
              <w:t xml:space="preserve">eporting requirements stemming from Dodd-Frank and ESMA legislation. These changes </w:t>
            </w:r>
            <w:r>
              <w:rPr>
                <w:lang w:eastAsia="en-GB"/>
              </w:rPr>
              <w:t xml:space="preserve">will go live in November </w:t>
            </w:r>
            <w:r w:rsidR="00F203B1" w:rsidRPr="00E32425">
              <w:rPr>
                <w:lang w:eastAsia="en-GB"/>
              </w:rPr>
              <w:t>2013</w:t>
            </w:r>
            <w:r>
              <w:rPr>
                <w:lang w:eastAsia="en-GB"/>
              </w:rPr>
              <w:t xml:space="preserve"> and entail that the MTs can then also be used for reporting to trade repositories</w:t>
            </w:r>
            <w:r w:rsidR="00F203B1" w:rsidRPr="00E32425">
              <w:rPr>
                <w:lang w:eastAsia="en-GB"/>
              </w:rPr>
              <w:t>.</w:t>
            </w:r>
          </w:p>
        </w:tc>
      </w:tr>
      <w:tr w:rsidR="00F57630" w:rsidRPr="00BF737F" w:rsidTr="00091848">
        <w:trPr>
          <w:cantSplit/>
        </w:trPr>
        <w:tc>
          <w:tcPr>
            <w:tcW w:w="1276" w:type="dxa"/>
          </w:tcPr>
          <w:p w:rsidR="00F57630" w:rsidRPr="00BF737F" w:rsidRDefault="00F57630" w:rsidP="00091848">
            <w:pPr>
              <w:ind w:left="0" w:right="0"/>
              <w:rPr>
                <w:b/>
              </w:rPr>
            </w:pPr>
            <w:r w:rsidRPr="00BF737F">
              <w:rPr>
                <w:b/>
              </w:rPr>
              <w:t>Clearing / Pre-settlement</w:t>
            </w:r>
          </w:p>
        </w:tc>
        <w:tc>
          <w:tcPr>
            <w:tcW w:w="3778" w:type="dxa"/>
          </w:tcPr>
          <w:p w:rsidR="00E32425" w:rsidRDefault="00F57630" w:rsidP="00091848">
            <w:pPr>
              <w:ind w:left="0" w:right="127"/>
            </w:pPr>
            <w:r w:rsidRPr="00BF737F">
              <w:t xml:space="preserve">Some coverage is available for pre-settlement, netting and matching messages using </w:t>
            </w:r>
            <w:r w:rsidR="00D2761E">
              <w:t>C</w:t>
            </w:r>
            <w:r w:rsidRPr="00BF737F">
              <w:t>ategory 3 and ISO 20022 messages (CLS).</w:t>
            </w:r>
            <w:r w:rsidR="00E32425">
              <w:t xml:space="preserve"> </w:t>
            </w:r>
          </w:p>
          <w:p w:rsidR="00F57630" w:rsidRPr="00BF737F" w:rsidRDefault="00E32425" w:rsidP="00091848">
            <w:pPr>
              <w:ind w:left="0" w:right="127"/>
            </w:pPr>
            <w:r>
              <w:t>The</w:t>
            </w:r>
            <w:r w:rsidRPr="00475DF1">
              <w:t xml:space="preserve"> FX Netting Position Advice message</w:t>
            </w:r>
            <w:r>
              <w:t xml:space="preserve"> has been developed in ISO 15022 and is live since November 2012</w:t>
            </w:r>
            <w:r w:rsidRPr="00475DF1">
              <w:t>.</w:t>
            </w:r>
          </w:p>
          <w:p w:rsidR="00F57630" w:rsidRPr="00BF737F" w:rsidRDefault="00F57630" w:rsidP="00091848">
            <w:pPr>
              <w:ind w:right="127"/>
            </w:pPr>
          </w:p>
        </w:tc>
        <w:tc>
          <w:tcPr>
            <w:tcW w:w="3778" w:type="dxa"/>
          </w:tcPr>
          <w:p w:rsidR="00F57630" w:rsidRDefault="00F57630" w:rsidP="00091848">
            <w:pPr>
              <w:ind w:left="0" w:right="127"/>
            </w:pPr>
            <w:r w:rsidRPr="00BF737F">
              <w:t xml:space="preserve">FIX has limited coverage in this area, as messages to support clearing and pre-settlement are available, but specific FX related information is often missing. </w:t>
            </w:r>
          </w:p>
          <w:p w:rsidR="00E32425" w:rsidRPr="00BF737F" w:rsidRDefault="00E32425" w:rsidP="00E32425">
            <w:pPr>
              <w:ind w:left="0" w:right="127"/>
            </w:pPr>
            <w:proofErr w:type="spellStart"/>
            <w:r>
              <w:t>FpML</w:t>
            </w:r>
            <w:proofErr w:type="spellEnd"/>
            <w:r>
              <w:t xml:space="preserve"> also covers clearing flows.</w:t>
            </w:r>
          </w:p>
        </w:tc>
        <w:tc>
          <w:tcPr>
            <w:tcW w:w="3779" w:type="dxa"/>
          </w:tcPr>
          <w:p w:rsidR="00BC0267" w:rsidRDefault="002D6F09" w:rsidP="00BC0267">
            <w:pPr>
              <w:spacing w:before="0"/>
              <w:ind w:left="0" w:right="0"/>
            </w:pPr>
            <w:r>
              <w:t>E</w:t>
            </w:r>
            <w:r w:rsidR="00F57630" w:rsidRPr="00BF737F">
              <w:t xml:space="preserve">fforts to move FX clearing activities to CCP’s provide additional opportunity for standardisation. </w:t>
            </w:r>
          </w:p>
          <w:p w:rsidR="00BC0267" w:rsidRDefault="00BC0267" w:rsidP="00BC0267">
            <w:pPr>
              <w:spacing w:before="0"/>
              <w:ind w:left="0" w:right="0"/>
            </w:pPr>
          </w:p>
          <w:p w:rsidR="00F57630" w:rsidRPr="00BF737F" w:rsidRDefault="00BC0267" w:rsidP="00D2761E">
            <w:pPr>
              <w:spacing w:before="0"/>
              <w:ind w:left="0" w:right="0"/>
            </w:pPr>
            <w:r>
              <w:t>SWIFT is working with CLS to create ISO 20022 FX messages that will replace CLS’ proprietary messages as from 2014. Goal is to decommission CLS proprietary gateway and to adopt ISO 20022.</w:t>
            </w:r>
          </w:p>
        </w:tc>
      </w:tr>
      <w:tr w:rsidR="00F57630" w:rsidRPr="00BF737F" w:rsidTr="00091848">
        <w:trPr>
          <w:cantSplit/>
        </w:trPr>
        <w:tc>
          <w:tcPr>
            <w:tcW w:w="1276" w:type="dxa"/>
          </w:tcPr>
          <w:p w:rsidR="00F57630" w:rsidRPr="00BF737F" w:rsidRDefault="00F57630" w:rsidP="00091848">
            <w:pPr>
              <w:ind w:left="0" w:right="0"/>
              <w:rPr>
                <w:b/>
              </w:rPr>
            </w:pPr>
            <w:r w:rsidRPr="00BF737F">
              <w:rPr>
                <w:b/>
              </w:rPr>
              <w:t>Settlement</w:t>
            </w:r>
          </w:p>
        </w:tc>
        <w:tc>
          <w:tcPr>
            <w:tcW w:w="3778" w:type="dxa"/>
          </w:tcPr>
          <w:p w:rsidR="00F57630" w:rsidRPr="00BF737F" w:rsidRDefault="00F57630" w:rsidP="00091848">
            <w:pPr>
              <w:ind w:left="0" w:right="127"/>
            </w:pPr>
            <w:r w:rsidRPr="00BF737F">
              <w:t>Please refer to payments.</w:t>
            </w:r>
          </w:p>
        </w:tc>
        <w:tc>
          <w:tcPr>
            <w:tcW w:w="3778" w:type="dxa"/>
          </w:tcPr>
          <w:p w:rsidR="00F57630" w:rsidRPr="00BF737F" w:rsidRDefault="00F57630" w:rsidP="00091848">
            <w:pPr>
              <w:ind w:left="0" w:right="127"/>
            </w:pPr>
            <w:r w:rsidRPr="00BF737F">
              <w:t>Please refer to payments.</w:t>
            </w:r>
          </w:p>
        </w:tc>
        <w:tc>
          <w:tcPr>
            <w:tcW w:w="3779" w:type="dxa"/>
          </w:tcPr>
          <w:p w:rsidR="00F57630" w:rsidRPr="00BF737F" w:rsidRDefault="00F57630" w:rsidP="00091848">
            <w:pPr>
              <w:ind w:left="0" w:right="127"/>
            </w:pPr>
            <w:r w:rsidRPr="00BF737F">
              <w:t xml:space="preserve">Please refer to payments. </w:t>
            </w:r>
          </w:p>
        </w:tc>
      </w:tr>
    </w:tbl>
    <w:p w:rsidR="008F7250" w:rsidRPr="00555624" w:rsidRDefault="008F7250" w:rsidP="00555624"/>
    <w:p w:rsidR="00091848" w:rsidRPr="00E32425" w:rsidRDefault="008F7250">
      <w:pPr>
        <w:pStyle w:val="Heading2"/>
        <w:numPr>
          <w:ilvl w:val="1"/>
          <w:numId w:val="4"/>
        </w:numPr>
        <w:tabs>
          <w:tab w:val="num" w:pos="780"/>
        </w:tabs>
        <w:spacing w:before="300" w:after="60"/>
        <w:ind w:left="780" w:right="0" w:hanging="720"/>
      </w:pPr>
      <w:bookmarkStart w:id="28" w:name="_Toc340670945"/>
      <w:r w:rsidRPr="00E32425">
        <w:lastRenderedPageBreak/>
        <w:t>Additional opportunities</w:t>
      </w:r>
      <w:bookmarkEnd w:id="28"/>
    </w:p>
    <w:p w:rsidR="008F7250" w:rsidRPr="00E32425" w:rsidRDefault="008F7250" w:rsidP="00BF737F">
      <w:pPr>
        <w:ind w:left="142" w:right="60"/>
        <w:jc w:val="both"/>
      </w:pPr>
      <w:r w:rsidRPr="00E32425">
        <w:t>One key area to look at within the foreign exchange market is the</w:t>
      </w:r>
      <w:r w:rsidR="007E2113">
        <w:t xml:space="preserve"> compliance with</w:t>
      </w:r>
      <w:r w:rsidRPr="00E32425">
        <w:t xml:space="preserve"> </w:t>
      </w:r>
      <w:r w:rsidR="00BB3C3D">
        <w:t xml:space="preserve">regulatory </w:t>
      </w:r>
      <w:r w:rsidR="007E2113">
        <w:t xml:space="preserve">requirements and </w:t>
      </w:r>
      <w:r w:rsidR="00BB3C3D">
        <w:t xml:space="preserve">reporting </w:t>
      </w:r>
      <w:r w:rsidR="007E2113">
        <w:t xml:space="preserve">of FX trades </w:t>
      </w:r>
      <w:r w:rsidR="00BB3C3D">
        <w:t xml:space="preserve">to trade repositories. </w:t>
      </w:r>
    </w:p>
    <w:p w:rsidR="008F7250" w:rsidRDefault="008F7250">
      <w:pPr>
        <w:spacing w:before="0"/>
        <w:ind w:left="0" w:right="0"/>
        <w:rPr>
          <w:rFonts w:cs="Arial"/>
          <w:b/>
          <w:color w:val="7E6F62"/>
          <w:kern w:val="28"/>
          <w:sz w:val="24"/>
          <w:szCs w:val="24"/>
        </w:rPr>
      </w:pPr>
      <w:r>
        <w:br w:type="page"/>
      </w:r>
    </w:p>
    <w:p w:rsidR="00091848" w:rsidRDefault="008F7250">
      <w:pPr>
        <w:pStyle w:val="Heading1"/>
        <w:numPr>
          <w:ilvl w:val="0"/>
          <w:numId w:val="4"/>
        </w:numPr>
        <w:tabs>
          <w:tab w:val="num" w:pos="360"/>
        </w:tabs>
        <w:spacing w:before="300" w:after="60"/>
        <w:ind w:left="360" w:right="0" w:hanging="360"/>
      </w:pPr>
      <w:bookmarkStart w:id="29" w:name="_Securities_(equities,_fixed"/>
      <w:bookmarkStart w:id="30" w:name="_Toc340670946"/>
      <w:bookmarkEnd w:id="29"/>
      <w:r w:rsidRPr="00E17202">
        <w:lastRenderedPageBreak/>
        <w:t>Securities</w:t>
      </w:r>
      <w:r>
        <w:t xml:space="preserve"> (equities, fixed income, listed funds and listed derivatives)</w:t>
      </w:r>
      <w:bookmarkEnd w:id="30"/>
    </w:p>
    <w:p w:rsidR="009469DD" w:rsidRPr="009469DD" w:rsidRDefault="008F7250" w:rsidP="00635FEA">
      <w:pPr>
        <w:pStyle w:val="Heading2"/>
        <w:numPr>
          <w:ilvl w:val="1"/>
          <w:numId w:val="4"/>
        </w:numPr>
        <w:tabs>
          <w:tab w:val="num" w:pos="780"/>
        </w:tabs>
        <w:spacing w:before="300" w:after="60"/>
        <w:ind w:left="780" w:right="0" w:hanging="720"/>
      </w:pPr>
      <w:bookmarkStart w:id="31" w:name="_Toc340670947"/>
      <w:r>
        <w:t>Business overview</w:t>
      </w:r>
      <w:bookmarkEnd w:id="31"/>
      <w:r>
        <w:t xml:space="preserve"> </w:t>
      </w:r>
    </w:p>
    <w:p w:rsidR="00175123" w:rsidRDefault="009469DD" w:rsidP="008A3AFA">
      <w:pPr>
        <w:jc w:val="center"/>
      </w:pPr>
      <w:r>
        <w:rPr>
          <w:noProof/>
          <w:lang w:eastAsia="en-GB"/>
        </w:rPr>
        <w:drawing>
          <wp:anchor distT="0" distB="0" distL="114300" distR="114300" simplePos="0" relativeHeight="251684352" behindDoc="1" locked="0" layoutInCell="1" allowOverlap="1" wp14:anchorId="3376FB7F" wp14:editId="769B194A">
            <wp:simplePos x="0" y="0"/>
            <wp:positionH relativeFrom="column">
              <wp:align>center</wp:align>
            </wp:positionH>
            <wp:positionV relativeFrom="paragraph">
              <wp:posOffset>257175</wp:posOffset>
            </wp:positionV>
            <wp:extent cx="7379970" cy="3272155"/>
            <wp:effectExtent l="19050" t="0" r="0" b="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7379970" cy="3272155"/>
                    </a:xfrm>
                    <a:prstGeom prst="rect">
                      <a:avLst/>
                    </a:prstGeom>
                    <a:noFill/>
                    <a:ln w="9525">
                      <a:noFill/>
                      <a:miter lim="800000"/>
                      <a:headEnd/>
                      <a:tailEnd/>
                    </a:ln>
                  </pic:spPr>
                </pic:pic>
              </a:graphicData>
            </a:graphic>
          </wp:anchor>
        </w:drawing>
      </w:r>
    </w:p>
    <w:p w:rsidR="00676572" w:rsidRDefault="00676572" w:rsidP="00175123">
      <w:pPr>
        <w:ind w:left="142" w:right="60"/>
        <w:jc w:val="center"/>
      </w:pPr>
    </w:p>
    <w:p w:rsidR="008F7250" w:rsidRPr="001955AA" w:rsidRDefault="008F7250" w:rsidP="00A84E3A">
      <w:pPr>
        <w:ind w:left="142" w:right="60"/>
        <w:jc w:val="both"/>
        <w:rPr>
          <w:b/>
        </w:rPr>
      </w:pPr>
      <w:r>
        <w:t xml:space="preserve">The securities business covers a wide range of business processes and transactions from security issuance, reference data and corporate event management through pre-trade, trade, post-trade, clearing/pre-settlement ending with settlement and reconciliation. As the business area covers so many processes, it also includes a multitude of parties involved, </w:t>
      </w:r>
      <w:r w:rsidR="006B4769">
        <w:t>for example</w:t>
      </w:r>
      <w:r>
        <w:t>, investment managers, custodians, broker/dealers, exchanges, matching systems, market infrastructures, data vendors, corporate</w:t>
      </w:r>
      <w:r w:rsidR="003B488B">
        <w:t>s</w:t>
      </w:r>
      <w:r>
        <w:t>, accounting agents, central counterparties and central banks amongst others.</w:t>
      </w:r>
    </w:p>
    <w:p w:rsidR="00667E82" w:rsidRDefault="00667E82" w:rsidP="00A84E3A">
      <w:pPr>
        <w:ind w:left="142" w:right="60"/>
        <w:jc w:val="both"/>
        <w:rPr>
          <w:b/>
        </w:rPr>
      </w:pPr>
    </w:p>
    <w:p w:rsidR="008F7250" w:rsidRPr="00A83ADD" w:rsidRDefault="008F7250" w:rsidP="00A84E3A">
      <w:pPr>
        <w:ind w:left="142" w:right="60"/>
        <w:jc w:val="both"/>
        <w:rPr>
          <w:b/>
        </w:rPr>
      </w:pPr>
      <w:r w:rsidRPr="00A83ADD">
        <w:rPr>
          <w:b/>
        </w:rPr>
        <w:t>Pre-trade</w:t>
      </w:r>
    </w:p>
    <w:p w:rsidR="008F7250" w:rsidRPr="00E17202" w:rsidRDefault="008F7250" w:rsidP="00A84E3A">
      <w:pPr>
        <w:ind w:left="142" w:right="60"/>
        <w:jc w:val="both"/>
      </w:pPr>
      <w:r>
        <w:t>T</w:t>
      </w:r>
      <w:r w:rsidRPr="00E17202">
        <w:t xml:space="preserve">he </w:t>
      </w:r>
      <w:r>
        <w:t xml:space="preserve">pre-trade space covers </w:t>
      </w:r>
      <w:r w:rsidRPr="00E17202">
        <w:t>business flows prior to the placement of an order</w:t>
      </w:r>
      <w:r>
        <w:t xml:space="preserve"> where a financial institution is </w:t>
      </w:r>
      <w:r w:rsidRPr="00E17202">
        <w:t xml:space="preserve">looking for quotes to buy </w:t>
      </w:r>
      <w:r>
        <w:t>or sell securities.</w:t>
      </w:r>
    </w:p>
    <w:p w:rsidR="00667E82" w:rsidRDefault="00667E82" w:rsidP="00A84E3A">
      <w:pPr>
        <w:ind w:left="142" w:right="60"/>
        <w:jc w:val="both"/>
        <w:rPr>
          <w:b/>
          <w:lang w:eastAsia="en-GB"/>
        </w:rPr>
      </w:pPr>
    </w:p>
    <w:p w:rsidR="008F7250" w:rsidRDefault="008F7250" w:rsidP="00A84E3A">
      <w:pPr>
        <w:ind w:left="142" w:right="60"/>
        <w:jc w:val="both"/>
        <w:rPr>
          <w:b/>
          <w:lang w:eastAsia="en-GB"/>
        </w:rPr>
      </w:pPr>
      <w:r>
        <w:rPr>
          <w:b/>
          <w:lang w:eastAsia="en-GB"/>
        </w:rPr>
        <w:t>Trade</w:t>
      </w:r>
    </w:p>
    <w:p w:rsidR="008F7250" w:rsidRDefault="008F7250" w:rsidP="003B488B">
      <w:pPr>
        <w:ind w:left="142" w:right="60"/>
        <w:jc w:val="both"/>
        <w:rPr>
          <w:b/>
        </w:rPr>
      </w:pPr>
      <w:r w:rsidRPr="00E17202">
        <w:t xml:space="preserve">The </w:t>
      </w:r>
      <w:r>
        <w:t>t</w:t>
      </w:r>
      <w:r w:rsidRPr="00E17202">
        <w:t xml:space="preserve">rade space covers </w:t>
      </w:r>
      <w:r>
        <w:t>the</w:t>
      </w:r>
      <w:r w:rsidRPr="00E17202">
        <w:t xml:space="preserve"> placement or amendment of orders</w:t>
      </w:r>
      <w:r>
        <w:t xml:space="preserve"> as well as their execution and the </w:t>
      </w:r>
      <w:r w:rsidRPr="00E17202">
        <w:t>communication of results and status</w:t>
      </w:r>
      <w:r>
        <w:t>es</w:t>
      </w:r>
      <w:r w:rsidRPr="00E17202">
        <w:t>.</w:t>
      </w:r>
      <w:r>
        <w:t xml:space="preserve"> It may also include p</w:t>
      </w:r>
      <w:r w:rsidRPr="00E17202">
        <w:t>re-</w:t>
      </w:r>
      <w:r>
        <w:t>a</w:t>
      </w:r>
      <w:r w:rsidRPr="00E17202">
        <w:t>llocation</w:t>
      </w:r>
      <w:r>
        <w:t>s</w:t>
      </w:r>
      <w:r w:rsidRPr="00E17202">
        <w:t xml:space="preserve"> </w:t>
      </w:r>
      <w:r>
        <w:t>and o</w:t>
      </w:r>
      <w:r w:rsidRPr="00E17202">
        <w:t>rder</w:t>
      </w:r>
      <w:r>
        <w:t xml:space="preserve"> b</w:t>
      </w:r>
      <w:r w:rsidRPr="00E17202">
        <w:t>ook reconciliation</w:t>
      </w:r>
      <w:r>
        <w:t>.</w:t>
      </w:r>
    </w:p>
    <w:p w:rsidR="00667E82" w:rsidRDefault="00667E82" w:rsidP="00A84E3A">
      <w:pPr>
        <w:ind w:left="142" w:right="60"/>
        <w:jc w:val="both"/>
        <w:rPr>
          <w:b/>
        </w:rPr>
      </w:pPr>
    </w:p>
    <w:p w:rsidR="008F7250" w:rsidRPr="00A83ADD" w:rsidRDefault="008F7250" w:rsidP="00A84E3A">
      <w:pPr>
        <w:ind w:left="142" w:right="60"/>
        <w:jc w:val="both"/>
        <w:rPr>
          <w:b/>
        </w:rPr>
      </w:pPr>
      <w:r w:rsidRPr="00A83ADD">
        <w:rPr>
          <w:b/>
        </w:rPr>
        <w:t>Post-trade</w:t>
      </w:r>
    </w:p>
    <w:p w:rsidR="008F7250" w:rsidRDefault="008F7250" w:rsidP="00A84E3A">
      <w:pPr>
        <w:ind w:left="142" w:right="60"/>
        <w:jc w:val="both"/>
      </w:pPr>
      <w:r w:rsidRPr="00E17202">
        <w:t xml:space="preserve">The </w:t>
      </w:r>
      <w:r>
        <w:t>p</w:t>
      </w:r>
      <w:r w:rsidRPr="00E17202">
        <w:t>ost-trade space covers all activities performed when the trade has been executed</w:t>
      </w:r>
      <w:r>
        <w:t>, such as n</w:t>
      </w:r>
      <w:r w:rsidRPr="00E17202">
        <w:t xml:space="preserve">otice of </w:t>
      </w:r>
      <w:r>
        <w:t>e</w:t>
      </w:r>
      <w:r w:rsidRPr="00E17202">
        <w:t>xecution</w:t>
      </w:r>
      <w:r>
        <w:t>, a</w:t>
      </w:r>
      <w:r w:rsidRPr="00E17202">
        <w:t>llocation</w:t>
      </w:r>
      <w:r>
        <w:t>, c</w:t>
      </w:r>
      <w:r w:rsidRPr="00E17202">
        <w:t>onfirmation</w:t>
      </w:r>
      <w:r>
        <w:t>,</w:t>
      </w:r>
      <w:r w:rsidRPr="00E17202">
        <w:t xml:space="preserve"> affirmation</w:t>
      </w:r>
      <w:r>
        <w:t xml:space="preserve">, </w:t>
      </w:r>
      <w:r w:rsidRPr="00E17202">
        <w:t>reporting of completed trades</w:t>
      </w:r>
      <w:r>
        <w:t xml:space="preserve"> and r</w:t>
      </w:r>
      <w:r w:rsidRPr="00E17202">
        <w:t>econciliation</w:t>
      </w:r>
      <w:r>
        <w:t>.</w:t>
      </w:r>
    </w:p>
    <w:p w:rsidR="00667E82" w:rsidRDefault="00667E82" w:rsidP="00A84E3A">
      <w:pPr>
        <w:ind w:left="142" w:right="60"/>
        <w:jc w:val="both"/>
        <w:rPr>
          <w:b/>
        </w:rPr>
      </w:pPr>
    </w:p>
    <w:p w:rsidR="008F7250" w:rsidRPr="00A83ADD" w:rsidRDefault="008F7250" w:rsidP="00A84E3A">
      <w:pPr>
        <w:ind w:left="142" w:right="60"/>
        <w:jc w:val="both"/>
        <w:rPr>
          <w:b/>
        </w:rPr>
      </w:pPr>
      <w:r w:rsidRPr="00A83ADD">
        <w:rPr>
          <w:b/>
        </w:rPr>
        <w:t>Clearing / Pre-settlement</w:t>
      </w:r>
    </w:p>
    <w:p w:rsidR="008F7250" w:rsidRDefault="008F7250" w:rsidP="00A84E3A">
      <w:pPr>
        <w:ind w:left="142" w:right="60"/>
        <w:jc w:val="both"/>
      </w:pPr>
      <w:r w:rsidRPr="00954291">
        <w:t xml:space="preserve">The </w:t>
      </w:r>
      <w:r>
        <w:t>c</w:t>
      </w:r>
      <w:r w:rsidRPr="00954291">
        <w:t xml:space="preserve">learing </w:t>
      </w:r>
      <w:r>
        <w:t>/</w:t>
      </w:r>
      <w:r w:rsidRPr="00954291">
        <w:t xml:space="preserve"> </w:t>
      </w:r>
      <w:r>
        <w:t>p</w:t>
      </w:r>
      <w:r w:rsidRPr="00954291">
        <w:t>re-settlement area contains processes such as novation, netting, risk management, collateral management etc.</w:t>
      </w:r>
    </w:p>
    <w:p w:rsidR="00667E82" w:rsidRDefault="00667E82" w:rsidP="00A84E3A">
      <w:pPr>
        <w:ind w:left="142" w:right="60"/>
        <w:jc w:val="both"/>
        <w:rPr>
          <w:b/>
        </w:rPr>
      </w:pPr>
    </w:p>
    <w:p w:rsidR="008F7250" w:rsidRPr="00A83ADD" w:rsidRDefault="008F7250" w:rsidP="00A84E3A">
      <w:pPr>
        <w:ind w:left="142" w:right="60"/>
        <w:jc w:val="both"/>
        <w:rPr>
          <w:b/>
        </w:rPr>
      </w:pPr>
      <w:r w:rsidRPr="00A83ADD">
        <w:rPr>
          <w:b/>
        </w:rPr>
        <w:t>Settlement</w:t>
      </w:r>
    </w:p>
    <w:p w:rsidR="008F7250" w:rsidRDefault="008F7250" w:rsidP="00A84E3A">
      <w:pPr>
        <w:ind w:left="142" w:right="60"/>
        <w:jc w:val="both"/>
      </w:pPr>
      <w:r w:rsidRPr="00E17202">
        <w:t xml:space="preserve">The settlement process starts with the validation and matching of the settlement instructions. </w:t>
      </w:r>
      <w:r>
        <w:t>T</w:t>
      </w:r>
      <w:r w:rsidRPr="00E17202">
        <w:t xml:space="preserve">he </w:t>
      </w:r>
      <w:r>
        <w:t xml:space="preserve">effective </w:t>
      </w:r>
      <w:r w:rsidRPr="00E17202">
        <w:t xml:space="preserve">settlement will typically take place </w:t>
      </w:r>
      <w:r>
        <w:t xml:space="preserve">at </w:t>
      </w:r>
      <w:r w:rsidRPr="00E17202">
        <w:t>a</w:t>
      </w:r>
      <w:r>
        <w:t>n</w:t>
      </w:r>
      <w:r w:rsidRPr="00E17202">
        <w:t xml:space="preserve"> </w:t>
      </w:r>
      <w:r>
        <w:t xml:space="preserve">(International) </w:t>
      </w:r>
      <w:r w:rsidRPr="00E17202">
        <w:t>C</w:t>
      </w:r>
      <w:r>
        <w:t xml:space="preserve">entral </w:t>
      </w:r>
      <w:r w:rsidRPr="00E17202">
        <w:t>S</w:t>
      </w:r>
      <w:r>
        <w:t xml:space="preserve">ecurities </w:t>
      </w:r>
      <w:r w:rsidRPr="00E17202">
        <w:t>D</w:t>
      </w:r>
      <w:r>
        <w:t>epository ((I</w:t>
      </w:r>
      <w:proofErr w:type="gramStart"/>
      <w:r>
        <w:t>)CSD</w:t>
      </w:r>
      <w:proofErr w:type="gramEnd"/>
      <w:r>
        <w:t>)</w:t>
      </w:r>
      <w:r w:rsidRPr="00E17202">
        <w:t xml:space="preserve">. Once the settlement has happened, </w:t>
      </w:r>
      <w:r>
        <w:t>advice</w:t>
      </w:r>
      <w:r w:rsidRPr="00E17202">
        <w:t>s are sent through the settlement chain. Status reports are sent throughout the lifecycle of the settlement transaction</w:t>
      </w:r>
      <w:r>
        <w:t xml:space="preserve"> and p</w:t>
      </w:r>
      <w:r w:rsidRPr="00E17202">
        <w:t>eriodic statements summarise the transactions and balances and allow for the reconciliation process to happen.</w:t>
      </w:r>
    </w:p>
    <w:p w:rsidR="00667E82" w:rsidRDefault="00667E82" w:rsidP="00A84E3A">
      <w:pPr>
        <w:ind w:left="142" w:right="60"/>
        <w:jc w:val="both"/>
        <w:rPr>
          <w:b/>
        </w:rPr>
      </w:pPr>
    </w:p>
    <w:p w:rsidR="008F7250" w:rsidRPr="00A83ADD" w:rsidRDefault="008F7250" w:rsidP="00A84E3A">
      <w:pPr>
        <w:ind w:left="142" w:right="60"/>
        <w:jc w:val="both"/>
        <w:rPr>
          <w:b/>
        </w:rPr>
      </w:pPr>
      <w:r w:rsidRPr="00A83ADD">
        <w:rPr>
          <w:b/>
        </w:rPr>
        <w:t>Corporate Events Management</w:t>
      </w:r>
    </w:p>
    <w:p w:rsidR="008F7250" w:rsidRDefault="008F7250" w:rsidP="00A84E3A">
      <w:pPr>
        <w:ind w:left="142" w:right="60"/>
        <w:jc w:val="both"/>
      </w:pPr>
      <w:r>
        <w:t>C</w:t>
      </w:r>
      <w:r w:rsidRPr="00E17202">
        <w:t>orporate action</w:t>
      </w:r>
      <w:r>
        <w:t>s</w:t>
      </w:r>
      <w:r w:rsidRPr="00E17202">
        <w:t xml:space="preserve"> events, </w:t>
      </w:r>
      <w:r w:rsidR="00E62FC1">
        <w:t>for example,</w:t>
      </w:r>
      <w:r w:rsidRPr="00E17202">
        <w:t xml:space="preserve"> dividend or coupon payment, </w:t>
      </w:r>
      <w:r>
        <w:t xml:space="preserve">will </w:t>
      </w:r>
      <w:r w:rsidRPr="00E17202">
        <w:t xml:space="preserve">occur during the life of a security. The issuer </w:t>
      </w:r>
      <w:r w:rsidR="003B488B">
        <w:t xml:space="preserve">or its </w:t>
      </w:r>
      <w:r w:rsidRPr="00E17202">
        <w:t>agent is responsible for notifying the central securities depositories, stock exchanges, data vendors etc. of the event details. Thereafter it becomes the responsibility of the local and global custodian to ultimately inform the security holder of the event details and entitlement.</w:t>
      </w:r>
      <w:r>
        <w:t xml:space="preserve"> Corporate event management also includes processing of market claims and automatic transformations, shareholder meetings and tax processing.</w:t>
      </w:r>
    </w:p>
    <w:p w:rsidR="00635FEA" w:rsidRDefault="00635FEA">
      <w:pPr>
        <w:spacing w:before="0"/>
        <w:ind w:left="0" w:right="0"/>
        <w:rPr>
          <w:b/>
          <w:bCs/>
        </w:rPr>
      </w:pPr>
      <w:r>
        <w:rPr>
          <w:b/>
          <w:bCs/>
        </w:rPr>
        <w:br w:type="page"/>
      </w:r>
    </w:p>
    <w:p w:rsidR="00676572" w:rsidRPr="008A3AFA" w:rsidRDefault="00AE18B8" w:rsidP="008A3AFA">
      <w:pPr>
        <w:spacing w:before="0"/>
        <w:ind w:left="0" w:right="0"/>
        <w:rPr>
          <w:b/>
          <w:bCs/>
        </w:rPr>
      </w:pPr>
      <w:r w:rsidRPr="00AE18B8">
        <w:rPr>
          <w:noProof/>
          <w:lang w:eastAsia="en-GB"/>
        </w:rPr>
        <w:lastRenderedPageBreak/>
        <w:drawing>
          <wp:anchor distT="0" distB="0" distL="114300" distR="114300" simplePos="0" relativeHeight="251726336" behindDoc="0" locked="0" layoutInCell="1" allowOverlap="1" wp14:anchorId="2CD22D46" wp14:editId="161F9DFD">
            <wp:simplePos x="0" y="0"/>
            <wp:positionH relativeFrom="column">
              <wp:align>center</wp:align>
            </wp:positionH>
            <wp:positionV relativeFrom="paragraph">
              <wp:posOffset>0</wp:posOffset>
            </wp:positionV>
            <wp:extent cx="7381875" cy="3629025"/>
            <wp:effectExtent l="19050" t="0" r="9525" b="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7381875" cy="3629025"/>
                    </a:xfrm>
                    <a:prstGeom prst="rect">
                      <a:avLst/>
                    </a:prstGeom>
                    <a:noFill/>
                    <a:ln w="9525">
                      <a:noFill/>
                      <a:miter lim="800000"/>
                      <a:headEnd/>
                      <a:tailEnd/>
                    </a:ln>
                  </pic:spPr>
                </pic:pic>
              </a:graphicData>
            </a:graphic>
          </wp:anchor>
        </w:drawing>
      </w:r>
    </w:p>
    <w:p w:rsidR="008F7250" w:rsidRPr="00A83ADD" w:rsidRDefault="008F7250" w:rsidP="007E276F">
      <w:pPr>
        <w:ind w:left="142" w:right="60"/>
        <w:jc w:val="both"/>
        <w:rPr>
          <w:b/>
        </w:rPr>
      </w:pPr>
      <w:r w:rsidRPr="00A83ADD">
        <w:rPr>
          <w:b/>
        </w:rPr>
        <w:t>Security issuance</w:t>
      </w:r>
    </w:p>
    <w:p w:rsidR="008F7250" w:rsidRDefault="008F7250" w:rsidP="007E276F">
      <w:pPr>
        <w:ind w:left="142" w:right="60"/>
        <w:jc w:val="both"/>
      </w:pPr>
      <w:r w:rsidRPr="00E17202">
        <w:t>The issuer appoints an issuer agent to coordinate all aspects of the</w:t>
      </w:r>
      <w:r>
        <w:t xml:space="preserve"> security issuance</w:t>
      </w:r>
      <w:r w:rsidRPr="00E17202">
        <w:t xml:space="preserve"> process such as syndication, collection and placement of the orders</w:t>
      </w:r>
      <w:r>
        <w:t xml:space="preserve"> and</w:t>
      </w:r>
      <w:r w:rsidRPr="00E17202">
        <w:t xml:space="preserve"> allotments. The issuer agent will request the relevant numbering agency to assign </w:t>
      </w:r>
      <w:proofErr w:type="gramStart"/>
      <w:r w:rsidRPr="00E17202">
        <w:t>a</w:t>
      </w:r>
      <w:r w:rsidR="00D2761E">
        <w:t xml:space="preserve"> </w:t>
      </w:r>
      <w:r w:rsidRPr="00E17202">
        <w:t>security</w:t>
      </w:r>
      <w:proofErr w:type="gramEnd"/>
      <w:r w:rsidRPr="00E17202">
        <w:t xml:space="preserve"> identification, </w:t>
      </w:r>
      <w:r w:rsidR="00E62FC1">
        <w:t>for example,</w:t>
      </w:r>
      <w:r w:rsidRPr="00E17202">
        <w:t xml:space="preserve"> ISIN, that he will then distribute to interested parties together with the characteristics of the security published in the legal publication or prospectus. This data can be used by data vendors</w:t>
      </w:r>
      <w:r>
        <w:t xml:space="preserve"> and</w:t>
      </w:r>
      <w:r w:rsidRPr="00E17202">
        <w:t xml:space="preserve"> financial institutions to set up the security in the securities master file. </w:t>
      </w:r>
    </w:p>
    <w:p w:rsidR="00667E82" w:rsidRDefault="00667E82" w:rsidP="007E276F">
      <w:pPr>
        <w:ind w:left="142" w:right="60"/>
        <w:jc w:val="both"/>
        <w:rPr>
          <w:b/>
        </w:rPr>
      </w:pPr>
    </w:p>
    <w:p w:rsidR="008F7250" w:rsidRPr="00A83ADD" w:rsidRDefault="008F7250" w:rsidP="007E276F">
      <w:pPr>
        <w:ind w:left="142" w:right="60"/>
        <w:jc w:val="both"/>
        <w:rPr>
          <w:b/>
        </w:rPr>
      </w:pPr>
      <w:r w:rsidRPr="00A83ADD">
        <w:rPr>
          <w:b/>
        </w:rPr>
        <w:t>Reference Data Management</w:t>
      </w:r>
    </w:p>
    <w:p w:rsidR="008F7250" w:rsidRDefault="008F7250" w:rsidP="007E276F">
      <w:pPr>
        <w:ind w:left="142" w:right="60"/>
        <w:jc w:val="both"/>
      </w:pPr>
      <w:r>
        <w:t xml:space="preserve">This process includes the creation of a security and all its attributes in a securities database. </w:t>
      </w:r>
      <w:r w:rsidRPr="00E17202">
        <w:t xml:space="preserve">During the life of the security some of the attributes can change, </w:t>
      </w:r>
      <w:r w:rsidR="00E62FC1">
        <w:t>for example,</w:t>
      </w:r>
      <w:r w:rsidRPr="00E17202">
        <w:t xml:space="preserve"> a name change.</w:t>
      </w:r>
      <w:r>
        <w:t xml:space="preserve"> This information must be </w:t>
      </w:r>
      <w:r w:rsidRPr="00E17202">
        <w:t>maintain</w:t>
      </w:r>
      <w:r>
        <w:t>ed</w:t>
      </w:r>
      <w:r w:rsidRPr="00E17202">
        <w:t xml:space="preserve"> and update</w:t>
      </w:r>
      <w:r>
        <w:t>d in</w:t>
      </w:r>
      <w:r w:rsidRPr="00E17202">
        <w:t xml:space="preserve"> the securities master file. </w:t>
      </w:r>
    </w:p>
    <w:p w:rsidR="00667E82" w:rsidRDefault="00667E82" w:rsidP="007E276F">
      <w:pPr>
        <w:ind w:left="142" w:right="60"/>
        <w:rPr>
          <w:b/>
          <w:bCs/>
        </w:rPr>
      </w:pPr>
    </w:p>
    <w:p w:rsidR="008F7250" w:rsidRPr="003F403D" w:rsidRDefault="008F7250" w:rsidP="007E276F">
      <w:pPr>
        <w:ind w:left="142" w:right="60"/>
      </w:pPr>
      <w:r w:rsidRPr="003F403D">
        <w:rPr>
          <w:b/>
          <w:bCs/>
        </w:rPr>
        <w:t>Portfolio Administration</w:t>
      </w:r>
      <w:r w:rsidRPr="003F403D">
        <w:t xml:space="preserve">  </w:t>
      </w:r>
    </w:p>
    <w:p w:rsidR="008F7250" w:rsidRPr="003F403D" w:rsidRDefault="008F7250" w:rsidP="007E276F">
      <w:pPr>
        <w:ind w:left="142" w:right="60"/>
      </w:pPr>
      <w:r w:rsidRPr="003F403D">
        <w:lastRenderedPageBreak/>
        <w:t xml:space="preserve">The portfolio administration area includes </w:t>
      </w:r>
      <w:r>
        <w:t>the</w:t>
      </w:r>
      <w:r w:rsidRPr="003F403D">
        <w:t xml:space="preserve"> exchange of messages between account servicers and their clients </w:t>
      </w:r>
      <w:r>
        <w:t xml:space="preserve">in support of account opening, modifications, closing and transfer or conversion of portfolios from one account servicer to another. </w:t>
      </w:r>
    </w:p>
    <w:p w:rsidR="00667E82" w:rsidRDefault="00667E82" w:rsidP="007E276F">
      <w:pPr>
        <w:ind w:left="142" w:right="60"/>
        <w:rPr>
          <w:b/>
          <w:bCs/>
        </w:rPr>
      </w:pPr>
    </w:p>
    <w:p w:rsidR="008F7250" w:rsidRPr="00C21E58" w:rsidRDefault="008F7250" w:rsidP="007E276F">
      <w:pPr>
        <w:ind w:left="142" w:right="60"/>
      </w:pPr>
      <w:r w:rsidRPr="00C21E58">
        <w:rPr>
          <w:b/>
          <w:bCs/>
        </w:rPr>
        <w:t>Asset Management</w:t>
      </w:r>
      <w:r w:rsidRPr="00C21E58">
        <w:t> </w:t>
      </w:r>
    </w:p>
    <w:p w:rsidR="008F7250" w:rsidRPr="003F403D" w:rsidRDefault="008F7250" w:rsidP="007E276F">
      <w:pPr>
        <w:ind w:left="142" w:right="60"/>
        <w:rPr>
          <w:lang w:eastAsia="en-GB"/>
        </w:rPr>
      </w:pPr>
      <w:r w:rsidRPr="003F403D">
        <w:rPr>
          <w:lang w:eastAsia="en-GB"/>
        </w:rPr>
        <w:t>Asset management includes business transactions associated with maintaining security master files</w:t>
      </w:r>
      <w:r>
        <w:rPr>
          <w:lang w:eastAsia="en-GB"/>
        </w:rPr>
        <w:t xml:space="preserve"> for updates that are outside of corporate action events and are exchanged between data providers, issuers and regulatory bodies and end-users of security master file data. An example of asset management messaging would be price reporting, where prices and updates to rates are provided in an electronic format.  </w:t>
      </w:r>
    </w:p>
    <w:p w:rsidR="00667E82" w:rsidRDefault="00667E82" w:rsidP="007E276F">
      <w:pPr>
        <w:ind w:left="142" w:right="60"/>
        <w:rPr>
          <w:b/>
          <w:bCs/>
        </w:rPr>
      </w:pPr>
    </w:p>
    <w:p w:rsidR="008F7250" w:rsidRPr="00C21E58" w:rsidRDefault="008F7250" w:rsidP="007E276F">
      <w:pPr>
        <w:ind w:left="142" w:right="60"/>
      </w:pPr>
      <w:r w:rsidRPr="00C21E58">
        <w:rPr>
          <w:b/>
          <w:bCs/>
        </w:rPr>
        <w:t>Portfolio Management</w:t>
      </w:r>
    </w:p>
    <w:p w:rsidR="008F7250" w:rsidRDefault="008F7250" w:rsidP="007E276F">
      <w:pPr>
        <w:ind w:left="142" w:right="60"/>
      </w:pPr>
      <w:r>
        <w:rPr>
          <w:lang w:eastAsia="en-GB"/>
        </w:rPr>
        <w:t>The portfolio management segment includes the exchange of messages between account servicers and their clients, regulatory bodies or other interested parties and include portfolio valuation, tax management (reclaims) and position reconciliation.</w:t>
      </w:r>
    </w:p>
    <w:p w:rsidR="008F7250" w:rsidRDefault="008F7250">
      <w:pPr>
        <w:spacing w:before="0"/>
        <w:ind w:left="0" w:right="0"/>
        <w:rPr>
          <w:b/>
        </w:rPr>
      </w:pPr>
      <w:r>
        <w:br w:type="page"/>
      </w:r>
    </w:p>
    <w:p w:rsidR="00635FEA" w:rsidRDefault="000E706E" w:rsidP="008A3AFA">
      <w:pPr>
        <w:pStyle w:val="Heading2"/>
        <w:numPr>
          <w:ilvl w:val="1"/>
          <w:numId w:val="4"/>
        </w:numPr>
        <w:tabs>
          <w:tab w:val="num" w:pos="780"/>
        </w:tabs>
        <w:spacing w:before="300" w:after="60"/>
        <w:ind w:left="780" w:right="0" w:hanging="720"/>
      </w:pPr>
      <w:bookmarkStart w:id="32" w:name="_Toc340670948"/>
      <w:r>
        <w:lastRenderedPageBreak/>
        <w:t>High-level</w:t>
      </w:r>
      <w:r w:rsidR="008F7250">
        <w:t xml:space="preserve"> standards landscape</w:t>
      </w:r>
      <w:bookmarkEnd w:id="32"/>
    </w:p>
    <w:p w:rsidR="007F7F8E" w:rsidRPr="007F7F8E" w:rsidRDefault="007F7F8E" w:rsidP="00113240"/>
    <w:p w:rsidR="007F7F8E" w:rsidRPr="007F7F8E" w:rsidRDefault="00113240" w:rsidP="00113240">
      <w:r w:rsidRPr="00113240">
        <w:rPr>
          <w:noProof/>
          <w:lang w:eastAsia="en-GB"/>
        </w:rPr>
        <mc:AlternateContent>
          <mc:Choice Requires="wps">
            <w:drawing>
              <wp:anchor distT="0" distB="0" distL="114300" distR="114300" simplePos="0" relativeHeight="251728384" behindDoc="0" locked="0" layoutInCell="1" allowOverlap="1" wp14:anchorId="178FDB3D" wp14:editId="04DA6165">
                <wp:simplePos x="0" y="0"/>
                <wp:positionH relativeFrom="column">
                  <wp:posOffset>3794760</wp:posOffset>
                </wp:positionH>
                <wp:positionV relativeFrom="paragraph">
                  <wp:posOffset>2931795</wp:posOffset>
                </wp:positionV>
                <wp:extent cx="2505710" cy="1329055"/>
                <wp:effectExtent l="19050" t="0" r="27940" b="23495"/>
                <wp:wrapNone/>
                <wp:docPr id="13" name="Chevron 78"/>
                <wp:cNvGraphicFramePr/>
                <a:graphic xmlns:a="http://schemas.openxmlformats.org/drawingml/2006/main">
                  <a:graphicData uri="http://schemas.microsoft.com/office/word/2010/wordprocessingShape">
                    <wps:wsp>
                      <wps:cNvSpPr/>
                      <wps:spPr bwMode="auto">
                        <a:xfrm>
                          <a:off x="0" y="0"/>
                          <a:ext cx="250571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8" o:spid="_x0000_s1026" type="#_x0000_t55" style="position:absolute;margin-left:298.8pt;margin-top:230.85pt;width:197.3pt;height:104.6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" adj="15872"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29408" behindDoc="0" locked="0" layoutInCell="1" allowOverlap="1" wp14:anchorId="48D715F0" wp14:editId="7E718581">
                <wp:simplePos x="0" y="0"/>
                <wp:positionH relativeFrom="column">
                  <wp:posOffset>1990725</wp:posOffset>
                </wp:positionH>
                <wp:positionV relativeFrom="paragraph">
                  <wp:posOffset>2929255</wp:posOffset>
                </wp:positionV>
                <wp:extent cx="2385695" cy="1329055"/>
                <wp:effectExtent l="19050" t="0" r="14605" b="23495"/>
                <wp:wrapNone/>
                <wp:docPr id="67" name="Chevron 66"/>
                <wp:cNvGraphicFramePr/>
                <a:graphic xmlns:a="http://schemas.openxmlformats.org/drawingml/2006/main">
                  <a:graphicData uri="http://schemas.microsoft.com/office/word/2010/wordprocessingShape">
                    <wps:wsp>
                      <wps:cNvSpPr/>
                      <wps:spPr bwMode="auto">
                        <a:xfrm>
                          <a:off x="0" y="0"/>
                          <a:ext cx="2385695"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66" o:spid="_x0000_s1026" type="#_x0000_t55" style="position:absolute;margin-left:156.75pt;margin-top:230.65pt;width:187.85pt;height:104.6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" adj="15583"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0432" behindDoc="0" locked="0" layoutInCell="1" allowOverlap="1" wp14:anchorId="641BA697" wp14:editId="13D2CAF2">
                <wp:simplePos x="0" y="0"/>
                <wp:positionH relativeFrom="column">
                  <wp:posOffset>-31115</wp:posOffset>
                </wp:positionH>
                <wp:positionV relativeFrom="paragraph">
                  <wp:posOffset>2940685</wp:posOffset>
                </wp:positionV>
                <wp:extent cx="2606040" cy="1329055"/>
                <wp:effectExtent l="19050" t="0" r="22860" b="23495"/>
                <wp:wrapNone/>
                <wp:docPr id="65" name="Chevron 64"/>
                <wp:cNvGraphicFramePr/>
                <a:graphic xmlns:a="http://schemas.openxmlformats.org/drawingml/2006/main">
                  <a:graphicData uri="http://schemas.microsoft.com/office/word/2010/wordprocessingShape">
                    <wps:wsp>
                      <wps:cNvSpPr/>
                      <wps:spPr bwMode="auto">
                        <a:xfrm>
                          <a:off x="0" y="0"/>
                          <a:ext cx="260604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64" o:spid="_x0000_s1026" type="#_x0000_t55" style="position:absolute;margin-left:-2.45pt;margin-top:231.55pt;width:205.2pt;height:104.6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" adj="16092"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1456" behindDoc="0" locked="0" layoutInCell="1" allowOverlap="1" wp14:anchorId="18C06275" wp14:editId="278DF35A">
                <wp:simplePos x="0" y="0"/>
                <wp:positionH relativeFrom="column">
                  <wp:posOffset>3382645</wp:posOffset>
                </wp:positionH>
                <wp:positionV relativeFrom="paragraph">
                  <wp:posOffset>1546225</wp:posOffset>
                </wp:positionV>
                <wp:extent cx="2153920" cy="1329055"/>
                <wp:effectExtent l="19050" t="0" r="17780" b="23495"/>
                <wp:wrapNone/>
                <wp:docPr id="60" name="Chevron 59"/>
                <wp:cNvGraphicFramePr/>
                <a:graphic xmlns:a="http://schemas.openxmlformats.org/drawingml/2006/main">
                  <a:graphicData uri="http://schemas.microsoft.com/office/word/2010/wordprocessingShape">
                    <wps:wsp>
                      <wps:cNvSpPr/>
                      <wps:spPr bwMode="auto">
                        <a:xfrm>
                          <a:off x="0" y="0"/>
                          <a:ext cx="215392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59" o:spid="_x0000_s1026" type="#_x0000_t55" style="position:absolute;margin-left:266.35pt;margin-top:121.75pt;width:169.6pt;height:104.6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" adj="14936"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2480" behindDoc="0" locked="0" layoutInCell="1" allowOverlap="1" wp14:anchorId="0BBD9D2A" wp14:editId="04430318">
                <wp:simplePos x="0" y="0"/>
                <wp:positionH relativeFrom="column">
                  <wp:posOffset>1890395</wp:posOffset>
                </wp:positionH>
                <wp:positionV relativeFrom="paragraph">
                  <wp:posOffset>1546225</wp:posOffset>
                </wp:positionV>
                <wp:extent cx="2078990" cy="1329055"/>
                <wp:effectExtent l="19050" t="0" r="16510" b="23495"/>
                <wp:wrapNone/>
                <wp:docPr id="59" name="Chevron 58"/>
                <wp:cNvGraphicFramePr/>
                <a:graphic xmlns:a="http://schemas.openxmlformats.org/drawingml/2006/main">
                  <a:graphicData uri="http://schemas.microsoft.com/office/word/2010/wordprocessingShape">
                    <wps:wsp>
                      <wps:cNvSpPr/>
                      <wps:spPr bwMode="auto">
                        <a:xfrm>
                          <a:off x="0" y="0"/>
                          <a:ext cx="207899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58" o:spid="_x0000_s1026" type="#_x0000_t55" style="position:absolute;margin-left:148.85pt;margin-top:121.75pt;width:163.7pt;height:104.6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" adj="14696"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3504" behindDoc="0" locked="0" layoutInCell="1" allowOverlap="1" wp14:anchorId="19DA50FD" wp14:editId="6761C643">
                <wp:simplePos x="0" y="0"/>
                <wp:positionH relativeFrom="column">
                  <wp:posOffset>-46990</wp:posOffset>
                </wp:positionH>
                <wp:positionV relativeFrom="paragraph">
                  <wp:posOffset>1546225</wp:posOffset>
                </wp:positionV>
                <wp:extent cx="2523490" cy="1329055"/>
                <wp:effectExtent l="19050" t="0" r="10160" b="23495"/>
                <wp:wrapNone/>
                <wp:docPr id="57" name="Chevron 56"/>
                <wp:cNvGraphicFramePr/>
                <a:graphic xmlns:a="http://schemas.openxmlformats.org/drawingml/2006/main">
                  <a:graphicData uri="http://schemas.microsoft.com/office/word/2010/wordprocessingShape">
                    <wps:wsp>
                      <wps:cNvSpPr/>
                      <wps:spPr bwMode="auto">
                        <a:xfrm>
                          <a:off x="0" y="0"/>
                          <a:ext cx="252349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56" o:spid="_x0000_s1026" type="#_x0000_t55" style="position:absolute;margin-left:-3.7pt;margin-top:121.75pt;width:198.7pt;height:104.65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" adj="15912"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4528" behindDoc="0" locked="0" layoutInCell="1" allowOverlap="1" wp14:anchorId="2CFFD5B4" wp14:editId="6DB61A4D">
                <wp:simplePos x="0" y="0"/>
                <wp:positionH relativeFrom="column">
                  <wp:posOffset>-22225</wp:posOffset>
                </wp:positionH>
                <wp:positionV relativeFrom="paragraph">
                  <wp:posOffset>138430</wp:posOffset>
                </wp:positionV>
                <wp:extent cx="2523490" cy="1329055"/>
                <wp:effectExtent l="19050" t="0" r="10160" b="23495"/>
                <wp:wrapNone/>
                <wp:docPr id="14" name="Chevron 6"/>
                <wp:cNvGraphicFramePr/>
                <a:graphic xmlns:a="http://schemas.openxmlformats.org/drawingml/2006/main">
                  <a:graphicData uri="http://schemas.microsoft.com/office/word/2010/wordprocessingShape">
                    <wps:wsp>
                      <wps:cNvSpPr/>
                      <wps:spPr bwMode="auto">
                        <a:xfrm>
                          <a:off x="0" y="0"/>
                          <a:ext cx="252349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6" o:spid="_x0000_s1026" type="#_x0000_t55" style="position:absolute;margin-left:-1.75pt;margin-top:10.9pt;width:198.7pt;height:104.65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" adj="15912"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5552" behindDoc="0" locked="0" layoutInCell="1" allowOverlap="1" wp14:anchorId="7E1BF9D9" wp14:editId="124D0008">
                <wp:simplePos x="0" y="0"/>
                <wp:positionH relativeFrom="column">
                  <wp:posOffset>1915160</wp:posOffset>
                </wp:positionH>
                <wp:positionV relativeFrom="paragraph">
                  <wp:posOffset>138430</wp:posOffset>
                </wp:positionV>
                <wp:extent cx="2078990" cy="1329055"/>
                <wp:effectExtent l="19050" t="0" r="16510" b="23495"/>
                <wp:wrapNone/>
                <wp:docPr id="15" name="Chevron 7"/>
                <wp:cNvGraphicFramePr/>
                <a:graphic xmlns:a="http://schemas.openxmlformats.org/drawingml/2006/main">
                  <a:graphicData uri="http://schemas.microsoft.com/office/word/2010/wordprocessingShape">
                    <wps:wsp>
                      <wps:cNvSpPr/>
                      <wps:spPr bwMode="auto">
                        <a:xfrm>
                          <a:off x="0" y="0"/>
                          <a:ext cx="207899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7" o:spid="_x0000_s1026" type="#_x0000_t55" style="position:absolute;margin-left:150.8pt;margin-top:10.9pt;width:163.7pt;height:104.6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" adj="14696"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6576" behindDoc="0" locked="0" layoutInCell="1" allowOverlap="1" wp14:anchorId="2F06F2AC" wp14:editId="38987A11">
                <wp:simplePos x="0" y="0"/>
                <wp:positionH relativeFrom="column">
                  <wp:posOffset>561340</wp:posOffset>
                </wp:positionH>
                <wp:positionV relativeFrom="paragraph">
                  <wp:posOffset>154305</wp:posOffset>
                </wp:positionV>
                <wp:extent cx="1310640" cy="276860"/>
                <wp:effectExtent l="0" t="0" r="0" b="0"/>
                <wp:wrapNone/>
                <wp:docPr id="19" name="TextBox 9"/>
                <wp:cNvGraphicFramePr/>
                <a:graphic xmlns:a="http://schemas.openxmlformats.org/drawingml/2006/main">
                  <a:graphicData uri="http://schemas.microsoft.com/office/word/2010/wordprocessingShape">
                    <wps:wsp>
                      <wps:cNvSpPr txBox="1"/>
                      <wps:spPr>
                        <a:xfrm>
                          <a:off x="0" y="0"/>
                          <a:ext cx="1310640"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Pre-trade/Trade</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44.2pt;margin-top:12.15pt;width:103.2pt;height:21.8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Pre-trade/Trade</w:t>
                      </w:r>
                    </w:p>
                  </w:txbxContent>
                </v:textbox>
              </v:shape>
            </w:pict>
          </mc:Fallback>
        </mc:AlternateContent>
      </w:r>
      <w:r w:rsidRPr="00113240">
        <w:rPr>
          <w:noProof/>
          <w:lang w:eastAsia="en-GB"/>
        </w:rPr>
        <mc:AlternateContent>
          <mc:Choice Requires="wps">
            <w:drawing>
              <wp:anchor distT="0" distB="0" distL="114300" distR="114300" simplePos="0" relativeHeight="251737600" behindDoc="0" locked="0" layoutInCell="1" allowOverlap="1" wp14:anchorId="4C8F9FE3" wp14:editId="3CF5ACC5">
                <wp:simplePos x="0" y="0"/>
                <wp:positionH relativeFrom="column">
                  <wp:posOffset>2381885</wp:posOffset>
                </wp:positionH>
                <wp:positionV relativeFrom="paragraph">
                  <wp:posOffset>148590</wp:posOffset>
                </wp:positionV>
                <wp:extent cx="944245" cy="276860"/>
                <wp:effectExtent l="0" t="0" r="0" b="0"/>
                <wp:wrapNone/>
                <wp:docPr id="11" name="TextBox 10"/>
                <wp:cNvGraphicFramePr/>
                <a:graphic xmlns:a="http://schemas.openxmlformats.org/drawingml/2006/main">
                  <a:graphicData uri="http://schemas.microsoft.com/office/word/2010/wordprocessingShape">
                    <wps:wsp>
                      <wps:cNvSpPr txBox="1"/>
                      <wps:spPr>
                        <a:xfrm>
                          <a:off x="0" y="0"/>
                          <a:ext cx="94424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Post-trade</w:t>
                            </w:r>
                          </w:p>
                        </w:txbxContent>
                      </wps:txbx>
                      <wps:bodyPr wrap="square" rtlCol="0">
                        <a:spAutoFit/>
                      </wps:bodyPr>
                    </wps:wsp>
                  </a:graphicData>
                </a:graphic>
              </wp:anchor>
            </w:drawing>
          </mc:Choice>
          <mc:Fallback>
            <w:pict>
              <v:shape id="TextBox 10" o:spid="_x0000_s1027" type="#_x0000_t202" style="position:absolute;left:0;text-align:left;margin-left:187.55pt;margin-top:11.7pt;width:74.35pt;height:21.8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Post-trade</w:t>
                      </w:r>
                    </w:p>
                  </w:txbxContent>
                </v:textbox>
              </v:shape>
            </w:pict>
          </mc:Fallback>
        </mc:AlternateContent>
      </w:r>
      <w:r w:rsidRPr="00113240">
        <w:rPr>
          <w:noProof/>
          <w:lang w:eastAsia="en-GB"/>
        </w:rPr>
        <mc:AlternateContent>
          <mc:Choice Requires="wps">
            <w:drawing>
              <wp:anchor distT="0" distB="0" distL="114300" distR="114300" simplePos="0" relativeHeight="251738624" behindDoc="0" locked="0" layoutInCell="1" allowOverlap="1" wp14:anchorId="37F1CB39" wp14:editId="520E1263">
                <wp:simplePos x="0" y="0"/>
                <wp:positionH relativeFrom="column">
                  <wp:posOffset>3407410</wp:posOffset>
                </wp:positionH>
                <wp:positionV relativeFrom="paragraph">
                  <wp:posOffset>138430</wp:posOffset>
                </wp:positionV>
                <wp:extent cx="2838450" cy="1329055"/>
                <wp:effectExtent l="19050" t="0" r="19050" b="23495"/>
                <wp:wrapNone/>
                <wp:docPr id="12" name="Chevron 11"/>
                <wp:cNvGraphicFramePr/>
                <a:graphic xmlns:a="http://schemas.openxmlformats.org/drawingml/2006/main">
                  <a:graphicData uri="http://schemas.microsoft.com/office/word/2010/wordprocessingShape">
                    <wps:wsp>
                      <wps:cNvSpPr/>
                      <wps:spPr bwMode="auto">
                        <a:xfrm>
                          <a:off x="0" y="0"/>
                          <a:ext cx="283845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11" o:spid="_x0000_s1026" type="#_x0000_t55" style="position:absolute;margin-left:268.3pt;margin-top:10.9pt;width:223.5pt;height:104.65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" adj="16543"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39648" behindDoc="0" locked="0" layoutInCell="1" allowOverlap="1" wp14:anchorId="00E44127" wp14:editId="4FA418D5">
                <wp:simplePos x="0" y="0"/>
                <wp:positionH relativeFrom="column">
                  <wp:posOffset>3639820</wp:posOffset>
                </wp:positionH>
                <wp:positionV relativeFrom="paragraph">
                  <wp:posOffset>152400</wp:posOffset>
                </wp:positionV>
                <wp:extent cx="2101215" cy="276860"/>
                <wp:effectExtent l="0" t="0" r="0" b="0"/>
                <wp:wrapNone/>
                <wp:docPr id="22" name="TextBox 12"/>
                <wp:cNvGraphicFramePr/>
                <a:graphic xmlns:a="http://schemas.openxmlformats.org/drawingml/2006/main">
                  <a:graphicData uri="http://schemas.microsoft.com/office/word/2010/wordprocessingShape">
                    <wps:wsp>
                      <wps:cNvSpPr txBox="1"/>
                      <wps:spPr>
                        <a:xfrm>
                          <a:off x="0" y="0"/>
                          <a:ext cx="210121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Clearing &amp; Pre-settlement</w:t>
                            </w:r>
                          </w:p>
                        </w:txbxContent>
                      </wps:txbx>
                      <wps:bodyPr wrap="square" rtlCol="0">
                        <a:spAutoFit/>
                      </wps:bodyPr>
                    </wps:wsp>
                  </a:graphicData>
                </a:graphic>
              </wp:anchor>
            </w:drawing>
          </mc:Choice>
          <mc:Fallback>
            <w:pict>
              <v:shape id="TextBox 12" o:spid="_x0000_s1028" type="#_x0000_t202" style="position:absolute;left:0;text-align:left;margin-left:286.6pt;margin-top:12pt;width:165.45pt;height:21.8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Clearing &amp; Pre-settlement</w:t>
                      </w:r>
                    </w:p>
                  </w:txbxContent>
                </v:textbox>
              </v:shape>
            </w:pict>
          </mc:Fallback>
        </mc:AlternateContent>
      </w:r>
      <w:r w:rsidRPr="00113240">
        <w:rPr>
          <w:noProof/>
          <w:lang w:eastAsia="en-GB"/>
        </w:rPr>
        <mc:AlternateContent>
          <mc:Choice Requires="wps">
            <w:drawing>
              <wp:anchor distT="0" distB="0" distL="114300" distR="114300" simplePos="0" relativeHeight="251740672" behindDoc="0" locked="0" layoutInCell="1" allowOverlap="1" wp14:anchorId="65598EE6" wp14:editId="37CC0BF6">
                <wp:simplePos x="0" y="0"/>
                <wp:positionH relativeFrom="column">
                  <wp:posOffset>5659755</wp:posOffset>
                </wp:positionH>
                <wp:positionV relativeFrom="paragraph">
                  <wp:posOffset>142240</wp:posOffset>
                </wp:positionV>
                <wp:extent cx="2237740" cy="1329055"/>
                <wp:effectExtent l="19050" t="0" r="10160" b="23495"/>
                <wp:wrapNone/>
                <wp:docPr id="23" name="Chevron 13"/>
                <wp:cNvGraphicFramePr/>
                <a:graphic xmlns:a="http://schemas.openxmlformats.org/drawingml/2006/main">
                  <a:graphicData uri="http://schemas.microsoft.com/office/word/2010/wordprocessingShape">
                    <wps:wsp>
                      <wps:cNvSpPr/>
                      <wps:spPr bwMode="auto">
                        <a:xfrm>
                          <a:off x="0" y="0"/>
                          <a:ext cx="2237740" cy="13290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13" o:spid="_x0000_s1026" type="#_x0000_t55" style="position:absolute;margin-left:445.65pt;margin-top:11.2pt;width:176.2pt;height:104.6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" adj="15186"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41696" behindDoc="0" locked="0" layoutInCell="1" allowOverlap="1" wp14:anchorId="29F3A041" wp14:editId="0257A6D3">
                <wp:simplePos x="0" y="0"/>
                <wp:positionH relativeFrom="column">
                  <wp:posOffset>6159500</wp:posOffset>
                </wp:positionH>
                <wp:positionV relativeFrom="paragraph">
                  <wp:posOffset>148590</wp:posOffset>
                </wp:positionV>
                <wp:extent cx="969645" cy="276860"/>
                <wp:effectExtent l="0" t="0" r="0" b="0"/>
                <wp:wrapNone/>
                <wp:docPr id="24" name="TextBox 14"/>
                <wp:cNvGraphicFramePr/>
                <a:graphic xmlns:a="http://schemas.openxmlformats.org/drawingml/2006/main">
                  <a:graphicData uri="http://schemas.microsoft.com/office/word/2010/wordprocessingShape">
                    <wps:wsp>
                      <wps:cNvSpPr txBox="1"/>
                      <wps:spPr>
                        <a:xfrm>
                          <a:off x="0" y="0"/>
                          <a:ext cx="96964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Settlement</w:t>
                            </w:r>
                          </w:p>
                        </w:txbxContent>
                      </wps:txbx>
                      <wps:bodyPr wrap="square" rtlCol="0">
                        <a:spAutoFit/>
                      </wps:bodyPr>
                    </wps:wsp>
                  </a:graphicData>
                </a:graphic>
              </wp:anchor>
            </w:drawing>
          </mc:Choice>
          <mc:Fallback>
            <w:pict>
              <v:shape id="TextBox 14" o:spid="_x0000_s1029" type="#_x0000_t202" style="position:absolute;left:0;text-align:left;margin-left:485pt;margin-top:11.7pt;width:76.35pt;height:21.8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Settlement</w:t>
                      </w:r>
                    </w:p>
                  </w:txbxContent>
                </v:textbox>
              </v:shape>
            </w:pict>
          </mc:Fallback>
        </mc:AlternateContent>
      </w:r>
      <w:r w:rsidRPr="00113240">
        <w:rPr>
          <w:noProof/>
          <w:lang w:eastAsia="en-GB"/>
        </w:rPr>
        <mc:AlternateContent>
          <mc:Choice Requires="wps">
            <w:drawing>
              <wp:anchor distT="0" distB="0" distL="114300" distR="114300" simplePos="0" relativeHeight="251742720" behindDoc="0" locked="0" layoutInCell="1" allowOverlap="1" wp14:anchorId="77A78B85" wp14:editId="71A06739">
                <wp:simplePos x="0" y="0"/>
                <wp:positionH relativeFrom="column">
                  <wp:posOffset>706755</wp:posOffset>
                </wp:positionH>
                <wp:positionV relativeFrom="paragraph">
                  <wp:posOffset>1574165</wp:posOffset>
                </wp:positionV>
                <wp:extent cx="1090295" cy="276860"/>
                <wp:effectExtent l="0" t="0" r="0" b="0"/>
                <wp:wrapNone/>
                <wp:docPr id="25" name="TextBox 16"/>
                <wp:cNvGraphicFramePr/>
                <a:graphic xmlns:a="http://schemas.openxmlformats.org/drawingml/2006/main">
                  <a:graphicData uri="http://schemas.microsoft.com/office/word/2010/wordprocessingShape">
                    <wps:wsp>
                      <wps:cNvSpPr txBox="1"/>
                      <wps:spPr>
                        <a:xfrm>
                          <a:off x="0" y="0"/>
                          <a:ext cx="109029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Corp Events</w:t>
                            </w:r>
                          </w:p>
                        </w:txbxContent>
                      </wps:txbx>
                      <wps:bodyPr wrap="square" rtlCol="0">
                        <a:spAutoFit/>
                      </wps:bodyPr>
                    </wps:wsp>
                  </a:graphicData>
                </a:graphic>
              </wp:anchor>
            </w:drawing>
          </mc:Choice>
          <mc:Fallback>
            <w:pict>
              <v:shape id="TextBox 16" o:spid="_x0000_s1030" type="#_x0000_t202" style="position:absolute;left:0;text-align:left;margin-left:55.65pt;margin-top:123.95pt;width:85.85pt;height:21.8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Corp Events</w:t>
                      </w:r>
                    </w:p>
                  </w:txbxContent>
                </v:textbox>
              </v:shape>
            </w:pict>
          </mc:Fallback>
        </mc:AlternateContent>
      </w:r>
      <w:r w:rsidRPr="00113240">
        <w:rPr>
          <w:noProof/>
          <w:lang w:eastAsia="en-GB"/>
        </w:rPr>
        <mc:AlternateContent>
          <mc:Choice Requires="wps">
            <w:drawing>
              <wp:anchor distT="0" distB="0" distL="114300" distR="114300" simplePos="0" relativeHeight="251743744" behindDoc="0" locked="0" layoutInCell="1" allowOverlap="1" wp14:anchorId="31A4FADB" wp14:editId="213874DC">
                <wp:simplePos x="0" y="0"/>
                <wp:positionH relativeFrom="column">
                  <wp:posOffset>2428240</wp:posOffset>
                </wp:positionH>
                <wp:positionV relativeFrom="paragraph">
                  <wp:posOffset>1553845</wp:posOffset>
                </wp:positionV>
                <wp:extent cx="841375" cy="276860"/>
                <wp:effectExtent l="0" t="0" r="0" b="0"/>
                <wp:wrapNone/>
                <wp:docPr id="26" name="TextBox 18"/>
                <wp:cNvGraphicFramePr/>
                <a:graphic xmlns:a="http://schemas.openxmlformats.org/drawingml/2006/main">
                  <a:graphicData uri="http://schemas.microsoft.com/office/word/2010/wordprocessingShape">
                    <wps:wsp>
                      <wps:cNvSpPr txBox="1"/>
                      <wps:spPr>
                        <a:xfrm>
                          <a:off x="0" y="0"/>
                          <a:ext cx="84137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Issuance</w:t>
                            </w:r>
                          </w:p>
                        </w:txbxContent>
                      </wps:txbx>
                      <wps:bodyPr wrap="square" rtlCol="0">
                        <a:spAutoFit/>
                      </wps:bodyPr>
                    </wps:wsp>
                  </a:graphicData>
                </a:graphic>
              </wp:anchor>
            </w:drawing>
          </mc:Choice>
          <mc:Fallback>
            <w:pict>
              <v:shape id="TextBox 18" o:spid="_x0000_s1031" type="#_x0000_t202" style="position:absolute;left:0;text-align:left;margin-left:191.2pt;margin-top:122.35pt;width:66.25pt;height:21.8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Issuance</w:t>
                      </w:r>
                    </w:p>
                  </w:txbxContent>
                </v:textbox>
              </v:shape>
            </w:pict>
          </mc:Fallback>
        </mc:AlternateContent>
      </w:r>
      <w:r w:rsidRPr="00113240">
        <w:rPr>
          <w:noProof/>
          <w:lang w:eastAsia="en-GB"/>
        </w:rPr>
        <mc:AlternateContent>
          <mc:Choice Requires="wps">
            <w:drawing>
              <wp:anchor distT="0" distB="0" distL="114300" distR="114300" simplePos="0" relativeHeight="251744768" behindDoc="0" locked="0" layoutInCell="1" allowOverlap="1" wp14:anchorId="0DE7D279" wp14:editId="1182286D">
                <wp:simplePos x="0" y="0"/>
                <wp:positionH relativeFrom="column">
                  <wp:posOffset>4065905</wp:posOffset>
                </wp:positionH>
                <wp:positionV relativeFrom="paragraph">
                  <wp:posOffset>1550670</wp:posOffset>
                </wp:positionV>
                <wp:extent cx="790575" cy="276860"/>
                <wp:effectExtent l="0" t="0" r="0" b="0"/>
                <wp:wrapNone/>
                <wp:docPr id="27" name="TextBox 20"/>
                <wp:cNvGraphicFramePr/>
                <a:graphic xmlns:a="http://schemas.openxmlformats.org/drawingml/2006/main">
                  <a:graphicData uri="http://schemas.microsoft.com/office/word/2010/wordprocessingShape">
                    <wps:wsp>
                      <wps:cNvSpPr txBox="1"/>
                      <wps:spPr>
                        <a:xfrm>
                          <a:off x="0" y="0"/>
                          <a:ext cx="79057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Ref data</w:t>
                            </w:r>
                          </w:p>
                        </w:txbxContent>
                      </wps:txbx>
                      <wps:bodyPr wrap="none" rtlCol="0">
                        <a:spAutoFit/>
                      </wps:bodyPr>
                    </wps:wsp>
                  </a:graphicData>
                </a:graphic>
              </wp:anchor>
            </w:drawing>
          </mc:Choice>
          <mc:Fallback>
            <w:pict>
              <v:shape id="TextBox 20" o:spid="_x0000_s1032" type="#_x0000_t202" style="position:absolute;left:0;text-align:left;margin-left:320.15pt;margin-top:122.1pt;width:62.25pt;height:21.8pt;z-index:251744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Ref data</w:t>
                      </w:r>
                    </w:p>
                  </w:txbxContent>
                </v:textbox>
              </v:shape>
            </w:pict>
          </mc:Fallback>
        </mc:AlternateContent>
      </w:r>
      <w:r w:rsidRPr="00113240">
        <w:rPr>
          <w:noProof/>
          <w:lang w:eastAsia="en-GB"/>
        </w:rPr>
        <mc:AlternateContent>
          <mc:Choice Requires="wps">
            <w:drawing>
              <wp:anchor distT="0" distB="0" distL="114300" distR="114300" simplePos="0" relativeHeight="251745792" behindDoc="0" locked="0" layoutInCell="1" allowOverlap="1" wp14:anchorId="4955A77A" wp14:editId="7606D0E7">
                <wp:simplePos x="0" y="0"/>
                <wp:positionH relativeFrom="column">
                  <wp:posOffset>3952875</wp:posOffset>
                </wp:positionH>
                <wp:positionV relativeFrom="paragraph">
                  <wp:posOffset>2940685</wp:posOffset>
                </wp:positionV>
                <wp:extent cx="1819275" cy="276860"/>
                <wp:effectExtent l="0" t="0" r="0" b="0"/>
                <wp:wrapNone/>
                <wp:docPr id="28" name="TextBox 22"/>
                <wp:cNvGraphicFramePr/>
                <a:graphic xmlns:a="http://schemas.openxmlformats.org/drawingml/2006/main">
                  <a:graphicData uri="http://schemas.microsoft.com/office/word/2010/wordprocessingShape">
                    <wps:wsp>
                      <wps:cNvSpPr txBox="1"/>
                      <wps:spPr>
                        <a:xfrm>
                          <a:off x="0" y="0"/>
                          <a:ext cx="181927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Portfolio Management</w:t>
                            </w:r>
                          </w:p>
                        </w:txbxContent>
                      </wps:txbx>
                      <wps:bodyPr wrap="square" rtlCol="0">
                        <a:spAutoFit/>
                      </wps:bodyPr>
                    </wps:wsp>
                  </a:graphicData>
                </a:graphic>
              </wp:anchor>
            </w:drawing>
          </mc:Choice>
          <mc:Fallback>
            <w:pict>
              <v:shape id="TextBox 22" o:spid="_x0000_s1033" type="#_x0000_t202" style="position:absolute;left:0;text-align:left;margin-left:311.25pt;margin-top:231.55pt;width:143.25pt;height:21.8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Portfolio Management</w:t>
                      </w:r>
                    </w:p>
                  </w:txbxContent>
                </v:textbox>
              </v:shape>
            </w:pict>
          </mc:Fallback>
        </mc:AlternateContent>
      </w:r>
      <w:r w:rsidRPr="00113240">
        <w:rPr>
          <w:noProof/>
          <w:lang w:eastAsia="en-GB"/>
        </w:rPr>
        <mc:AlternateContent>
          <mc:Choice Requires="wps">
            <w:drawing>
              <wp:anchor distT="0" distB="0" distL="114300" distR="114300" simplePos="0" relativeHeight="251746816" behindDoc="0" locked="0" layoutInCell="1" allowOverlap="1" wp14:anchorId="7E892919" wp14:editId="6EFA9599">
                <wp:simplePos x="0" y="0"/>
                <wp:positionH relativeFrom="column">
                  <wp:posOffset>2235200</wp:posOffset>
                </wp:positionH>
                <wp:positionV relativeFrom="paragraph">
                  <wp:posOffset>2945765</wp:posOffset>
                </wp:positionV>
                <wp:extent cx="1790700" cy="276860"/>
                <wp:effectExtent l="0" t="0" r="0" b="0"/>
                <wp:wrapNone/>
                <wp:docPr id="29" name="TextBox 24"/>
                <wp:cNvGraphicFramePr/>
                <a:graphic xmlns:a="http://schemas.openxmlformats.org/drawingml/2006/main">
                  <a:graphicData uri="http://schemas.microsoft.com/office/word/2010/wordprocessingShape">
                    <wps:wsp>
                      <wps:cNvSpPr txBox="1"/>
                      <wps:spPr>
                        <a:xfrm>
                          <a:off x="0" y="0"/>
                          <a:ext cx="1790700"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Asset Management</w:t>
                            </w:r>
                          </w:p>
                        </w:txbxContent>
                      </wps:txbx>
                      <wps:bodyPr wrap="square" rtlCol="0">
                        <a:spAutoFit/>
                      </wps:bodyPr>
                    </wps:wsp>
                  </a:graphicData>
                </a:graphic>
              </wp:anchor>
            </w:drawing>
          </mc:Choice>
          <mc:Fallback>
            <w:pict>
              <v:shape id="TextBox 24" o:spid="_x0000_s1034" type="#_x0000_t202" style="position:absolute;left:0;text-align:left;margin-left:176pt;margin-top:231.95pt;width:141pt;height:21.8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Asset Management</w:t>
                      </w:r>
                    </w:p>
                  </w:txbxContent>
                </v:textbox>
              </v:shape>
            </w:pict>
          </mc:Fallback>
        </mc:AlternateContent>
      </w:r>
      <w:r w:rsidRPr="00113240">
        <w:rPr>
          <w:noProof/>
          <w:lang w:eastAsia="en-GB"/>
        </w:rPr>
        <mc:AlternateContent>
          <mc:Choice Requires="wps">
            <w:drawing>
              <wp:anchor distT="0" distB="0" distL="114300" distR="114300" simplePos="0" relativeHeight="251747840" behindDoc="0" locked="0" layoutInCell="1" allowOverlap="1" wp14:anchorId="1E49EF9E" wp14:editId="157A3C92">
                <wp:simplePos x="0" y="0"/>
                <wp:positionH relativeFrom="column">
                  <wp:posOffset>125095</wp:posOffset>
                </wp:positionH>
                <wp:positionV relativeFrom="paragraph">
                  <wp:posOffset>2954655</wp:posOffset>
                </wp:positionV>
                <wp:extent cx="2600325" cy="276860"/>
                <wp:effectExtent l="0" t="0" r="0" b="0"/>
                <wp:wrapNone/>
                <wp:docPr id="30" name="TextBox 26"/>
                <wp:cNvGraphicFramePr/>
                <a:graphic xmlns:a="http://schemas.openxmlformats.org/drawingml/2006/main">
                  <a:graphicData uri="http://schemas.microsoft.com/office/word/2010/wordprocessingShape">
                    <wps:wsp>
                      <wps:cNvSpPr txBox="1"/>
                      <wps:spPr>
                        <a:xfrm>
                          <a:off x="0" y="0"/>
                          <a:ext cx="260032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Portfolio Administration</w:t>
                            </w:r>
                          </w:p>
                        </w:txbxContent>
                      </wps:txbx>
                      <wps:bodyPr wrap="square" rtlCol="0">
                        <a:spAutoFit/>
                      </wps:bodyPr>
                    </wps:wsp>
                  </a:graphicData>
                </a:graphic>
              </wp:anchor>
            </w:drawing>
          </mc:Choice>
          <mc:Fallback>
            <w:pict>
              <v:shape id="TextBox 26" o:spid="_x0000_s1035" type="#_x0000_t202" style="position:absolute;left:0;text-align:left;margin-left:9.85pt;margin-top:232.65pt;width:204.75pt;height:21.8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Portfolio Administration</w:t>
                      </w:r>
                    </w:p>
                  </w:txbxContent>
                </v:textbox>
              </v:shape>
            </w:pict>
          </mc:Fallback>
        </mc:AlternateContent>
      </w:r>
      <w:r w:rsidRPr="00113240">
        <w:rPr>
          <w:noProof/>
          <w:lang w:eastAsia="en-GB"/>
        </w:rPr>
        <mc:AlternateContent>
          <mc:Choice Requires="wps">
            <w:drawing>
              <wp:anchor distT="0" distB="0" distL="114300" distR="114300" simplePos="0" relativeHeight="251748864" behindDoc="0" locked="0" layoutInCell="1" allowOverlap="1" wp14:anchorId="0D725B0C" wp14:editId="771BA310">
                <wp:simplePos x="0" y="0"/>
                <wp:positionH relativeFrom="column">
                  <wp:posOffset>1099820</wp:posOffset>
                </wp:positionH>
                <wp:positionV relativeFrom="paragraph">
                  <wp:posOffset>598170</wp:posOffset>
                </wp:positionV>
                <wp:extent cx="359410" cy="359410"/>
                <wp:effectExtent l="0" t="0" r="21590" b="21590"/>
                <wp:wrapNone/>
                <wp:docPr id="42" name="Oval 41"/>
                <wp:cNvGraphicFramePr/>
                <a:graphic xmlns:a="http://schemas.openxmlformats.org/drawingml/2006/main">
                  <a:graphicData uri="http://schemas.microsoft.com/office/word/2010/wordprocessingShape">
                    <wps:wsp>
                      <wps:cNvSpPr/>
                      <wps:spPr bwMode="auto">
                        <a:xfrm>
                          <a:off x="0" y="0"/>
                          <a:ext cx="359410" cy="359410"/>
                        </a:xfrm>
                        <a:prstGeom prst="ellipse">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41" o:spid="_x0000_s1026" style="position:absolute;margin-left:86.6pt;margin-top:47.1pt;width:28.3pt;height:28.3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" fillcolor="red" strokecolor="black [3213]"/>
            </w:pict>
          </mc:Fallback>
        </mc:AlternateContent>
      </w:r>
      <w:r w:rsidRPr="00113240">
        <w:rPr>
          <w:noProof/>
          <w:lang w:eastAsia="en-GB"/>
        </w:rPr>
        <mc:AlternateContent>
          <mc:Choice Requires="wps">
            <w:drawing>
              <wp:anchor distT="0" distB="0" distL="114300" distR="114300" simplePos="0" relativeHeight="251749888" behindDoc="0" locked="0" layoutInCell="1" allowOverlap="1" wp14:anchorId="7A4B967E" wp14:editId="40D95F60">
                <wp:simplePos x="0" y="0"/>
                <wp:positionH relativeFrom="column">
                  <wp:posOffset>1422400</wp:posOffset>
                </wp:positionH>
                <wp:positionV relativeFrom="paragraph">
                  <wp:posOffset>651510</wp:posOffset>
                </wp:positionV>
                <wp:extent cx="1021080" cy="253365"/>
                <wp:effectExtent l="0" t="0" r="0" b="0"/>
                <wp:wrapNone/>
                <wp:docPr id="44" name="TextBox 43"/>
                <wp:cNvGraphicFramePr/>
                <a:graphic xmlns:a="http://schemas.openxmlformats.org/drawingml/2006/main">
                  <a:graphicData uri="http://schemas.microsoft.com/office/word/2010/wordprocessingShape">
                    <wps:wsp>
                      <wps:cNvSpPr txBox="1"/>
                      <wps:spPr>
                        <a:xfrm>
                          <a:off x="0" y="0"/>
                          <a:ext cx="1021080" cy="253365"/>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1"/>
                                <w:szCs w:val="21"/>
                                <w:lang w:val="en-US"/>
                              </w:rPr>
                              <w:t>(</w:t>
                            </w:r>
                            <w:proofErr w:type="gramStart"/>
                            <w:r>
                              <w:rPr>
                                <w:rFonts w:ascii="Arial" w:hAnsi="Arial" w:cstheme="minorBidi"/>
                                <w:color w:val="000000" w:themeColor="text1"/>
                                <w:kern w:val="24"/>
                                <w:sz w:val="21"/>
                                <w:szCs w:val="21"/>
                                <w:lang w:val="en-US"/>
                              </w:rPr>
                              <w:t>maps</w:t>
                            </w:r>
                            <w:proofErr w:type="gramEnd"/>
                            <w:r>
                              <w:rPr>
                                <w:rFonts w:ascii="Arial" w:hAnsi="Arial" w:cstheme="minorBidi"/>
                                <w:color w:val="000000" w:themeColor="text1"/>
                                <w:kern w:val="24"/>
                                <w:sz w:val="21"/>
                                <w:szCs w:val="21"/>
                                <w:lang w:val="en-US"/>
                              </w:rPr>
                              <w:t xml:space="preserve"> to ISO)</w:t>
                            </w:r>
                          </w:p>
                        </w:txbxContent>
                      </wps:txbx>
                      <wps:bodyPr wrap="none" rtlCol="0">
                        <a:spAutoFit/>
                      </wps:bodyPr>
                    </wps:wsp>
                  </a:graphicData>
                </a:graphic>
              </wp:anchor>
            </w:drawing>
          </mc:Choice>
          <mc:Fallback>
            <w:pict>
              <v:shape id="TextBox 43" o:spid="_x0000_s1036" type="#_x0000_t202" style="position:absolute;left:0;text-align:left;margin-left:112pt;margin-top:51.3pt;width:80.4pt;height:19.95pt;z-index:251749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1"/>
                          <w:szCs w:val="21"/>
                          <w:lang w:val="en-US"/>
                        </w:rPr>
                        <w:t>(</w:t>
                      </w:r>
                      <w:proofErr w:type="gramStart"/>
                      <w:r>
                        <w:rPr>
                          <w:rFonts w:ascii="Arial" w:hAnsi="Arial" w:cstheme="minorBidi"/>
                          <w:color w:val="000000" w:themeColor="text1"/>
                          <w:kern w:val="24"/>
                          <w:sz w:val="21"/>
                          <w:szCs w:val="21"/>
                          <w:lang w:val="en-US"/>
                        </w:rPr>
                        <w:t>maps</w:t>
                      </w:r>
                      <w:proofErr w:type="gramEnd"/>
                      <w:r>
                        <w:rPr>
                          <w:rFonts w:ascii="Arial" w:hAnsi="Arial" w:cstheme="minorBidi"/>
                          <w:color w:val="000000" w:themeColor="text1"/>
                          <w:kern w:val="24"/>
                          <w:sz w:val="21"/>
                          <w:szCs w:val="21"/>
                          <w:lang w:val="en-US"/>
                        </w:rPr>
                        <w:t xml:space="preserve"> to ISO)</w:t>
                      </w:r>
                    </w:p>
                  </w:txbxContent>
                </v:textbox>
              </v:shape>
            </w:pict>
          </mc:Fallback>
        </mc:AlternateContent>
      </w:r>
      <w:r w:rsidRPr="00113240">
        <w:rPr>
          <w:noProof/>
          <w:lang w:eastAsia="en-GB"/>
        </w:rPr>
        <mc:AlternateContent>
          <mc:Choice Requires="wps">
            <w:drawing>
              <wp:anchor distT="0" distB="0" distL="114300" distR="114300" simplePos="0" relativeHeight="251750912" behindDoc="0" locked="0" layoutInCell="1" allowOverlap="1" wp14:anchorId="6E2CCC99" wp14:editId="47B20AE8">
                <wp:simplePos x="0" y="0"/>
                <wp:positionH relativeFrom="column">
                  <wp:posOffset>2884805</wp:posOffset>
                </wp:positionH>
                <wp:positionV relativeFrom="paragraph">
                  <wp:posOffset>488950</wp:posOffset>
                </wp:positionV>
                <wp:extent cx="179705" cy="179705"/>
                <wp:effectExtent l="0" t="0" r="10795" b="10795"/>
                <wp:wrapNone/>
                <wp:docPr id="46" name="Oval 45"/>
                <wp:cNvGraphicFramePr/>
                <a:graphic xmlns:a="http://schemas.openxmlformats.org/drawingml/2006/main">
                  <a:graphicData uri="http://schemas.microsoft.com/office/word/2010/wordprocessingShape">
                    <wps:wsp>
                      <wps:cNvSpPr/>
                      <wps:spPr bwMode="auto">
                        <a:xfrm>
                          <a:off x="0" y="0"/>
                          <a:ext cx="179705" cy="179705"/>
                        </a:xfrm>
                        <a:prstGeom prst="ellipse">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45" o:spid="_x0000_s1026" style="position:absolute;margin-left:227.15pt;margin-top:38.5pt;width:14.15pt;height:14.1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" fillcolor="red" strokecolor="black [3213]"/>
            </w:pict>
          </mc:Fallback>
        </mc:AlternateContent>
      </w:r>
      <w:r w:rsidRPr="00113240">
        <w:rPr>
          <w:noProof/>
          <w:lang w:eastAsia="en-GB"/>
        </w:rPr>
        <mc:AlternateContent>
          <mc:Choice Requires="wps">
            <w:drawing>
              <wp:anchor distT="0" distB="0" distL="114300" distR="114300" simplePos="0" relativeHeight="251751936" behindDoc="0" locked="0" layoutInCell="1" allowOverlap="1" wp14:anchorId="145953C1" wp14:editId="41EED50D">
                <wp:simplePos x="0" y="0"/>
                <wp:positionH relativeFrom="column">
                  <wp:posOffset>2917825</wp:posOffset>
                </wp:positionH>
                <wp:positionV relativeFrom="paragraph">
                  <wp:posOffset>757555</wp:posOffset>
                </wp:positionV>
                <wp:extent cx="142240" cy="142240"/>
                <wp:effectExtent l="0" t="0" r="10160" b="10160"/>
                <wp:wrapNone/>
                <wp:docPr id="47" name="Oval 46"/>
                <wp:cNvGraphicFramePr/>
                <a:graphic xmlns:a="http://schemas.openxmlformats.org/drawingml/2006/main">
                  <a:graphicData uri="http://schemas.microsoft.com/office/word/2010/wordprocessingShape">
                    <wps:wsp>
                      <wps:cNvSpPr/>
                      <wps:spPr bwMode="auto">
                        <a:xfrm>
                          <a:off x="0" y="0"/>
                          <a:ext cx="142240" cy="142240"/>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46" o:spid="_x0000_s1026" style="position:absolute;margin-left:229.75pt;margin-top:59.65pt;width:11.2pt;height:11.2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" fillcolor="#002060" strokecolor="black [3213]"/>
            </w:pict>
          </mc:Fallback>
        </mc:AlternateContent>
      </w:r>
      <w:r w:rsidRPr="00113240">
        <w:rPr>
          <w:noProof/>
          <w:lang w:eastAsia="en-GB"/>
        </w:rPr>
        <mc:AlternateContent>
          <mc:Choice Requires="wps">
            <w:drawing>
              <wp:anchor distT="0" distB="0" distL="114300" distR="114300" simplePos="0" relativeHeight="251752960" behindDoc="0" locked="0" layoutInCell="1" allowOverlap="1" wp14:anchorId="02702792" wp14:editId="23AAC955">
                <wp:simplePos x="0" y="0"/>
                <wp:positionH relativeFrom="column">
                  <wp:posOffset>2884805</wp:posOffset>
                </wp:positionH>
                <wp:positionV relativeFrom="paragraph">
                  <wp:posOffset>1033780</wp:posOffset>
                </wp:positionV>
                <wp:extent cx="215900" cy="215900"/>
                <wp:effectExtent l="76200" t="76200" r="88900" b="88900"/>
                <wp:wrapNone/>
                <wp:docPr id="50" name="Oval 49"/>
                <wp:cNvGraphicFramePr/>
                <a:graphic xmlns:a="http://schemas.openxmlformats.org/drawingml/2006/main">
                  <a:graphicData uri="http://schemas.microsoft.com/office/word/2010/wordprocessingShape">
                    <wps:wsp>
                      <wps:cNvSpPr/>
                      <wps:spPr bwMode="auto">
                        <a:xfrm>
                          <a:off x="0" y="0"/>
                          <a:ext cx="215900" cy="215900"/>
                        </a:xfrm>
                        <a:prstGeom prst="ellipse">
                          <a:avLst/>
                        </a:prstGeom>
                        <a:noFill/>
                        <a:ln w="161925" cap="flat" cmpd="sng" algn="ctr">
                          <a:solidFill>
                            <a:srgbClr val="6CF4DA"/>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49" o:spid="_x0000_s1026" style="position:absolute;margin-left:227.15pt;margin-top:81.4pt;width:17pt;height:17pt;z-index:25175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" filled="f" strokecolor="#6cf4da" strokeweight="12.75pt"/>
            </w:pict>
          </mc:Fallback>
        </mc:AlternateContent>
      </w:r>
      <w:r w:rsidRPr="00113240">
        <w:rPr>
          <w:noProof/>
          <w:lang w:eastAsia="en-GB"/>
        </w:rPr>
        <mc:AlternateContent>
          <mc:Choice Requires="wps">
            <w:drawing>
              <wp:anchor distT="0" distB="0" distL="114300" distR="114300" simplePos="0" relativeHeight="251753984" behindDoc="0" locked="0" layoutInCell="1" allowOverlap="1" wp14:anchorId="69FA8BAF" wp14:editId="4BCDA632">
                <wp:simplePos x="0" y="0"/>
                <wp:positionH relativeFrom="column">
                  <wp:posOffset>4790440</wp:posOffset>
                </wp:positionH>
                <wp:positionV relativeFrom="paragraph">
                  <wp:posOffset>497205</wp:posOffset>
                </wp:positionV>
                <wp:extent cx="179705" cy="179705"/>
                <wp:effectExtent l="0" t="0" r="10795" b="10795"/>
                <wp:wrapNone/>
                <wp:docPr id="51" name="Oval 50"/>
                <wp:cNvGraphicFramePr/>
                <a:graphic xmlns:a="http://schemas.openxmlformats.org/drawingml/2006/main">
                  <a:graphicData uri="http://schemas.microsoft.com/office/word/2010/wordprocessingShape">
                    <wps:wsp>
                      <wps:cNvSpPr/>
                      <wps:spPr bwMode="auto">
                        <a:xfrm>
                          <a:off x="0" y="0"/>
                          <a:ext cx="179705" cy="179705"/>
                        </a:xfrm>
                        <a:prstGeom prst="ellipse">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0" o:spid="_x0000_s1026" style="position:absolute;margin-left:377.2pt;margin-top:39.15pt;width:14.15pt;height:14.1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" fillcolor="red" strokecolor="black [3213]"/>
            </w:pict>
          </mc:Fallback>
        </mc:AlternateContent>
      </w:r>
      <w:r w:rsidRPr="00113240">
        <w:rPr>
          <w:noProof/>
          <w:lang w:eastAsia="en-GB"/>
        </w:rPr>
        <mc:AlternateContent>
          <mc:Choice Requires="wps">
            <w:drawing>
              <wp:anchor distT="0" distB="0" distL="114300" distR="114300" simplePos="0" relativeHeight="251755008" behindDoc="0" locked="0" layoutInCell="1" allowOverlap="1" wp14:anchorId="2B6D9C0A" wp14:editId="2707F73D">
                <wp:simplePos x="0" y="0"/>
                <wp:positionH relativeFrom="column">
                  <wp:posOffset>4794885</wp:posOffset>
                </wp:positionH>
                <wp:positionV relativeFrom="paragraph">
                  <wp:posOffset>742315</wp:posOffset>
                </wp:positionV>
                <wp:extent cx="179705" cy="179705"/>
                <wp:effectExtent l="0" t="0" r="10795" b="10795"/>
                <wp:wrapNone/>
                <wp:docPr id="52" name="Oval 51"/>
                <wp:cNvGraphicFramePr/>
                <a:graphic xmlns:a="http://schemas.openxmlformats.org/drawingml/2006/main">
                  <a:graphicData uri="http://schemas.microsoft.com/office/word/2010/wordprocessingShape">
                    <wps:wsp>
                      <wps:cNvSpPr/>
                      <wps:spPr bwMode="auto">
                        <a:xfrm>
                          <a:off x="0" y="0"/>
                          <a:ext cx="179705" cy="179705"/>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1" o:spid="_x0000_s1026" style="position:absolute;margin-left:377.55pt;margin-top:58.45pt;width:14.15pt;height:14.15pt;z-index:25175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" fillcolor="#002060" strokecolor="black [3213]"/>
            </w:pict>
          </mc:Fallback>
        </mc:AlternateContent>
      </w:r>
      <w:r w:rsidRPr="00113240">
        <w:rPr>
          <w:noProof/>
          <w:lang w:eastAsia="en-GB"/>
        </w:rPr>
        <mc:AlternateContent>
          <mc:Choice Requires="wps">
            <w:drawing>
              <wp:anchor distT="0" distB="0" distL="114300" distR="114300" simplePos="0" relativeHeight="251756032" behindDoc="0" locked="0" layoutInCell="1" allowOverlap="1" wp14:anchorId="77A49D33" wp14:editId="012F96A8">
                <wp:simplePos x="0" y="0"/>
                <wp:positionH relativeFrom="column">
                  <wp:posOffset>6613525</wp:posOffset>
                </wp:positionH>
                <wp:positionV relativeFrom="paragraph">
                  <wp:posOffset>504190</wp:posOffset>
                </wp:positionV>
                <wp:extent cx="287655" cy="287655"/>
                <wp:effectExtent l="0" t="0" r="17145" b="17145"/>
                <wp:wrapNone/>
                <wp:docPr id="58" name="Oval 57"/>
                <wp:cNvGraphicFramePr/>
                <a:graphic xmlns:a="http://schemas.openxmlformats.org/drawingml/2006/main">
                  <a:graphicData uri="http://schemas.microsoft.com/office/word/2010/wordprocessingShape">
                    <wps:wsp>
                      <wps:cNvSpPr/>
                      <wps:spPr bwMode="auto">
                        <a:xfrm>
                          <a:off x="0" y="0"/>
                          <a:ext cx="287655" cy="287655"/>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7" o:spid="_x0000_s1026" style="position:absolute;margin-left:520.75pt;margin-top:39.7pt;width:22.65pt;height:22.6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" fillcolor="#002060" strokecolor="black [3213]"/>
            </w:pict>
          </mc:Fallback>
        </mc:AlternateContent>
      </w:r>
      <w:r w:rsidRPr="00113240">
        <w:rPr>
          <w:noProof/>
          <w:lang w:eastAsia="en-GB"/>
        </w:rPr>
        <mc:AlternateContent>
          <mc:Choice Requires="wps">
            <w:drawing>
              <wp:anchor distT="0" distB="0" distL="114300" distR="114300" simplePos="0" relativeHeight="251757056" behindDoc="0" locked="0" layoutInCell="1" allowOverlap="1" wp14:anchorId="19B35884" wp14:editId="10577D40">
                <wp:simplePos x="0" y="0"/>
                <wp:positionH relativeFrom="column">
                  <wp:posOffset>1120140</wp:posOffset>
                </wp:positionH>
                <wp:positionV relativeFrom="paragraph">
                  <wp:posOffset>1844040</wp:posOffset>
                </wp:positionV>
                <wp:extent cx="287655" cy="287655"/>
                <wp:effectExtent l="0" t="0" r="17145" b="17145"/>
                <wp:wrapNone/>
                <wp:docPr id="54" name="Oval 53"/>
                <wp:cNvGraphicFramePr/>
                <a:graphic xmlns:a="http://schemas.openxmlformats.org/drawingml/2006/main">
                  <a:graphicData uri="http://schemas.microsoft.com/office/word/2010/wordprocessingShape">
                    <wps:wsp>
                      <wps:cNvSpPr/>
                      <wps:spPr bwMode="auto">
                        <a:xfrm>
                          <a:off x="0" y="0"/>
                          <a:ext cx="287655" cy="287655"/>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3" o:spid="_x0000_s1026" style="position:absolute;margin-left:88.2pt;margin-top:145.2pt;width:22.65pt;height:22.6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" fillcolor="#002060" strokecolor="black [3213]"/>
            </w:pict>
          </mc:Fallback>
        </mc:AlternateContent>
      </w:r>
      <w:r w:rsidRPr="00113240">
        <w:rPr>
          <w:noProof/>
          <w:lang w:eastAsia="en-GB"/>
        </w:rPr>
        <mc:AlternateContent>
          <mc:Choice Requires="wps">
            <w:drawing>
              <wp:anchor distT="0" distB="0" distL="114300" distR="114300" simplePos="0" relativeHeight="251758080" behindDoc="0" locked="0" layoutInCell="1" allowOverlap="1" wp14:anchorId="076CAF32" wp14:editId="6F89D010">
                <wp:simplePos x="0" y="0"/>
                <wp:positionH relativeFrom="column">
                  <wp:posOffset>1091565</wp:posOffset>
                </wp:positionH>
                <wp:positionV relativeFrom="paragraph">
                  <wp:posOffset>2185670</wp:posOffset>
                </wp:positionV>
                <wp:extent cx="359410" cy="359410"/>
                <wp:effectExtent l="0" t="0" r="21590" b="21590"/>
                <wp:wrapNone/>
                <wp:docPr id="31" name="Oval 73"/>
                <wp:cNvGraphicFramePr/>
                <a:graphic xmlns:a="http://schemas.openxmlformats.org/drawingml/2006/main">
                  <a:graphicData uri="http://schemas.microsoft.com/office/word/2010/wordprocessingShape">
                    <wps:wsp>
                      <wps:cNvSpPr/>
                      <wps:spPr bwMode="auto">
                        <a:xfrm>
                          <a:off x="0" y="0"/>
                          <a:ext cx="359410" cy="359410"/>
                        </a:xfrm>
                        <a:prstGeom prst="ellipse">
                          <a:avLst/>
                        </a:prstGeom>
                        <a:solidFill>
                          <a:srgbClr val="6CF4DA"/>
                        </a:solidFill>
                        <a:ln w="3175">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rtlCol="0" anchor="t" anchorCtr="0" compatLnSpc="1">
                        <a:prstTxWarp prst="textNoShape">
                          <a:avLst/>
                        </a:prstTxWarp>
                      </wps:bodyPr>
                    </wps:wsp>
                  </a:graphicData>
                </a:graphic>
              </wp:anchor>
            </w:drawing>
          </mc:Choice>
          <mc:Fallback>
            <w:pict>
              <v:oval id="Oval 73" o:spid="_x0000_s1026" style="position:absolute;margin-left:85.95pt;margin-top:172.1pt;width:28.3pt;height:28.3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" fillcolor="#6cf4da" strokecolor="black [3213]" strokeweight=".25pt"/>
            </w:pict>
          </mc:Fallback>
        </mc:AlternateContent>
      </w:r>
      <w:r w:rsidRPr="00113240">
        <w:rPr>
          <w:noProof/>
          <w:lang w:eastAsia="en-GB"/>
        </w:rPr>
        <mc:AlternateContent>
          <mc:Choice Requires="wps">
            <w:drawing>
              <wp:anchor distT="0" distB="0" distL="114300" distR="114300" simplePos="0" relativeHeight="251759104" behindDoc="0" locked="0" layoutInCell="1" allowOverlap="1" wp14:anchorId="14FFF588" wp14:editId="3A7B19EE">
                <wp:simplePos x="0" y="0"/>
                <wp:positionH relativeFrom="column">
                  <wp:posOffset>4359910</wp:posOffset>
                </wp:positionH>
                <wp:positionV relativeFrom="paragraph">
                  <wp:posOffset>1880235</wp:posOffset>
                </wp:positionV>
                <wp:extent cx="180975" cy="179705"/>
                <wp:effectExtent l="0" t="0" r="28575" b="10795"/>
                <wp:wrapNone/>
                <wp:docPr id="32" name="Oval 77"/>
                <wp:cNvGraphicFramePr/>
                <a:graphic xmlns:a="http://schemas.openxmlformats.org/drawingml/2006/main">
                  <a:graphicData uri="http://schemas.microsoft.com/office/word/2010/wordprocessingShape">
                    <wps:wsp>
                      <wps:cNvSpPr/>
                      <wps:spPr bwMode="auto">
                        <a:xfrm>
                          <a:off x="0" y="0"/>
                          <a:ext cx="180975" cy="179705"/>
                        </a:xfrm>
                        <a:prstGeom prst="ellipse">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77" o:spid="_x0000_s1026" style="position:absolute;margin-left:343.3pt;margin-top:148.05pt;width:14.25pt;height:14.15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" fillcolor="red" strokecolor="black [3213]"/>
            </w:pict>
          </mc:Fallback>
        </mc:AlternateContent>
      </w:r>
      <w:r w:rsidRPr="00113240">
        <w:rPr>
          <w:noProof/>
          <w:lang w:eastAsia="en-GB"/>
        </w:rPr>
        <mc:AlternateContent>
          <mc:Choice Requires="wps">
            <w:drawing>
              <wp:anchor distT="0" distB="0" distL="114300" distR="114300" simplePos="0" relativeHeight="251760128" behindDoc="0" locked="0" layoutInCell="1" allowOverlap="1" wp14:anchorId="1F9E89CB" wp14:editId="2018EB6B">
                <wp:simplePos x="0" y="0"/>
                <wp:positionH relativeFrom="column">
                  <wp:posOffset>1217295</wp:posOffset>
                </wp:positionH>
                <wp:positionV relativeFrom="paragraph">
                  <wp:posOffset>3328670</wp:posOffset>
                </wp:positionV>
                <wp:extent cx="107950" cy="107950"/>
                <wp:effectExtent l="0" t="0" r="25400" b="25400"/>
                <wp:wrapNone/>
                <wp:docPr id="33" name="Oval 80"/>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80" o:spid="_x0000_s1026" style="position:absolute;margin-left:95.85pt;margin-top:262.1pt;width:8.5pt;height:8.5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" fillcolor="#002060" strokecolor="black [3213]"/>
            </w:pict>
          </mc:Fallback>
        </mc:AlternateContent>
      </w:r>
      <w:r w:rsidRPr="00113240">
        <w:rPr>
          <w:noProof/>
          <w:lang w:eastAsia="en-GB"/>
        </w:rPr>
        <mc:AlternateContent>
          <mc:Choice Requires="wps">
            <w:drawing>
              <wp:anchor distT="0" distB="0" distL="114300" distR="114300" simplePos="0" relativeHeight="251761152" behindDoc="0" locked="0" layoutInCell="1" allowOverlap="1" wp14:anchorId="770C23F6" wp14:editId="27CC8822">
                <wp:simplePos x="0" y="0"/>
                <wp:positionH relativeFrom="column">
                  <wp:posOffset>1185545</wp:posOffset>
                </wp:positionH>
                <wp:positionV relativeFrom="paragraph">
                  <wp:posOffset>3541395</wp:posOffset>
                </wp:positionV>
                <wp:extent cx="179705" cy="179705"/>
                <wp:effectExtent l="0" t="0" r="10795" b="10795"/>
                <wp:wrapNone/>
                <wp:docPr id="34" name="Oval 81"/>
                <wp:cNvGraphicFramePr/>
                <a:graphic xmlns:a="http://schemas.openxmlformats.org/drawingml/2006/main">
                  <a:graphicData uri="http://schemas.microsoft.com/office/word/2010/wordprocessingShape">
                    <wps:wsp>
                      <wps:cNvSpPr/>
                      <wps:spPr bwMode="auto">
                        <a:xfrm>
                          <a:off x="0" y="0"/>
                          <a:ext cx="179705" cy="179705"/>
                        </a:xfrm>
                        <a:prstGeom prst="ellipse">
                          <a:avLst/>
                        </a:prstGeom>
                        <a:solidFill>
                          <a:srgbClr val="6CF4DA"/>
                        </a:solidFill>
                        <a:ln w="3175">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rtlCol="0" anchor="t" anchorCtr="0" compatLnSpc="1">
                        <a:prstTxWarp prst="textNoShape">
                          <a:avLst/>
                        </a:prstTxWarp>
                      </wps:bodyPr>
                    </wps:wsp>
                  </a:graphicData>
                </a:graphic>
              </wp:anchor>
            </w:drawing>
          </mc:Choice>
          <mc:Fallback>
            <w:pict>
              <v:oval id="Oval 81" o:spid="_x0000_s1026" style="position:absolute;margin-left:93.35pt;margin-top:278.85pt;width:14.15pt;height:14.15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" fillcolor="#6cf4da" strokecolor="black [3213]" strokeweight=".25pt"/>
            </w:pict>
          </mc:Fallback>
        </mc:AlternateContent>
      </w:r>
      <w:r w:rsidRPr="00113240">
        <w:rPr>
          <w:noProof/>
          <w:lang w:eastAsia="en-GB"/>
        </w:rPr>
        <mc:AlternateContent>
          <mc:Choice Requires="wps">
            <w:drawing>
              <wp:anchor distT="0" distB="0" distL="114300" distR="114300" simplePos="0" relativeHeight="251762176" behindDoc="0" locked="0" layoutInCell="1" allowOverlap="1" wp14:anchorId="6C8F4C40" wp14:editId="506D3387">
                <wp:simplePos x="0" y="0"/>
                <wp:positionH relativeFrom="column">
                  <wp:posOffset>3128645</wp:posOffset>
                </wp:positionH>
                <wp:positionV relativeFrom="paragraph">
                  <wp:posOffset>3341370</wp:posOffset>
                </wp:positionV>
                <wp:extent cx="107950" cy="107950"/>
                <wp:effectExtent l="0" t="0" r="25400" b="25400"/>
                <wp:wrapNone/>
                <wp:docPr id="35" name="Oval 82"/>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82" o:spid="_x0000_s1026" style="position:absolute;margin-left:246.35pt;margin-top:263.1pt;width:8.5pt;height:8.5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" fillcolor="#002060" strokecolor="black [3213]"/>
            </w:pict>
          </mc:Fallback>
        </mc:AlternateContent>
      </w:r>
      <w:r w:rsidRPr="00113240">
        <w:rPr>
          <w:noProof/>
          <w:lang w:eastAsia="en-GB"/>
        </w:rPr>
        <mc:AlternateContent>
          <mc:Choice Requires="wps">
            <w:drawing>
              <wp:anchor distT="0" distB="0" distL="114300" distR="114300" simplePos="0" relativeHeight="251763200" behindDoc="0" locked="0" layoutInCell="1" allowOverlap="1" wp14:anchorId="085E9AB0" wp14:editId="306100D8">
                <wp:simplePos x="0" y="0"/>
                <wp:positionH relativeFrom="column">
                  <wp:posOffset>5063490</wp:posOffset>
                </wp:positionH>
                <wp:positionV relativeFrom="paragraph">
                  <wp:posOffset>3336925</wp:posOffset>
                </wp:positionV>
                <wp:extent cx="107950" cy="107950"/>
                <wp:effectExtent l="0" t="0" r="25400" b="25400"/>
                <wp:wrapNone/>
                <wp:docPr id="84" name="Oval 83"/>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83" o:spid="_x0000_s1026" style="position:absolute;margin-left:398.7pt;margin-top:262.75pt;width:8.5pt;height:8.5pt;z-index:25176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" fillcolor="#002060" strokecolor="black [3213]"/>
            </w:pict>
          </mc:Fallback>
        </mc:AlternateContent>
      </w:r>
      <w:r w:rsidRPr="00113240">
        <w:rPr>
          <w:noProof/>
          <w:lang w:eastAsia="en-GB"/>
        </w:rPr>
        <mc:AlternateContent>
          <mc:Choice Requires="wps">
            <w:drawing>
              <wp:anchor distT="0" distB="0" distL="114300" distR="114300" simplePos="0" relativeHeight="251764224" behindDoc="0" locked="0" layoutInCell="1" allowOverlap="1" wp14:anchorId="146A2D12" wp14:editId="484FD3C5">
                <wp:simplePos x="0" y="0"/>
                <wp:positionH relativeFrom="column">
                  <wp:posOffset>1216660</wp:posOffset>
                </wp:positionH>
                <wp:positionV relativeFrom="paragraph">
                  <wp:posOffset>3804285</wp:posOffset>
                </wp:positionV>
                <wp:extent cx="107950" cy="107950"/>
                <wp:effectExtent l="0" t="0" r="25400" b="25400"/>
                <wp:wrapNone/>
                <wp:docPr id="92" name="Oval 91"/>
                <wp:cNvGraphicFramePr/>
                <a:graphic xmlns:a="http://schemas.openxmlformats.org/drawingml/2006/main">
                  <a:graphicData uri="http://schemas.microsoft.com/office/word/2010/wordprocessingShape">
                    <wps:wsp>
                      <wps:cNvSpPr/>
                      <wps:spPr bwMode="auto">
                        <a:xfrm>
                          <a:off x="0" y="0"/>
                          <a:ext cx="107950" cy="107950"/>
                        </a:xfrm>
                        <a:prstGeom prst="ellipse">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91" o:spid="_x0000_s1026" style="position:absolute;margin-left:95.8pt;margin-top:299.55pt;width:8.5pt;height:8.5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" filled="f" strokecolor="black [3213]"/>
            </w:pict>
          </mc:Fallback>
        </mc:AlternateContent>
      </w:r>
      <w:r w:rsidRPr="00113240">
        <w:rPr>
          <w:noProof/>
          <w:lang w:eastAsia="en-GB"/>
        </w:rPr>
        <mc:AlternateContent>
          <mc:Choice Requires="wps">
            <w:drawing>
              <wp:anchor distT="0" distB="0" distL="114300" distR="114300" simplePos="0" relativeHeight="251765248" behindDoc="0" locked="0" layoutInCell="1" allowOverlap="1" wp14:anchorId="397C0A4D" wp14:editId="66A40EBA">
                <wp:simplePos x="0" y="0"/>
                <wp:positionH relativeFrom="column">
                  <wp:posOffset>4781550</wp:posOffset>
                </wp:positionH>
                <wp:positionV relativeFrom="paragraph">
                  <wp:posOffset>1010920</wp:posOffset>
                </wp:positionV>
                <wp:extent cx="227965" cy="228600"/>
                <wp:effectExtent l="38100" t="38100" r="38735" b="57150"/>
                <wp:wrapNone/>
                <wp:docPr id="63" name="Oval 62"/>
                <wp:cNvGraphicFramePr/>
                <a:graphic xmlns:a="http://schemas.openxmlformats.org/drawingml/2006/main">
                  <a:graphicData uri="http://schemas.microsoft.com/office/word/2010/wordprocessingShape">
                    <wps:wsp>
                      <wps:cNvSpPr/>
                      <wps:spPr bwMode="auto">
                        <a:xfrm>
                          <a:off x="0" y="0"/>
                          <a:ext cx="227965" cy="228600"/>
                        </a:xfrm>
                        <a:prstGeom prst="ellipse">
                          <a:avLst/>
                        </a:prstGeom>
                        <a:noFill/>
                        <a:ln w="101600" cap="flat" cmpd="sng" algn="ctr">
                          <a:solidFill>
                            <a:srgbClr val="6CF4DA"/>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62" o:spid="_x0000_s1026" style="position:absolute;margin-left:376.5pt;margin-top:79.6pt;width:17.95pt;height:18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" filled="f" strokecolor="#6cf4da" strokeweight="8pt"/>
            </w:pict>
          </mc:Fallback>
        </mc:AlternateContent>
      </w:r>
      <w:r w:rsidRPr="00113240">
        <w:rPr>
          <w:noProof/>
          <w:lang w:eastAsia="en-GB"/>
        </w:rPr>
        <mc:AlternateContent>
          <mc:Choice Requires="wps">
            <w:drawing>
              <wp:anchor distT="0" distB="0" distL="114300" distR="114300" simplePos="0" relativeHeight="251766272" behindDoc="0" locked="0" layoutInCell="1" allowOverlap="1" wp14:anchorId="3ED5DED8" wp14:editId="2DD2E62D">
                <wp:simplePos x="0" y="0"/>
                <wp:positionH relativeFrom="column">
                  <wp:posOffset>1254760</wp:posOffset>
                </wp:positionH>
                <wp:positionV relativeFrom="paragraph">
                  <wp:posOffset>1066800</wp:posOffset>
                </wp:positionV>
                <wp:extent cx="71755" cy="71755"/>
                <wp:effectExtent l="0" t="0" r="23495" b="23495"/>
                <wp:wrapNone/>
                <wp:docPr id="68" name="Oval 67"/>
                <wp:cNvGraphicFramePr/>
                <a:graphic xmlns:a="http://schemas.openxmlformats.org/drawingml/2006/main">
                  <a:graphicData uri="http://schemas.microsoft.com/office/word/2010/wordprocessingShape">
                    <wps:wsp>
                      <wps:cNvSpPr/>
                      <wps:spPr bwMode="auto">
                        <a:xfrm>
                          <a:off x="0" y="0"/>
                          <a:ext cx="71755" cy="71755"/>
                        </a:xfrm>
                        <a:prstGeom prst="ellipse">
                          <a:avLst/>
                        </a:prstGeom>
                        <a:solidFill>
                          <a:srgbClr val="12EEC4"/>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67" o:spid="_x0000_s1026" style="position:absolute;margin-left:98.8pt;margin-top:84pt;width:5.65pt;height:5.6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" fillcolor="#12eec4" strokecolor="black [3213]"/>
            </w:pict>
          </mc:Fallback>
        </mc:AlternateContent>
      </w:r>
      <w:r w:rsidRPr="00113240">
        <w:rPr>
          <w:noProof/>
          <w:lang w:eastAsia="en-GB"/>
        </w:rPr>
        <mc:AlternateContent>
          <mc:Choice Requires="wps">
            <w:drawing>
              <wp:anchor distT="0" distB="0" distL="114300" distR="114300" simplePos="0" relativeHeight="251767296" behindDoc="0" locked="0" layoutInCell="1" allowOverlap="1" wp14:anchorId="0ED520CC" wp14:editId="2157DA6C">
                <wp:simplePos x="0" y="0"/>
                <wp:positionH relativeFrom="column">
                  <wp:posOffset>4353560</wp:posOffset>
                </wp:positionH>
                <wp:positionV relativeFrom="paragraph">
                  <wp:posOffset>2463165</wp:posOffset>
                </wp:positionV>
                <wp:extent cx="215900" cy="215900"/>
                <wp:effectExtent l="0" t="0" r="12700" b="12700"/>
                <wp:wrapNone/>
                <wp:docPr id="36" name="Oval 70"/>
                <wp:cNvGraphicFramePr/>
                <a:graphic xmlns:a="http://schemas.openxmlformats.org/drawingml/2006/main">
                  <a:graphicData uri="http://schemas.microsoft.com/office/word/2010/wordprocessingShape">
                    <wps:wsp>
                      <wps:cNvSpPr/>
                      <wps:spPr bwMode="auto">
                        <a:xfrm>
                          <a:off x="0" y="0"/>
                          <a:ext cx="215900" cy="215900"/>
                        </a:xfrm>
                        <a:prstGeom prst="ellipse">
                          <a:avLst/>
                        </a:prstGeom>
                        <a:solidFill>
                          <a:schemeClr val="bg1"/>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70" o:spid="_x0000_s1026" style="position:absolute;margin-left:342.8pt;margin-top:193.95pt;width:17pt;height:17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" fillcolor="white [3212]"/>
            </w:pict>
          </mc:Fallback>
        </mc:AlternateContent>
      </w:r>
      <w:r w:rsidRPr="00113240">
        <w:rPr>
          <w:noProof/>
          <w:lang w:eastAsia="en-GB"/>
        </w:rPr>
        <mc:AlternateContent>
          <mc:Choice Requires="wps">
            <w:drawing>
              <wp:anchor distT="0" distB="0" distL="114300" distR="114300" simplePos="0" relativeHeight="251768320" behindDoc="0" locked="0" layoutInCell="1" allowOverlap="1" wp14:anchorId="4263306F" wp14:editId="7245EBF0">
                <wp:simplePos x="0" y="0"/>
                <wp:positionH relativeFrom="column">
                  <wp:posOffset>3129915</wp:posOffset>
                </wp:positionH>
                <wp:positionV relativeFrom="paragraph">
                  <wp:posOffset>3547110</wp:posOffset>
                </wp:positionV>
                <wp:extent cx="107950" cy="107950"/>
                <wp:effectExtent l="0" t="0" r="25400" b="25400"/>
                <wp:wrapNone/>
                <wp:docPr id="37" name="Oval 71"/>
                <wp:cNvGraphicFramePr/>
                <a:graphic xmlns:a="http://schemas.openxmlformats.org/drawingml/2006/main">
                  <a:graphicData uri="http://schemas.microsoft.com/office/word/2010/wordprocessingShape">
                    <wps:wsp>
                      <wps:cNvSpPr/>
                      <wps:spPr bwMode="auto">
                        <a:xfrm>
                          <a:off x="0" y="0"/>
                          <a:ext cx="107950" cy="107950"/>
                        </a:xfrm>
                        <a:prstGeom prst="ellipse">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71" o:spid="_x0000_s1026" style="position:absolute;margin-left:246.45pt;margin-top:279.3pt;width:8.5pt;height:8.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" filled="f" strokecolor="black [3213]"/>
            </w:pict>
          </mc:Fallback>
        </mc:AlternateContent>
      </w:r>
      <w:r w:rsidRPr="00113240">
        <w:rPr>
          <w:noProof/>
          <w:lang w:eastAsia="en-GB"/>
        </w:rPr>
        <mc:AlternateContent>
          <mc:Choice Requires="wps">
            <w:drawing>
              <wp:anchor distT="0" distB="0" distL="114300" distR="114300" simplePos="0" relativeHeight="251769344" behindDoc="0" locked="0" layoutInCell="1" allowOverlap="1" wp14:anchorId="7F793950" wp14:editId="6898BE40">
                <wp:simplePos x="0" y="0"/>
                <wp:positionH relativeFrom="column">
                  <wp:posOffset>4403090</wp:posOffset>
                </wp:positionH>
                <wp:positionV relativeFrom="paragraph">
                  <wp:posOffset>2203450</wp:posOffset>
                </wp:positionV>
                <wp:extent cx="107950" cy="107950"/>
                <wp:effectExtent l="95250" t="95250" r="82550" b="120650"/>
                <wp:wrapNone/>
                <wp:docPr id="73" name="Oval 72"/>
                <wp:cNvGraphicFramePr/>
                <a:graphic xmlns:a="http://schemas.openxmlformats.org/drawingml/2006/main">
                  <a:graphicData uri="http://schemas.microsoft.com/office/word/2010/wordprocessingShape">
                    <wps:wsp>
                      <wps:cNvSpPr/>
                      <wps:spPr bwMode="auto">
                        <a:xfrm>
                          <a:off x="0" y="0"/>
                          <a:ext cx="107950" cy="107950"/>
                        </a:xfrm>
                        <a:prstGeom prst="ellipse">
                          <a:avLst/>
                        </a:prstGeom>
                        <a:noFill/>
                        <a:ln w="209550" cap="flat" cmpd="sng" algn="ctr">
                          <a:solidFill>
                            <a:srgbClr val="6CF4DA"/>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72" o:spid="_x0000_s1026" style="position:absolute;margin-left:346.7pt;margin-top:173.5pt;width:8.5pt;height:8.5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" filled="f" strokecolor="#6cf4da" strokeweight="16.5pt"/>
            </w:pict>
          </mc:Fallback>
        </mc:AlternateContent>
      </w:r>
      <w:r w:rsidRPr="00113240">
        <w:rPr>
          <w:noProof/>
          <w:lang w:eastAsia="en-GB"/>
        </w:rPr>
        <mc:AlternateContent>
          <mc:Choice Requires="wpg">
            <w:drawing>
              <wp:anchor distT="0" distB="0" distL="114300" distR="114300" simplePos="0" relativeHeight="251770368" behindDoc="0" locked="0" layoutInCell="1" allowOverlap="1" wp14:anchorId="46C797C2" wp14:editId="7215C6A3">
                <wp:simplePos x="0" y="0"/>
                <wp:positionH relativeFrom="column">
                  <wp:posOffset>5720080</wp:posOffset>
                </wp:positionH>
                <wp:positionV relativeFrom="paragraph">
                  <wp:posOffset>1746250</wp:posOffset>
                </wp:positionV>
                <wp:extent cx="1604645" cy="894715"/>
                <wp:effectExtent l="0" t="0" r="14605" b="635"/>
                <wp:wrapNone/>
                <wp:docPr id="38" name="Group 79"/>
                <wp:cNvGraphicFramePr/>
                <a:graphic xmlns:a="http://schemas.openxmlformats.org/drawingml/2006/main">
                  <a:graphicData uri="http://schemas.microsoft.com/office/word/2010/wordprocessingGroup">
                    <wpg:wgp>
                      <wpg:cNvGrpSpPr/>
                      <wpg:grpSpPr>
                        <a:xfrm>
                          <a:off x="0" y="0"/>
                          <a:ext cx="1604645" cy="894715"/>
                          <a:chOff x="5767125" y="1607930"/>
                          <a:chExt cx="1604760" cy="894715"/>
                        </a:xfrm>
                      </wpg:grpSpPr>
                      <wpg:grpSp>
                        <wpg:cNvPr id="39" name="Group 39"/>
                        <wpg:cNvGrpSpPr/>
                        <wpg:grpSpPr>
                          <a:xfrm>
                            <a:off x="5767125" y="1607930"/>
                            <a:ext cx="1604760" cy="894715"/>
                            <a:chOff x="5767125" y="1607930"/>
                            <a:chExt cx="1604760" cy="894715"/>
                          </a:xfrm>
                        </wpg:grpSpPr>
                        <wps:wsp>
                          <wps:cNvPr id="40" name="TextBox 93"/>
                          <wps:cNvSpPr txBox="1"/>
                          <wps:spPr>
                            <a:xfrm>
                              <a:off x="5767125" y="1607930"/>
                              <a:ext cx="1138555" cy="894715"/>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MX</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FIX</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In development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Potential</w:t>
                                </w:r>
                              </w:p>
                            </w:txbxContent>
                          </wps:txbx>
                          <wps:bodyPr wrap="none" rtlCol="0">
                            <a:spAutoFit/>
                          </wps:bodyPr>
                        </wps:wsp>
                        <wps:wsp>
                          <wps:cNvPr id="41" name="Oval 41"/>
                          <wps:cNvSpPr/>
                          <wps:spPr bwMode="auto">
                            <a:xfrm>
                              <a:off x="7272026" y="2185882"/>
                              <a:ext cx="99859" cy="117373"/>
                            </a:xfrm>
                            <a:prstGeom prst="ellipse">
                              <a:avLst/>
                            </a:prstGeom>
                            <a:noFill/>
                            <a:ln w="34925" cap="flat" cmpd="sng" algn="ctr">
                              <a:solidFill>
                                <a:srgbClr val="6CF4DA"/>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g:grpSp>
                      <wps:wsp>
                        <wps:cNvPr id="43" name="Oval 43"/>
                        <wps:cNvSpPr/>
                        <wps:spPr bwMode="auto">
                          <a:xfrm>
                            <a:off x="7260977" y="2378822"/>
                            <a:ext cx="108000" cy="108000"/>
                          </a:xfrm>
                          <a:prstGeom prst="ellipse">
                            <a:avLst/>
                          </a:prstGeom>
                          <a:solidFill>
                            <a:schemeClr val="bg1"/>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s:wsp>
                        <wps:cNvPr id="45" name="Oval 45"/>
                        <wps:cNvSpPr/>
                        <wps:spPr bwMode="auto">
                          <a:xfrm>
                            <a:off x="7260977" y="1835183"/>
                            <a:ext cx="108000" cy="108000"/>
                          </a:xfrm>
                          <a:prstGeom prst="ellipse">
                            <a:avLst/>
                          </a:prstGeom>
                          <a:solidFill>
                            <a:srgbClr val="6CF4DA"/>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s:wsp>
                        <wps:cNvPr id="48" name="Oval 48"/>
                        <wps:cNvSpPr/>
                        <wps:spPr bwMode="auto">
                          <a:xfrm>
                            <a:off x="7260977" y="1687333"/>
                            <a:ext cx="108000" cy="108000"/>
                          </a:xfrm>
                          <a:prstGeom prst="ellipse">
                            <a:avLst/>
                          </a:prstGeom>
                          <a:solidFill>
                            <a:srgbClr val="002060"/>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s:wsp>
                        <wps:cNvPr id="49" name="Oval 49"/>
                        <wps:cNvSpPr/>
                        <wps:spPr bwMode="auto">
                          <a:xfrm>
                            <a:off x="7260977" y="2030810"/>
                            <a:ext cx="108000" cy="108000"/>
                          </a:xfrm>
                          <a:prstGeom prst="ellipse">
                            <a:avLst/>
                          </a:prstGeom>
                          <a:solidFill>
                            <a:srgbClr val="FF0000"/>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g:wgp>
                  </a:graphicData>
                </a:graphic>
              </wp:anchor>
            </w:drawing>
          </mc:Choice>
          <mc:Fallback>
            <w:pict>
              <v:group id="Group 79" o:spid="_x0000_s1037" style="position:absolute;left:0;text-align:left;margin-left:450.4pt;margin-top:137.5pt;width:126.35pt;height:70.45pt;z-index:251770368" coordorigin="57671,16079" coordsize="16047,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">
                <v:group id="Group 39" o:spid="_x0000_s1038" style="position:absolute;left:57671;top:16079;width:16047;height:8947" coordorigin="57671,16079" coordsize="16047,8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Box 93" o:spid="_x0000_s1039" type="#_x0000_t202" style="position:absolute;left:57671;top:16079;width:11385;height:8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MX</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FIX</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In development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Potential</w:t>
                          </w:r>
                        </w:p>
                      </w:txbxContent>
                    </v:textbox>
                  </v:shape>
                  <v:oval id="Oval 41" o:spid="_x0000_s1040" style="position:absolute;left:72720;top:21858;width:99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hYsQA&#10;AADbAAAADwAAAGRycy9kb3ducmV2LnhtbESP0WrCQBRE34X+w3ILfdONUsVGV5GC0Io2NPUDLtlr&#10;Epq9G7JrEv16VxB8HGbmDLNc96YSLTWutKxgPIpAEGdWl5wrOP5th3MQziNrrCyTggs5WK9eBkuM&#10;te34l9rU5yJA2MWooPC+jqV0WUEG3cjWxME72cagD7LJpW6wC3BTyUkUzaTBksNCgTV9FpT9p2ej&#10;INvUH/i9PZySrt1hdE3m0/Rnr9Tba79ZgPDU+2f40f7SCt7H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oWLEAAAA2wAAAA8AAAAAAAAAAAAAAAAAmAIAAGRycy9k&#10;b3ducmV2LnhtbFBLBQYAAAAABAAEAPUAAACJAwAAAAA=&#10;" filled="f" strokecolor="#6cf4da" strokeweight="2.75pt">
                    <v:textbox>
                      <w:txbxContent>
                        <w:p w:rsidR="00994697" w:rsidRDefault="00994697" w:rsidP="00113240">
                          <w:pPr>
                            <w:rPr>
                              <w:rFonts w:eastAsia="Times New Roman"/>
                            </w:rPr>
                          </w:pPr>
                        </w:p>
                      </w:txbxContent>
                    </v:textbox>
                  </v:oval>
                </v:group>
                <v:oval id="Oval 43" o:spid="_x0000_s1041" style="position:absolute;left:72609;top:2378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ZmsQA&#10;AADbAAAADwAAAGRycy9kb3ducmV2LnhtbESPT2sCMRTE70K/Q3iF3txsrUhZjVIKgtCL/w719tw8&#10;d6Obl2WTauqnN4LgcZiZ3zCTWbSNOFPnjWMF71kOgrh02nClYLuZ9z9B+ICssXFMCv7Jw2z60ptg&#10;od2FV3Reh0okCPsCFdQhtIWUvqzJos9cS5y8g+sshiS7SuoOLwluGznI85G0aDgt1NjSd03laf1n&#10;FQzm9sdco/k95rt9s9QmLqvFSqm31/g1BhEohmf40V5oBcMPuH9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GZrEAAAA2wAAAA8AAAAAAAAAAAAAAAAAmAIAAGRycy9k&#10;b3ducmV2LnhtbFBLBQYAAAAABAAEAPUAAACJAwAAAAA=&#10;" fillcolor="white [3212]">
                  <v:textbox>
                    <w:txbxContent>
                      <w:p w:rsidR="00994697" w:rsidRDefault="00994697" w:rsidP="00113240">
                        <w:pPr>
                          <w:rPr>
                            <w:rFonts w:eastAsia="Times New Roman"/>
                          </w:rPr>
                        </w:pPr>
                      </w:p>
                    </w:txbxContent>
                  </v:textbox>
                </v:oval>
                <v:oval id="Oval 45" o:spid="_x0000_s1042" style="position:absolute;left:72609;top:18351;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sAcQA&#10;AADbAAAADwAAAGRycy9kb3ducmV2LnhtbESPzWoCQRCE74G8w9CB3GKvkkRZHSWRCDl4iD8P0O60&#10;O4s7PcvMRDd5eicQ8FhU1VfUbNG7Vp05xMaLhuGgAMVSedNIrWG/Wz1NQMVEYqj1whp+OMJifn83&#10;o9L4i2z4vE21yhCJJWmwKXUlYqwsO4oD37Fk7+iDo5RlqNEEumS4a3FUFK/oqJG8YKnjpeXqtP12&#10;GparfsS/H+49rjEcvsYWN7sxav340L9NQSXu0y383/40Gp5f4O9L/gE4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UrAHEAAAA2wAAAA8AAAAAAAAAAAAAAAAAmAIAAGRycy9k&#10;b3ducmV2LnhtbFBLBQYAAAAABAAEAPUAAACJAwAAAAA=&#10;" fillcolor="#6cf4da">
                  <v:textbox>
                    <w:txbxContent>
                      <w:p w:rsidR="00994697" w:rsidRDefault="00994697" w:rsidP="00113240">
                        <w:pPr>
                          <w:rPr>
                            <w:rFonts w:eastAsia="Times New Roman"/>
                          </w:rPr>
                        </w:pPr>
                      </w:p>
                    </w:txbxContent>
                  </v:textbox>
                </v:oval>
                <v:oval id="Oval 48" o:spid="_x0000_s1043" style="position:absolute;left:72609;top:1687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t3sIA&#10;AADbAAAADwAAAGRycy9kb3ducmV2LnhtbERPXWvCMBR9F/Yfwh3sTdMNEa2mZRMKwibMdgMfL81d&#10;W9bclCZq5q83DwMfD+d7kwfTizONrrOs4HmWgCCure64UfBVFdMlCOeRNfaWScEfOcizh8kGU20v&#10;fKBz6RsRQ9ilqKD1fkildHVLBt3MDsSR+7GjQR/h2Eg94iWGm16+JMlCGuw4NrQ40Lal+rc8GQXv&#10;Zfj43F6PyWJ1qvgt7ItvuS+UenoMr2sQnoK/i//dO61gHsfG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y3ewgAAANsAAAAPAAAAAAAAAAAAAAAAAJgCAABkcnMvZG93&#10;bnJldi54bWxQSwUGAAAAAAQABAD1AAAAhwMAAAAA&#10;" fillcolor="#002060">
                  <v:textbox>
                    <w:txbxContent>
                      <w:p w:rsidR="00994697" w:rsidRDefault="00994697" w:rsidP="00113240">
                        <w:pPr>
                          <w:rPr>
                            <w:rFonts w:eastAsia="Times New Roman"/>
                          </w:rPr>
                        </w:pPr>
                      </w:p>
                    </w:txbxContent>
                  </v:textbox>
                </v:oval>
                <v:oval id="Oval 49" o:spid="_x0000_s1044" style="position:absolute;left:72609;top:203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NNMQA&#10;AADbAAAADwAAAGRycy9kb3ducmV2LnhtbESPQWvCQBSE7wX/w/KE3szGKrWmbkSEltLqodFLb4/s&#10;Mwlm34bdjcZ/3y0IPQ4z8w2zWg+mFRdyvrGsYJqkIIhLqxuuFBwPb5MXED4ga2wtk4IbeVjno4cV&#10;Ztpe+ZsuRahEhLDPUEEdQpdJ6cuaDPrEdsTRO1lnMETpKqkdXiPctPIpTZ+lwYbjQo0dbWsqz0Vv&#10;ImXXv38uihnLebv/cj8HP7ttS6Uex8PmFUSgIfyH7+0PrWC+hL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DTTEAAAA2wAAAA8AAAAAAAAAAAAAAAAAmAIAAGRycy9k&#10;b3ducmV2LnhtbFBLBQYAAAAABAAEAPUAAACJAwAAAAA=&#10;" fillcolor="red">
                  <v:textbox>
                    <w:txbxContent>
                      <w:p w:rsidR="00994697" w:rsidRDefault="00994697" w:rsidP="00113240">
                        <w:pPr>
                          <w:rPr>
                            <w:rFonts w:eastAsia="Times New Roman"/>
                          </w:rPr>
                        </w:pPr>
                      </w:p>
                    </w:txbxContent>
                  </v:textbox>
                </v:oval>
              </v:group>
            </w:pict>
          </mc:Fallback>
        </mc:AlternateContent>
      </w:r>
      <w:r w:rsidRPr="00113240">
        <w:rPr>
          <w:noProof/>
          <w:lang w:eastAsia="en-GB"/>
        </w:rPr>
        <mc:AlternateContent>
          <mc:Choice Requires="wps">
            <w:drawing>
              <wp:anchor distT="0" distB="0" distL="114300" distR="114300" simplePos="0" relativeHeight="251771392" behindDoc="0" locked="0" layoutInCell="1" allowOverlap="1" wp14:anchorId="48726143" wp14:editId="670A1F87">
                <wp:simplePos x="0" y="0"/>
                <wp:positionH relativeFrom="column">
                  <wp:posOffset>6577965</wp:posOffset>
                </wp:positionH>
                <wp:positionV relativeFrom="paragraph">
                  <wp:posOffset>890270</wp:posOffset>
                </wp:positionV>
                <wp:extent cx="431800" cy="431800"/>
                <wp:effectExtent l="0" t="0" r="25400" b="25400"/>
                <wp:wrapNone/>
                <wp:docPr id="62" name="Oval 61"/>
                <wp:cNvGraphicFramePr/>
                <a:graphic xmlns:a="http://schemas.openxmlformats.org/drawingml/2006/main">
                  <a:graphicData uri="http://schemas.microsoft.com/office/word/2010/wordprocessingShape">
                    <wps:wsp>
                      <wps:cNvSpPr/>
                      <wps:spPr bwMode="auto">
                        <a:xfrm>
                          <a:off x="0" y="0"/>
                          <a:ext cx="431800" cy="431800"/>
                        </a:xfrm>
                        <a:prstGeom prst="ellipse">
                          <a:avLst/>
                        </a:prstGeom>
                        <a:solidFill>
                          <a:srgbClr val="6CF4DA"/>
                        </a:solidFill>
                        <a:ln w="3175">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rtlCol="0" anchor="t" anchorCtr="0" compatLnSpc="1">
                        <a:prstTxWarp prst="textNoShape">
                          <a:avLst/>
                        </a:prstTxWarp>
                      </wps:bodyPr>
                    </wps:wsp>
                  </a:graphicData>
                </a:graphic>
              </wp:anchor>
            </w:drawing>
          </mc:Choice>
          <mc:Fallback>
            <w:pict>
              <v:oval id="Oval 61" o:spid="_x0000_s1026" style="position:absolute;margin-left:517.95pt;margin-top:70.1pt;width:34pt;height:34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" fillcolor="#6cf4da" strokecolor="black [3213]" strokeweight=".25pt"/>
            </w:pict>
          </mc:Fallback>
        </mc:AlternateContent>
      </w:r>
    </w:p>
    <w:p w:rsidR="00BC326E" w:rsidRPr="007F7F8E" w:rsidRDefault="00113240" w:rsidP="00113240">
      <w:r w:rsidRPr="00113240">
        <w:rPr>
          <w:noProof/>
          <w:lang w:eastAsia="en-GB"/>
        </w:rPr>
        <mc:AlternateContent>
          <mc:Choice Requires="wps">
            <w:drawing>
              <wp:anchor distT="0" distB="0" distL="114300" distR="114300" simplePos="0" relativeHeight="251772416" behindDoc="0" locked="0" layoutInCell="1" allowOverlap="1" wp14:anchorId="0A68763B" wp14:editId="648C7665">
                <wp:simplePos x="0" y="0"/>
                <wp:positionH relativeFrom="column">
                  <wp:posOffset>5064760</wp:posOffset>
                </wp:positionH>
                <wp:positionV relativeFrom="paragraph">
                  <wp:posOffset>3332982</wp:posOffset>
                </wp:positionV>
                <wp:extent cx="107950" cy="107950"/>
                <wp:effectExtent l="0" t="0" r="25400" b="25400"/>
                <wp:wrapNone/>
                <wp:docPr id="64" name="Oval 63"/>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rgbClr val="6CF4DA"/>
                        </a:solidFill>
                        <a:ln w="3175">
                          <a:solidFill>
                            <a:schemeClr val="tx1"/>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bodyPr vert="horz" wrap="square" lIns="91440" tIns="45720" rIns="91440" bIns="45720" numCol="1" rtlCol="0" anchor="t" anchorCtr="0" compatLnSpc="1">
                        <a:prstTxWarp prst="textNoShape">
                          <a:avLst/>
                        </a:prstTxWarp>
                      </wps:bodyPr>
                    </wps:wsp>
                  </a:graphicData>
                </a:graphic>
              </wp:anchor>
            </w:drawing>
          </mc:Choice>
          <mc:Fallback>
            <w:pict>
              <v:oval id="Oval 63" o:spid="_x0000_s1026" style="position:absolute;margin-left:398.8pt;margin-top:262.45pt;width:8.5pt;height:8.5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" fillcolor="#6cf4da" strokecolor="black [3213]" strokeweight=".25pt"/>
            </w:pict>
          </mc:Fallback>
        </mc:AlternateContent>
      </w:r>
    </w:p>
    <w:p w:rsidR="00091848" w:rsidRDefault="008F7250">
      <w:pPr>
        <w:pStyle w:val="Heading2"/>
        <w:pageBreakBefore/>
        <w:numPr>
          <w:ilvl w:val="1"/>
          <w:numId w:val="4"/>
        </w:numPr>
        <w:tabs>
          <w:tab w:val="num" w:pos="780"/>
        </w:tabs>
        <w:spacing w:before="300" w:after="60"/>
        <w:ind w:left="782" w:right="0" w:hanging="720"/>
      </w:pPr>
      <w:bookmarkStart w:id="33" w:name="_Toc340670949"/>
      <w:r>
        <w:lastRenderedPageBreak/>
        <w:t>Detailed standards landscape</w:t>
      </w:r>
      <w:bookmarkEnd w:id="33"/>
    </w:p>
    <w:p w:rsidR="008F7250" w:rsidRPr="00F24D90" w:rsidRDefault="008F7250" w:rsidP="00F24D90"/>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96"/>
        <w:gridCol w:w="3638"/>
        <w:gridCol w:w="3639"/>
      </w:tblGrid>
      <w:tr w:rsidR="008F7250" w:rsidRPr="004B560F" w:rsidTr="00667E82">
        <w:trPr>
          <w:cantSplit/>
          <w:tblHeader/>
        </w:trPr>
        <w:tc>
          <w:tcPr>
            <w:tcW w:w="1701" w:type="dxa"/>
          </w:tcPr>
          <w:p w:rsidR="008F7250" w:rsidRPr="004B560F" w:rsidRDefault="008F7250" w:rsidP="004B560F">
            <w:pPr>
              <w:ind w:left="0" w:right="33"/>
              <w:rPr>
                <w:b/>
              </w:rPr>
            </w:pPr>
            <w:r>
              <w:rPr>
                <w:b/>
              </w:rPr>
              <w:t>Process Area</w:t>
            </w:r>
          </w:p>
        </w:tc>
        <w:tc>
          <w:tcPr>
            <w:tcW w:w="3496" w:type="dxa"/>
          </w:tcPr>
          <w:p w:rsidR="008F7250" w:rsidRPr="004B560F" w:rsidRDefault="008F7250" w:rsidP="004B560F">
            <w:pPr>
              <w:ind w:left="0" w:right="33"/>
              <w:rPr>
                <w:b/>
              </w:rPr>
            </w:pPr>
            <w:r w:rsidRPr="004B560F">
              <w:rPr>
                <w:b/>
              </w:rPr>
              <w:t>Availability of MT, ISO 15022 and ISO 20022</w:t>
            </w:r>
          </w:p>
        </w:tc>
        <w:tc>
          <w:tcPr>
            <w:tcW w:w="3638" w:type="dxa"/>
          </w:tcPr>
          <w:p w:rsidR="008F7250" w:rsidRPr="004B560F" w:rsidRDefault="008F7250" w:rsidP="004B560F">
            <w:pPr>
              <w:ind w:left="0" w:right="33"/>
              <w:rPr>
                <w:b/>
              </w:rPr>
            </w:pPr>
            <w:r w:rsidRPr="004B560F">
              <w:rPr>
                <w:b/>
              </w:rPr>
              <w:t>Availability of other standards</w:t>
            </w:r>
          </w:p>
        </w:tc>
        <w:tc>
          <w:tcPr>
            <w:tcW w:w="3639" w:type="dxa"/>
          </w:tcPr>
          <w:p w:rsidR="008F7250" w:rsidRPr="004B560F" w:rsidRDefault="008F7250" w:rsidP="004B560F">
            <w:pPr>
              <w:ind w:left="0" w:right="33"/>
              <w:rPr>
                <w:b/>
              </w:rPr>
            </w:pPr>
            <w:proofErr w:type="spellStart"/>
            <w:r w:rsidRPr="004B560F">
              <w:rPr>
                <w:b/>
              </w:rPr>
              <w:t>Ongoing</w:t>
            </w:r>
            <w:proofErr w:type="spellEnd"/>
            <w:r w:rsidRPr="004B560F">
              <w:rPr>
                <w:b/>
              </w:rPr>
              <w:t xml:space="preserve"> &amp; planned activities Opportunities</w:t>
            </w:r>
          </w:p>
        </w:tc>
      </w:tr>
      <w:tr w:rsidR="008F7250" w:rsidRPr="001D5EB7" w:rsidTr="00667E82">
        <w:trPr>
          <w:cantSplit/>
        </w:trPr>
        <w:tc>
          <w:tcPr>
            <w:tcW w:w="1701" w:type="dxa"/>
          </w:tcPr>
          <w:p w:rsidR="008F7250" w:rsidRPr="004B560F" w:rsidRDefault="008F7250" w:rsidP="004B560F">
            <w:pPr>
              <w:ind w:left="0" w:right="33"/>
              <w:rPr>
                <w:b/>
              </w:rPr>
            </w:pPr>
            <w:r w:rsidRPr="004B560F">
              <w:rPr>
                <w:b/>
              </w:rPr>
              <w:t>Pre-trade</w:t>
            </w:r>
          </w:p>
        </w:tc>
        <w:tc>
          <w:tcPr>
            <w:tcW w:w="3496" w:type="dxa"/>
          </w:tcPr>
          <w:p w:rsidR="008F7250" w:rsidRPr="004B560F" w:rsidRDefault="008F7250" w:rsidP="00F24D90">
            <w:pPr>
              <w:ind w:left="0" w:right="33"/>
              <w:rPr>
                <w:sz w:val="18"/>
                <w:szCs w:val="18"/>
              </w:rPr>
            </w:pPr>
            <w:r>
              <w:rPr>
                <w:sz w:val="18"/>
                <w:szCs w:val="18"/>
              </w:rPr>
              <w:t>None</w:t>
            </w:r>
          </w:p>
        </w:tc>
        <w:tc>
          <w:tcPr>
            <w:tcW w:w="3638" w:type="dxa"/>
          </w:tcPr>
          <w:p w:rsidR="008F7250" w:rsidRPr="004B560F" w:rsidRDefault="008F7250" w:rsidP="004B560F">
            <w:pPr>
              <w:ind w:left="0" w:right="33"/>
              <w:rPr>
                <w:sz w:val="18"/>
                <w:szCs w:val="18"/>
              </w:rPr>
            </w:pPr>
            <w:r w:rsidRPr="004B560F">
              <w:rPr>
                <w:sz w:val="18"/>
                <w:szCs w:val="18"/>
              </w:rPr>
              <w:t xml:space="preserve">FIX and proprietary standards exist in the securities pre-trade space with FIX being the most widely used standard. </w:t>
            </w:r>
          </w:p>
        </w:tc>
        <w:tc>
          <w:tcPr>
            <w:tcW w:w="3639" w:type="dxa"/>
          </w:tcPr>
          <w:p w:rsidR="008F7250" w:rsidRPr="004B560F" w:rsidRDefault="008F7250" w:rsidP="00E63DBC">
            <w:pPr>
              <w:ind w:left="0" w:right="33"/>
              <w:rPr>
                <w:sz w:val="18"/>
                <w:szCs w:val="18"/>
              </w:rPr>
            </w:pPr>
            <w:r w:rsidRPr="004B560F">
              <w:rPr>
                <w:sz w:val="18"/>
                <w:szCs w:val="18"/>
              </w:rPr>
              <w:t xml:space="preserve">The pre-trade/trade business model has not yet been finalised. </w:t>
            </w:r>
          </w:p>
        </w:tc>
      </w:tr>
      <w:tr w:rsidR="008F7250" w:rsidRPr="001D5EB7" w:rsidTr="00667E82">
        <w:trPr>
          <w:cantSplit/>
        </w:trPr>
        <w:tc>
          <w:tcPr>
            <w:tcW w:w="1701" w:type="dxa"/>
          </w:tcPr>
          <w:p w:rsidR="008F7250" w:rsidRPr="004B560F" w:rsidRDefault="008F7250" w:rsidP="004B560F">
            <w:pPr>
              <w:ind w:left="0" w:right="33"/>
              <w:rPr>
                <w:b/>
              </w:rPr>
            </w:pPr>
            <w:r w:rsidRPr="004B560F">
              <w:rPr>
                <w:b/>
              </w:rPr>
              <w:t>Trade</w:t>
            </w:r>
          </w:p>
        </w:tc>
        <w:tc>
          <w:tcPr>
            <w:tcW w:w="3496" w:type="dxa"/>
          </w:tcPr>
          <w:p w:rsidR="008F7250" w:rsidRDefault="008F7250" w:rsidP="004B560F">
            <w:pPr>
              <w:ind w:left="0" w:right="33"/>
              <w:rPr>
                <w:sz w:val="18"/>
                <w:szCs w:val="18"/>
              </w:rPr>
            </w:pPr>
            <w:r>
              <w:rPr>
                <w:sz w:val="18"/>
                <w:szCs w:val="18"/>
              </w:rPr>
              <w:t>ISO 15022 messages available</w:t>
            </w:r>
            <w:r w:rsidR="00C04890">
              <w:rPr>
                <w:sz w:val="18"/>
                <w:szCs w:val="18"/>
              </w:rPr>
              <w:t>.</w:t>
            </w:r>
          </w:p>
          <w:p w:rsidR="008F7250" w:rsidRPr="004B560F" w:rsidRDefault="008F7250" w:rsidP="004B560F">
            <w:pPr>
              <w:ind w:left="0" w:right="33"/>
              <w:rPr>
                <w:sz w:val="18"/>
                <w:szCs w:val="18"/>
              </w:rPr>
            </w:pPr>
          </w:p>
        </w:tc>
        <w:tc>
          <w:tcPr>
            <w:tcW w:w="3638" w:type="dxa"/>
          </w:tcPr>
          <w:p w:rsidR="008F7250" w:rsidRPr="004B560F" w:rsidRDefault="006B4769" w:rsidP="006B4769">
            <w:pPr>
              <w:ind w:left="0" w:right="33"/>
              <w:rPr>
                <w:sz w:val="18"/>
                <w:szCs w:val="18"/>
              </w:rPr>
            </w:pPr>
            <w:r>
              <w:rPr>
                <w:sz w:val="18"/>
                <w:szCs w:val="18"/>
              </w:rPr>
              <w:t>FIX and p</w:t>
            </w:r>
            <w:r w:rsidR="008F7250" w:rsidRPr="004B560F">
              <w:rPr>
                <w:sz w:val="18"/>
                <w:szCs w:val="18"/>
              </w:rPr>
              <w:t xml:space="preserve">roprietary standards exist for the securities trade business providing close to full coverage for all instruments. </w:t>
            </w:r>
          </w:p>
        </w:tc>
        <w:tc>
          <w:tcPr>
            <w:tcW w:w="3639" w:type="dxa"/>
          </w:tcPr>
          <w:p w:rsidR="008F7250" w:rsidRPr="004B560F" w:rsidRDefault="008F7250" w:rsidP="00E63DBC">
            <w:pPr>
              <w:ind w:left="0" w:right="33"/>
              <w:rPr>
                <w:sz w:val="18"/>
                <w:szCs w:val="18"/>
              </w:rPr>
            </w:pPr>
            <w:r w:rsidRPr="004B560F">
              <w:rPr>
                <w:sz w:val="18"/>
                <w:szCs w:val="18"/>
              </w:rPr>
              <w:t xml:space="preserve">The pre-trade/trade business model has not yet been finalised. </w:t>
            </w:r>
          </w:p>
        </w:tc>
      </w:tr>
      <w:tr w:rsidR="008F7250" w:rsidRPr="001D5EB7" w:rsidTr="00667E82">
        <w:trPr>
          <w:cantSplit/>
        </w:trPr>
        <w:tc>
          <w:tcPr>
            <w:tcW w:w="1701" w:type="dxa"/>
          </w:tcPr>
          <w:p w:rsidR="008F7250" w:rsidRPr="004B560F" w:rsidRDefault="008F7250" w:rsidP="004B560F">
            <w:pPr>
              <w:ind w:left="0" w:right="33"/>
              <w:rPr>
                <w:b/>
              </w:rPr>
            </w:pPr>
            <w:r w:rsidRPr="004B560F">
              <w:rPr>
                <w:b/>
              </w:rPr>
              <w:t>Post-trade</w:t>
            </w:r>
          </w:p>
        </w:tc>
        <w:tc>
          <w:tcPr>
            <w:tcW w:w="3496" w:type="dxa"/>
          </w:tcPr>
          <w:p w:rsidR="008F7250" w:rsidRDefault="008F7250" w:rsidP="004B560F">
            <w:pPr>
              <w:ind w:left="0" w:right="33"/>
              <w:rPr>
                <w:sz w:val="18"/>
                <w:szCs w:val="18"/>
              </w:rPr>
            </w:pPr>
            <w:r w:rsidRPr="004B560F">
              <w:rPr>
                <w:sz w:val="18"/>
                <w:szCs w:val="18"/>
              </w:rPr>
              <w:t xml:space="preserve">ISO 15022 messages exist for trade executions, allocations and confirmation process. We are observing </w:t>
            </w:r>
            <w:r>
              <w:rPr>
                <w:sz w:val="18"/>
                <w:szCs w:val="18"/>
              </w:rPr>
              <w:t xml:space="preserve">increasing interest </w:t>
            </w:r>
            <w:r w:rsidRPr="004B560F">
              <w:rPr>
                <w:sz w:val="18"/>
                <w:szCs w:val="18"/>
              </w:rPr>
              <w:t xml:space="preserve">from our customers for these messages </w:t>
            </w:r>
            <w:r>
              <w:rPr>
                <w:sz w:val="18"/>
                <w:szCs w:val="18"/>
              </w:rPr>
              <w:t>in</w:t>
            </w:r>
            <w:r w:rsidRPr="004B560F">
              <w:rPr>
                <w:sz w:val="18"/>
                <w:szCs w:val="18"/>
              </w:rPr>
              <w:t xml:space="preserve"> the SWIFT securities matching and CCP projects.</w:t>
            </w:r>
          </w:p>
          <w:p w:rsidR="00E63DBC" w:rsidRPr="004B560F" w:rsidRDefault="00E63DBC" w:rsidP="004B560F">
            <w:pPr>
              <w:ind w:left="0" w:right="33"/>
              <w:rPr>
                <w:sz w:val="18"/>
                <w:szCs w:val="18"/>
              </w:rPr>
            </w:pPr>
            <w:r w:rsidRPr="004B560F">
              <w:rPr>
                <w:sz w:val="18"/>
                <w:szCs w:val="18"/>
              </w:rPr>
              <w:t xml:space="preserve">ISO </w:t>
            </w:r>
            <w:r>
              <w:rPr>
                <w:sz w:val="18"/>
                <w:szCs w:val="18"/>
              </w:rPr>
              <w:t>20022</w:t>
            </w:r>
            <w:r w:rsidRPr="004B560F">
              <w:rPr>
                <w:sz w:val="18"/>
                <w:szCs w:val="18"/>
              </w:rPr>
              <w:t xml:space="preserve"> messa</w:t>
            </w:r>
            <w:r>
              <w:rPr>
                <w:sz w:val="18"/>
                <w:szCs w:val="18"/>
              </w:rPr>
              <w:t xml:space="preserve">ges exist for trade executions </w:t>
            </w:r>
            <w:r w:rsidRPr="004B560F">
              <w:rPr>
                <w:sz w:val="18"/>
                <w:szCs w:val="18"/>
              </w:rPr>
              <w:t>and confirmation process</w:t>
            </w:r>
            <w:r>
              <w:rPr>
                <w:sz w:val="18"/>
                <w:szCs w:val="18"/>
              </w:rPr>
              <w:t xml:space="preserve"> and are being implemented, for example, by </w:t>
            </w:r>
            <w:proofErr w:type="spellStart"/>
            <w:r>
              <w:rPr>
                <w:sz w:val="18"/>
                <w:szCs w:val="18"/>
              </w:rPr>
              <w:t>Jasdec</w:t>
            </w:r>
            <w:proofErr w:type="spellEnd"/>
            <w:r w:rsidRPr="004B560F">
              <w:rPr>
                <w:sz w:val="18"/>
                <w:szCs w:val="18"/>
              </w:rPr>
              <w:t>.</w:t>
            </w:r>
          </w:p>
          <w:p w:rsidR="008F7250" w:rsidRPr="004B560F" w:rsidRDefault="008F7250" w:rsidP="004B560F">
            <w:pPr>
              <w:ind w:left="0" w:right="33"/>
              <w:rPr>
                <w:sz w:val="18"/>
                <w:szCs w:val="18"/>
              </w:rPr>
            </w:pPr>
            <w:r w:rsidRPr="004B560F">
              <w:rPr>
                <w:sz w:val="18"/>
                <w:szCs w:val="18"/>
              </w:rPr>
              <w:t xml:space="preserve">ISO 20022 messages have been created for regulatory reporting as a result of </w:t>
            </w:r>
            <w:proofErr w:type="spellStart"/>
            <w:r w:rsidRPr="004B560F">
              <w:rPr>
                <w:sz w:val="18"/>
                <w:szCs w:val="18"/>
              </w:rPr>
              <w:t>MiFID</w:t>
            </w:r>
            <w:proofErr w:type="spellEnd"/>
            <w:r w:rsidRPr="004B560F">
              <w:rPr>
                <w:sz w:val="18"/>
                <w:szCs w:val="18"/>
              </w:rPr>
              <w:t xml:space="preserve"> (Markets in Financial Instruments Directive) that mandates the reporting of financial transactions to regulators in each EU market and the sharing of such information between regulators.</w:t>
            </w:r>
          </w:p>
        </w:tc>
        <w:tc>
          <w:tcPr>
            <w:tcW w:w="3638" w:type="dxa"/>
          </w:tcPr>
          <w:p w:rsidR="008F7250" w:rsidRDefault="008F7250" w:rsidP="004B560F">
            <w:pPr>
              <w:ind w:left="0" w:right="33"/>
              <w:rPr>
                <w:sz w:val="18"/>
                <w:szCs w:val="18"/>
              </w:rPr>
            </w:pPr>
            <w:r w:rsidRPr="004B560F">
              <w:rPr>
                <w:sz w:val="18"/>
                <w:szCs w:val="18"/>
              </w:rPr>
              <w:t xml:space="preserve">Proprietary and FIX standards exist for the securities trade business providing close to full coverage for all instruments. </w:t>
            </w:r>
          </w:p>
          <w:p w:rsidR="001C656E" w:rsidRPr="004B560F" w:rsidRDefault="001C656E" w:rsidP="004B560F">
            <w:pPr>
              <w:ind w:left="0" w:right="33"/>
              <w:rPr>
                <w:sz w:val="18"/>
                <w:szCs w:val="18"/>
              </w:rPr>
            </w:pPr>
          </w:p>
        </w:tc>
        <w:tc>
          <w:tcPr>
            <w:tcW w:w="3639" w:type="dxa"/>
          </w:tcPr>
          <w:p w:rsidR="001C656E" w:rsidRPr="004B560F" w:rsidRDefault="001C656E" w:rsidP="001C656E">
            <w:pPr>
              <w:ind w:left="0" w:right="33"/>
              <w:rPr>
                <w:sz w:val="18"/>
                <w:szCs w:val="18"/>
              </w:rPr>
            </w:pPr>
          </w:p>
        </w:tc>
      </w:tr>
      <w:tr w:rsidR="008F7250" w:rsidRPr="001D5EB7" w:rsidTr="00667E82">
        <w:trPr>
          <w:cantSplit/>
        </w:trPr>
        <w:tc>
          <w:tcPr>
            <w:tcW w:w="1701" w:type="dxa"/>
          </w:tcPr>
          <w:p w:rsidR="008F7250" w:rsidRPr="004B560F" w:rsidRDefault="008F7250" w:rsidP="004B560F">
            <w:pPr>
              <w:ind w:left="0" w:right="33"/>
              <w:rPr>
                <w:b/>
              </w:rPr>
            </w:pPr>
            <w:r w:rsidRPr="004B560F">
              <w:rPr>
                <w:b/>
              </w:rPr>
              <w:lastRenderedPageBreak/>
              <w:t>Clearing / Pre-settlement</w:t>
            </w:r>
          </w:p>
        </w:tc>
        <w:tc>
          <w:tcPr>
            <w:tcW w:w="3496" w:type="dxa"/>
          </w:tcPr>
          <w:p w:rsidR="008F7250" w:rsidRPr="004B560F" w:rsidRDefault="008F7250" w:rsidP="004B560F">
            <w:pPr>
              <w:ind w:left="0" w:right="33"/>
              <w:rPr>
                <w:sz w:val="18"/>
                <w:szCs w:val="18"/>
              </w:rPr>
            </w:pPr>
            <w:r w:rsidRPr="004B560F">
              <w:rPr>
                <w:sz w:val="18"/>
                <w:szCs w:val="18"/>
              </w:rPr>
              <w:t xml:space="preserve">ISO 15022 messages exist for bi- and tri-party collateral management. </w:t>
            </w:r>
          </w:p>
          <w:p w:rsidR="008F7250" w:rsidRPr="004B560F" w:rsidRDefault="008F7250" w:rsidP="004B560F">
            <w:pPr>
              <w:ind w:left="0" w:right="33"/>
              <w:rPr>
                <w:sz w:val="18"/>
                <w:szCs w:val="18"/>
              </w:rPr>
            </w:pPr>
            <w:r w:rsidRPr="004B560F">
              <w:rPr>
                <w:sz w:val="18"/>
                <w:szCs w:val="18"/>
              </w:rPr>
              <w:t>Candidate ISO 20022 clearing messages for the core communication between CCPs and clearing members</w:t>
            </w:r>
            <w:r w:rsidR="00994697">
              <w:rPr>
                <w:sz w:val="18"/>
                <w:szCs w:val="18"/>
              </w:rPr>
              <w:t xml:space="preserve"> </w:t>
            </w:r>
            <w:r w:rsidR="00E63DBC">
              <w:rPr>
                <w:sz w:val="18"/>
                <w:szCs w:val="18"/>
              </w:rPr>
              <w:t>are available for use.</w:t>
            </w:r>
            <w:r w:rsidR="00D2761E">
              <w:rPr>
                <w:sz w:val="18"/>
                <w:szCs w:val="18"/>
              </w:rPr>
              <w:t xml:space="preserve"> These messages are expected to be approved by ISO in Q2 2013.</w:t>
            </w:r>
          </w:p>
          <w:p w:rsidR="008F7250" w:rsidRPr="004B560F" w:rsidRDefault="008F7250" w:rsidP="00E63DBC">
            <w:pPr>
              <w:ind w:left="0" w:right="33"/>
              <w:rPr>
                <w:sz w:val="18"/>
                <w:szCs w:val="18"/>
              </w:rPr>
            </w:pPr>
            <w:r w:rsidRPr="004B560F">
              <w:rPr>
                <w:sz w:val="18"/>
                <w:szCs w:val="18"/>
              </w:rPr>
              <w:t xml:space="preserve">ISO 20022 candidate collateral management messages covering all exposure and instrument </w:t>
            </w:r>
            <w:r w:rsidR="00E63DBC">
              <w:rPr>
                <w:sz w:val="18"/>
                <w:szCs w:val="18"/>
              </w:rPr>
              <w:t>types are available for use.</w:t>
            </w:r>
            <w:r w:rsidR="00D2761E">
              <w:rPr>
                <w:sz w:val="18"/>
                <w:szCs w:val="18"/>
              </w:rPr>
              <w:t xml:space="preserve"> </w:t>
            </w:r>
            <w:r w:rsidR="00D2761E">
              <w:rPr>
                <w:sz w:val="18"/>
                <w:szCs w:val="18"/>
              </w:rPr>
              <w:t>These messages are expected to be approved by ISO in Q2 2013.</w:t>
            </w:r>
          </w:p>
        </w:tc>
        <w:tc>
          <w:tcPr>
            <w:tcW w:w="3638" w:type="dxa"/>
          </w:tcPr>
          <w:p w:rsidR="008F7250" w:rsidRPr="004B560F" w:rsidRDefault="008F7250" w:rsidP="004B560F">
            <w:pPr>
              <w:ind w:left="0" w:right="33"/>
              <w:rPr>
                <w:sz w:val="18"/>
                <w:szCs w:val="18"/>
              </w:rPr>
            </w:pPr>
            <w:r w:rsidRPr="004B560F">
              <w:rPr>
                <w:sz w:val="18"/>
                <w:szCs w:val="18"/>
              </w:rPr>
              <w:t xml:space="preserve">Proprietary standards exist for domestic clearing and settlement. </w:t>
            </w:r>
          </w:p>
          <w:p w:rsidR="008F7250" w:rsidRPr="004B560F" w:rsidRDefault="008F7250" w:rsidP="00E63DBC">
            <w:pPr>
              <w:ind w:left="0" w:right="33"/>
              <w:rPr>
                <w:sz w:val="18"/>
                <w:szCs w:val="18"/>
              </w:rPr>
            </w:pPr>
            <w:r w:rsidRPr="004B560F">
              <w:rPr>
                <w:sz w:val="18"/>
                <w:szCs w:val="18"/>
              </w:rPr>
              <w:t xml:space="preserve">FIX standards exist for the securities clearing/pre-settlement business providing limited coverage of the process.  </w:t>
            </w:r>
          </w:p>
        </w:tc>
        <w:tc>
          <w:tcPr>
            <w:tcW w:w="3639" w:type="dxa"/>
          </w:tcPr>
          <w:p w:rsidR="008F7250" w:rsidRPr="004B560F" w:rsidRDefault="008F7250" w:rsidP="001C656E">
            <w:pPr>
              <w:ind w:left="0" w:right="33"/>
              <w:rPr>
                <w:sz w:val="18"/>
                <w:szCs w:val="18"/>
              </w:rPr>
            </w:pPr>
          </w:p>
        </w:tc>
      </w:tr>
      <w:tr w:rsidR="008F7250" w:rsidRPr="001D5EB7" w:rsidTr="00667E82">
        <w:trPr>
          <w:cantSplit/>
        </w:trPr>
        <w:tc>
          <w:tcPr>
            <w:tcW w:w="1701" w:type="dxa"/>
          </w:tcPr>
          <w:p w:rsidR="008F7250" w:rsidRPr="004B560F" w:rsidRDefault="008F7250" w:rsidP="004B560F">
            <w:pPr>
              <w:ind w:left="0" w:right="33"/>
              <w:rPr>
                <w:b/>
              </w:rPr>
            </w:pPr>
            <w:r w:rsidRPr="004B560F">
              <w:rPr>
                <w:b/>
              </w:rPr>
              <w:t>Settlement</w:t>
            </w:r>
          </w:p>
        </w:tc>
        <w:tc>
          <w:tcPr>
            <w:tcW w:w="3496" w:type="dxa"/>
          </w:tcPr>
          <w:p w:rsidR="008F7250" w:rsidRPr="004B560F" w:rsidRDefault="008F7250" w:rsidP="004B560F">
            <w:pPr>
              <w:ind w:left="0" w:right="33"/>
              <w:rPr>
                <w:sz w:val="18"/>
                <w:szCs w:val="18"/>
              </w:rPr>
            </w:pPr>
            <w:r w:rsidRPr="004B560F">
              <w:rPr>
                <w:sz w:val="18"/>
                <w:szCs w:val="18"/>
              </w:rPr>
              <w:t>ISO 15022</w:t>
            </w:r>
            <w:r w:rsidR="001C656E">
              <w:rPr>
                <w:sz w:val="18"/>
                <w:szCs w:val="18"/>
              </w:rPr>
              <w:t xml:space="preserve"> covers core processes</w:t>
            </w:r>
            <w:r w:rsidRPr="004B560F">
              <w:rPr>
                <w:sz w:val="18"/>
                <w:szCs w:val="18"/>
              </w:rPr>
              <w:t xml:space="preserve"> and ISO 20022</w:t>
            </w:r>
            <w:r w:rsidR="001C656E">
              <w:rPr>
                <w:sz w:val="18"/>
                <w:szCs w:val="18"/>
              </w:rPr>
              <w:t xml:space="preserve"> cover core + additional processes such as counterparty response and modifications</w:t>
            </w:r>
            <w:r w:rsidRPr="004B560F">
              <w:rPr>
                <w:sz w:val="18"/>
                <w:szCs w:val="18"/>
              </w:rPr>
              <w:t xml:space="preserve">. Only ISO 15022 is available in general use. </w:t>
            </w:r>
            <w:r w:rsidR="001C656E">
              <w:rPr>
                <w:sz w:val="18"/>
                <w:szCs w:val="18"/>
              </w:rPr>
              <w:t>ISO 20022 is available in MI CUG (</w:t>
            </w:r>
            <w:proofErr w:type="spellStart"/>
            <w:r w:rsidR="001C656E">
              <w:rPr>
                <w:sz w:val="18"/>
                <w:szCs w:val="18"/>
              </w:rPr>
              <w:t>Jasdec</w:t>
            </w:r>
            <w:proofErr w:type="spellEnd"/>
            <w:r w:rsidR="001C656E">
              <w:rPr>
                <w:sz w:val="18"/>
                <w:szCs w:val="18"/>
              </w:rPr>
              <w:t>) and is implemented by markets in the Baltics.</w:t>
            </w:r>
          </w:p>
          <w:p w:rsidR="008F7250" w:rsidRPr="004B560F" w:rsidRDefault="008F7250" w:rsidP="004B560F">
            <w:pPr>
              <w:ind w:left="0" w:right="33"/>
              <w:rPr>
                <w:sz w:val="18"/>
                <w:szCs w:val="18"/>
              </w:rPr>
            </w:pPr>
            <w:r w:rsidRPr="004B560F">
              <w:rPr>
                <w:sz w:val="18"/>
                <w:szCs w:val="18"/>
              </w:rPr>
              <w:t>Part of the registration process is not covered.</w:t>
            </w:r>
          </w:p>
          <w:p w:rsidR="008F7250" w:rsidRPr="004B560F" w:rsidRDefault="008F7250" w:rsidP="004B560F">
            <w:pPr>
              <w:ind w:left="0" w:right="33"/>
              <w:rPr>
                <w:sz w:val="18"/>
                <w:szCs w:val="18"/>
              </w:rPr>
            </w:pPr>
          </w:p>
        </w:tc>
        <w:tc>
          <w:tcPr>
            <w:tcW w:w="3638" w:type="dxa"/>
          </w:tcPr>
          <w:p w:rsidR="008F7250" w:rsidRPr="004B560F" w:rsidRDefault="008F7250" w:rsidP="004B560F">
            <w:pPr>
              <w:ind w:left="0" w:right="33"/>
              <w:rPr>
                <w:sz w:val="18"/>
                <w:szCs w:val="18"/>
              </w:rPr>
            </w:pPr>
            <w:r w:rsidRPr="004B560F">
              <w:rPr>
                <w:sz w:val="18"/>
                <w:szCs w:val="18"/>
              </w:rPr>
              <w:t>Proprietary standards exist within the domestic settlement markets.</w:t>
            </w:r>
          </w:p>
        </w:tc>
        <w:tc>
          <w:tcPr>
            <w:tcW w:w="3639" w:type="dxa"/>
          </w:tcPr>
          <w:p w:rsidR="00113240" w:rsidRPr="004B560F" w:rsidRDefault="00113240" w:rsidP="00113240">
            <w:pPr>
              <w:ind w:left="0" w:right="33"/>
              <w:rPr>
                <w:sz w:val="18"/>
                <w:szCs w:val="18"/>
              </w:rPr>
            </w:pPr>
            <w:r>
              <w:rPr>
                <w:sz w:val="18"/>
                <w:szCs w:val="18"/>
              </w:rPr>
              <w:t>In APAC, a need for messaging (ISO 15022 and/or 20022) for securities or cash earmarking at central or commercial bank to ensure settlement of trades has been identified (VN, PH, etc.)</w:t>
            </w:r>
          </w:p>
        </w:tc>
      </w:tr>
      <w:tr w:rsidR="008F7250" w:rsidRPr="001D5EB7" w:rsidTr="00667E82">
        <w:trPr>
          <w:cantSplit/>
        </w:trPr>
        <w:tc>
          <w:tcPr>
            <w:tcW w:w="1701" w:type="dxa"/>
          </w:tcPr>
          <w:p w:rsidR="008F7250" w:rsidRPr="004B560F" w:rsidRDefault="008F7250" w:rsidP="004B560F">
            <w:pPr>
              <w:ind w:left="0" w:right="33"/>
              <w:rPr>
                <w:b/>
              </w:rPr>
            </w:pPr>
            <w:r w:rsidRPr="004B560F">
              <w:rPr>
                <w:b/>
              </w:rPr>
              <w:t>Corporate Events Management</w:t>
            </w:r>
          </w:p>
        </w:tc>
        <w:tc>
          <w:tcPr>
            <w:tcW w:w="3496" w:type="dxa"/>
          </w:tcPr>
          <w:p w:rsidR="00D2761E" w:rsidRDefault="008F7250" w:rsidP="00D2761E">
            <w:pPr>
              <w:ind w:left="0" w:right="33"/>
              <w:rPr>
                <w:sz w:val="18"/>
                <w:szCs w:val="18"/>
              </w:rPr>
            </w:pPr>
            <w:r w:rsidRPr="004B560F">
              <w:rPr>
                <w:sz w:val="18"/>
                <w:szCs w:val="18"/>
              </w:rPr>
              <w:t>ISO 15022 and ISO 20022 messages exist for corporate actions</w:t>
            </w:r>
            <w:r w:rsidR="00AA0263">
              <w:rPr>
                <w:sz w:val="18"/>
                <w:szCs w:val="18"/>
              </w:rPr>
              <w:t xml:space="preserve"> and</w:t>
            </w:r>
            <w:r w:rsidRPr="004B560F">
              <w:rPr>
                <w:sz w:val="18"/>
                <w:szCs w:val="18"/>
              </w:rPr>
              <w:t xml:space="preserve"> proxy voting (limited in ISO 15022). </w:t>
            </w:r>
            <w:r w:rsidR="00D2761E">
              <w:rPr>
                <w:sz w:val="18"/>
                <w:szCs w:val="18"/>
              </w:rPr>
              <w:t>ISO 20022 is available in MI CUG (</w:t>
            </w:r>
            <w:r w:rsidR="00D2761E">
              <w:rPr>
                <w:sz w:val="18"/>
                <w:szCs w:val="18"/>
              </w:rPr>
              <w:t>DTCC</w:t>
            </w:r>
            <w:r w:rsidR="00D2761E">
              <w:rPr>
                <w:sz w:val="18"/>
                <w:szCs w:val="18"/>
              </w:rPr>
              <w:t>)</w:t>
            </w:r>
            <w:r w:rsidR="00D2761E">
              <w:rPr>
                <w:sz w:val="18"/>
                <w:szCs w:val="18"/>
              </w:rPr>
              <w:t>.</w:t>
            </w:r>
          </w:p>
          <w:p w:rsidR="008F7250" w:rsidRPr="004B560F" w:rsidRDefault="008F7250" w:rsidP="00D2761E">
            <w:pPr>
              <w:ind w:left="0" w:right="33"/>
              <w:rPr>
                <w:sz w:val="18"/>
                <w:szCs w:val="18"/>
              </w:rPr>
            </w:pPr>
            <w:r w:rsidRPr="004B560F">
              <w:rPr>
                <w:sz w:val="18"/>
                <w:szCs w:val="18"/>
              </w:rPr>
              <w:t>The proxy ISO 20022 messages cover processes such as meeting notification, voting, and confirmation of vote execution and distribution of meetings results.</w:t>
            </w:r>
          </w:p>
        </w:tc>
        <w:tc>
          <w:tcPr>
            <w:tcW w:w="3638" w:type="dxa"/>
          </w:tcPr>
          <w:p w:rsidR="008F7250" w:rsidRPr="004B560F" w:rsidRDefault="008F7250" w:rsidP="004B560F">
            <w:pPr>
              <w:ind w:left="0" w:right="33"/>
              <w:rPr>
                <w:sz w:val="18"/>
                <w:szCs w:val="18"/>
              </w:rPr>
            </w:pPr>
            <w:r w:rsidRPr="004B560F">
              <w:rPr>
                <w:sz w:val="18"/>
                <w:szCs w:val="18"/>
              </w:rPr>
              <w:t xml:space="preserve">Proprietary standards exist for communication and processing of corporate events. </w:t>
            </w:r>
          </w:p>
          <w:p w:rsidR="008447C0" w:rsidRDefault="008447C0">
            <w:pPr>
              <w:ind w:left="0" w:right="33"/>
              <w:rPr>
                <w:sz w:val="18"/>
                <w:szCs w:val="18"/>
              </w:rPr>
            </w:pPr>
          </w:p>
        </w:tc>
        <w:tc>
          <w:tcPr>
            <w:tcW w:w="3639" w:type="dxa"/>
          </w:tcPr>
          <w:p w:rsidR="008F7250" w:rsidRPr="004B560F" w:rsidRDefault="008F7250" w:rsidP="004B560F">
            <w:pPr>
              <w:ind w:left="0" w:right="33"/>
              <w:rPr>
                <w:sz w:val="18"/>
                <w:szCs w:val="18"/>
              </w:rPr>
            </w:pPr>
          </w:p>
        </w:tc>
      </w:tr>
      <w:tr w:rsidR="008F7250" w:rsidRPr="001D5EB7" w:rsidTr="00667E82">
        <w:trPr>
          <w:cantSplit/>
        </w:trPr>
        <w:tc>
          <w:tcPr>
            <w:tcW w:w="1701" w:type="dxa"/>
          </w:tcPr>
          <w:p w:rsidR="008F7250" w:rsidRPr="004B560F" w:rsidRDefault="008F7250" w:rsidP="004B560F">
            <w:pPr>
              <w:ind w:left="0" w:right="33"/>
              <w:rPr>
                <w:b/>
              </w:rPr>
            </w:pPr>
            <w:r w:rsidRPr="004B560F">
              <w:rPr>
                <w:b/>
              </w:rPr>
              <w:t>Security Issuance</w:t>
            </w:r>
          </w:p>
        </w:tc>
        <w:tc>
          <w:tcPr>
            <w:tcW w:w="3496" w:type="dxa"/>
          </w:tcPr>
          <w:p w:rsidR="008F7250" w:rsidRPr="004B560F" w:rsidRDefault="008F7250" w:rsidP="004B560F">
            <w:pPr>
              <w:ind w:left="0" w:right="33"/>
              <w:rPr>
                <w:sz w:val="18"/>
                <w:szCs w:val="18"/>
              </w:rPr>
            </w:pPr>
            <w:r w:rsidRPr="004B560F">
              <w:rPr>
                <w:sz w:val="18"/>
                <w:szCs w:val="18"/>
              </w:rPr>
              <w:t>None</w:t>
            </w:r>
          </w:p>
        </w:tc>
        <w:tc>
          <w:tcPr>
            <w:tcW w:w="3638" w:type="dxa"/>
          </w:tcPr>
          <w:p w:rsidR="008F7250" w:rsidRPr="004B560F" w:rsidRDefault="008F7250" w:rsidP="004B560F">
            <w:pPr>
              <w:ind w:left="0" w:right="33"/>
              <w:rPr>
                <w:sz w:val="18"/>
                <w:szCs w:val="18"/>
              </w:rPr>
            </w:pPr>
            <w:r w:rsidRPr="004B560F">
              <w:rPr>
                <w:sz w:val="18"/>
                <w:szCs w:val="18"/>
              </w:rPr>
              <w:t xml:space="preserve">EPIM (European Pre-Issuance Messaging) used by DTCC, </w:t>
            </w:r>
            <w:proofErr w:type="spellStart"/>
            <w:r w:rsidRPr="004B560F">
              <w:rPr>
                <w:sz w:val="18"/>
                <w:szCs w:val="18"/>
              </w:rPr>
              <w:t>Euroclear</w:t>
            </w:r>
            <w:proofErr w:type="spellEnd"/>
            <w:r w:rsidRPr="004B560F">
              <w:rPr>
                <w:sz w:val="18"/>
                <w:szCs w:val="18"/>
              </w:rPr>
              <w:t xml:space="preserve"> and </w:t>
            </w:r>
            <w:proofErr w:type="spellStart"/>
            <w:r w:rsidRPr="004B560F">
              <w:rPr>
                <w:sz w:val="18"/>
                <w:szCs w:val="18"/>
              </w:rPr>
              <w:t>Clearstream</w:t>
            </w:r>
            <w:proofErr w:type="spellEnd"/>
            <w:r w:rsidRPr="004B560F">
              <w:rPr>
                <w:sz w:val="18"/>
                <w:szCs w:val="18"/>
              </w:rPr>
              <w:t xml:space="preserve"> for the issuance of international securities. </w:t>
            </w:r>
          </w:p>
        </w:tc>
        <w:tc>
          <w:tcPr>
            <w:tcW w:w="3639" w:type="dxa"/>
          </w:tcPr>
          <w:p w:rsidR="008F7250" w:rsidRPr="004B560F" w:rsidRDefault="008F7250" w:rsidP="004B560F">
            <w:pPr>
              <w:ind w:left="0" w:right="33"/>
              <w:rPr>
                <w:sz w:val="18"/>
                <w:szCs w:val="18"/>
              </w:rPr>
            </w:pPr>
            <w:r w:rsidRPr="004B560F">
              <w:rPr>
                <w:sz w:val="18"/>
                <w:szCs w:val="18"/>
              </w:rPr>
              <w:t xml:space="preserve"> </w:t>
            </w:r>
          </w:p>
        </w:tc>
      </w:tr>
      <w:tr w:rsidR="008F7250" w:rsidRPr="001D5EB7" w:rsidTr="00667E82">
        <w:trPr>
          <w:cantSplit/>
        </w:trPr>
        <w:tc>
          <w:tcPr>
            <w:tcW w:w="1701" w:type="dxa"/>
          </w:tcPr>
          <w:p w:rsidR="008F7250" w:rsidRPr="004B560F" w:rsidRDefault="008F7250" w:rsidP="004B560F">
            <w:pPr>
              <w:ind w:left="0" w:right="33"/>
              <w:rPr>
                <w:b/>
              </w:rPr>
            </w:pPr>
            <w:r w:rsidRPr="004B560F">
              <w:rPr>
                <w:b/>
              </w:rPr>
              <w:lastRenderedPageBreak/>
              <w:t>Reference Data Management</w:t>
            </w:r>
          </w:p>
        </w:tc>
        <w:tc>
          <w:tcPr>
            <w:tcW w:w="3496" w:type="dxa"/>
          </w:tcPr>
          <w:p w:rsidR="00113240" w:rsidRDefault="00113240" w:rsidP="00113240">
            <w:pPr>
              <w:ind w:left="0" w:right="33"/>
              <w:rPr>
                <w:sz w:val="18"/>
                <w:szCs w:val="18"/>
              </w:rPr>
            </w:pPr>
            <w:r w:rsidRPr="004B560F">
              <w:rPr>
                <w:sz w:val="18"/>
                <w:szCs w:val="18"/>
              </w:rPr>
              <w:t xml:space="preserve">In the context of T2S, ISO 20022 </w:t>
            </w:r>
            <w:r>
              <w:rPr>
                <w:sz w:val="18"/>
                <w:szCs w:val="18"/>
              </w:rPr>
              <w:t xml:space="preserve">candidate </w:t>
            </w:r>
            <w:r w:rsidRPr="004B560F">
              <w:rPr>
                <w:sz w:val="18"/>
                <w:szCs w:val="18"/>
              </w:rPr>
              <w:t xml:space="preserve">securities reference data messages </w:t>
            </w:r>
            <w:r>
              <w:rPr>
                <w:sz w:val="18"/>
                <w:szCs w:val="18"/>
              </w:rPr>
              <w:t>have been</w:t>
            </w:r>
            <w:r w:rsidRPr="004B560F">
              <w:rPr>
                <w:sz w:val="18"/>
                <w:szCs w:val="18"/>
              </w:rPr>
              <w:t xml:space="preserve"> developed.</w:t>
            </w:r>
            <w:r>
              <w:rPr>
                <w:sz w:val="18"/>
                <w:szCs w:val="18"/>
              </w:rPr>
              <w:t xml:space="preserve"> They are not available for general use.</w:t>
            </w:r>
          </w:p>
          <w:p w:rsidR="00113240" w:rsidRPr="004B560F" w:rsidRDefault="00113240" w:rsidP="00113240">
            <w:pPr>
              <w:ind w:left="0" w:right="33"/>
              <w:rPr>
                <w:sz w:val="18"/>
                <w:szCs w:val="18"/>
              </w:rPr>
            </w:pPr>
            <w:r w:rsidRPr="004B560F">
              <w:rPr>
                <w:sz w:val="18"/>
                <w:szCs w:val="18"/>
              </w:rPr>
              <w:t xml:space="preserve">T2S 4CB </w:t>
            </w:r>
            <w:r>
              <w:rPr>
                <w:sz w:val="18"/>
                <w:szCs w:val="18"/>
              </w:rPr>
              <w:t>have developed</w:t>
            </w:r>
            <w:r w:rsidRPr="004B560F">
              <w:rPr>
                <w:sz w:val="18"/>
                <w:szCs w:val="18"/>
              </w:rPr>
              <w:t xml:space="preserve"> ISO 20022</w:t>
            </w:r>
            <w:r>
              <w:rPr>
                <w:sz w:val="18"/>
                <w:szCs w:val="18"/>
              </w:rPr>
              <w:t xml:space="preserve"> candidate</w:t>
            </w:r>
            <w:r w:rsidRPr="004B560F">
              <w:rPr>
                <w:sz w:val="18"/>
                <w:szCs w:val="18"/>
              </w:rPr>
              <w:t xml:space="preserve"> messages for party and account related reference data.</w:t>
            </w:r>
          </w:p>
          <w:p w:rsidR="008F7250" w:rsidRPr="004B560F" w:rsidRDefault="008F7250" w:rsidP="004B560F">
            <w:pPr>
              <w:ind w:left="0" w:right="33"/>
              <w:rPr>
                <w:sz w:val="18"/>
                <w:szCs w:val="18"/>
              </w:rPr>
            </w:pPr>
          </w:p>
        </w:tc>
        <w:tc>
          <w:tcPr>
            <w:tcW w:w="3638" w:type="dxa"/>
          </w:tcPr>
          <w:p w:rsidR="008F7250" w:rsidRPr="004B560F" w:rsidRDefault="008F7250" w:rsidP="004B560F">
            <w:pPr>
              <w:ind w:left="0" w:right="33"/>
              <w:rPr>
                <w:sz w:val="18"/>
                <w:szCs w:val="18"/>
              </w:rPr>
            </w:pPr>
            <w:r w:rsidRPr="004B560F">
              <w:rPr>
                <w:sz w:val="18"/>
                <w:szCs w:val="18"/>
              </w:rPr>
              <w:t xml:space="preserve">Proprietary and FIX standards exist for reference data dealing with the distribution and trading of securities, providing only limited coverage. </w:t>
            </w:r>
          </w:p>
          <w:p w:rsidR="008F7250" w:rsidRPr="004B560F" w:rsidRDefault="008F7250" w:rsidP="004B560F">
            <w:pPr>
              <w:ind w:left="0" w:right="33"/>
              <w:rPr>
                <w:sz w:val="18"/>
                <w:szCs w:val="18"/>
              </w:rPr>
            </w:pPr>
            <w:r w:rsidRPr="004B560F">
              <w:rPr>
                <w:sz w:val="18"/>
                <w:szCs w:val="18"/>
              </w:rPr>
              <w:t>Further proprietary best practice recommendations exist for communication of standing settlement instructions (SSI) for securities based on decisions documented by ISITC.</w:t>
            </w:r>
          </w:p>
        </w:tc>
        <w:tc>
          <w:tcPr>
            <w:tcW w:w="3639" w:type="dxa"/>
          </w:tcPr>
          <w:p w:rsidR="008F7250" w:rsidRPr="004B560F" w:rsidRDefault="008F7250" w:rsidP="004B560F">
            <w:pPr>
              <w:ind w:left="0" w:right="33"/>
              <w:rPr>
                <w:sz w:val="18"/>
                <w:szCs w:val="18"/>
              </w:rPr>
            </w:pPr>
            <w:r w:rsidRPr="004B560F">
              <w:rPr>
                <w:sz w:val="18"/>
                <w:szCs w:val="18"/>
              </w:rPr>
              <w:t xml:space="preserve">Covered in the ISO 20022 business model by the Financial Instrument Business Information Model (FIBIM) as designed by ISO WG11. </w:t>
            </w:r>
          </w:p>
          <w:p w:rsidR="008F7250" w:rsidRPr="004B560F" w:rsidRDefault="008F7250" w:rsidP="004B560F">
            <w:pPr>
              <w:ind w:left="0" w:right="33"/>
              <w:rPr>
                <w:sz w:val="18"/>
                <w:szCs w:val="18"/>
              </w:rPr>
            </w:pPr>
          </w:p>
          <w:p w:rsidR="008F7250" w:rsidRPr="004B560F" w:rsidRDefault="008F7250" w:rsidP="004B560F">
            <w:pPr>
              <w:ind w:left="0" w:right="33"/>
              <w:rPr>
                <w:sz w:val="18"/>
                <w:szCs w:val="18"/>
              </w:rPr>
            </w:pPr>
            <w:r w:rsidRPr="004B560F">
              <w:rPr>
                <w:sz w:val="18"/>
                <w:szCs w:val="18"/>
              </w:rPr>
              <w:t>Opportunities exist in other ref</w:t>
            </w:r>
            <w:r>
              <w:rPr>
                <w:sz w:val="18"/>
                <w:szCs w:val="18"/>
              </w:rPr>
              <w:t>erence</w:t>
            </w:r>
            <w:r w:rsidRPr="004B560F">
              <w:rPr>
                <w:sz w:val="18"/>
                <w:szCs w:val="18"/>
              </w:rPr>
              <w:t xml:space="preserve"> data areas such as standing settlement instructions for securities.</w:t>
            </w:r>
          </w:p>
          <w:p w:rsidR="008F7250" w:rsidRPr="004B560F" w:rsidRDefault="008F7250" w:rsidP="004B560F">
            <w:pPr>
              <w:ind w:left="0" w:right="33"/>
              <w:rPr>
                <w:sz w:val="18"/>
                <w:szCs w:val="18"/>
              </w:rPr>
            </w:pPr>
            <w:r w:rsidRPr="004B560F">
              <w:rPr>
                <w:sz w:val="18"/>
                <w:szCs w:val="18"/>
              </w:rPr>
              <w:t>EU and US data gathering requirements following new regulations.</w:t>
            </w:r>
          </w:p>
          <w:p w:rsidR="008F7250" w:rsidRPr="004B560F" w:rsidRDefault="008F7250" w:rsidP="004B560F">
            <w:pPr>
              <w:ind w:left="0" w:right="33"/>
              <w:rPr>
                <w:sz w:val="18"/>
                <w:szCs w:val="18"/>
              </w:rPr>
            </w:pPr>
            <w:r w:rsidRPr="004B560F">
              <w:rPr>
                <w:sz w:val="18"/>
                <w:szCs w:val="18"/>
              </w:rPr>
              <w:t>Tax processing is another area for which there are no standards available yet.</w:t>
            </w:r>
          </w:p>
        </w:tc>
      </w:tr>
      <w:tr w:rsidR="008F7250" w:rsidRPr="001D5EB7" w:rsidTr="00667E82">
        <w:tc>
          <w:tcPr>
            <w:tcW w:w="1701" w:type="dxa"/>
          </w:tcPr>
          <w:p w:rsidR="008F7250" w:rsidRPr="004B560F" w:rsidRDefault="008F7250" w:rsidP="004B560F">
            <w:pPr>
              <w:ind w:left="0" w:right="33"/>
              <w:rPr>
                <w:b/>
              </w:rPr>
            </w:pPr>
            <w:r w:rsidRPr="004B560F">
              <w:rPr>
                <w:b/>
              </w:rPr>
              <w:t>Portfolio Administration</w:t>
            </w:r>
          </w:p>
        </w:tc>
        <w:tc>
          <w:tcPr>
            <w:tcW w:w="3496" w:type="dxa"/>
          </w:tcPr>
          <w:p w:rsidR="008F7250" w:rsidRPr="004B560F" w:rsidRDefault="008F7250" w:rsidP="003B488B">
            <w:pPr>
              <w:ind w:left="0" w:right="33"/>
              <w:rPr>
                <w:sz w:val="18"/>
                <w:szCs w:val="18"/>
              </w:rPr>
            </w:pPr>
            <w:r w:rsidRPr="004B560F">
              <w:rPr>
                <w:sz w:val="18"/>
                <w:szCs w:val="18"/>
              </w:rPr>
              <w:t xml:space="preserve">ISO 20022 standards exist for the transfer or conversion of portfolios from one institution to another as well as for account opening, modifications and closing. </w:t>
            </w:r>
          </w:p>
        </w:tc>
        <w:tc>
          <w:tcPr>
            <w:tcW w:w="3638" w:type="dxa"/>
          </w:tcPr>
          <w:p w:rsidR="008F7250" w:rsidRPr="004B560F" w:rsidRDefault="008F7250" w:rsidP="004B560F">
            <w:pPr>
              <w:ind w:left="0" w:right="33"/>
              <w:rPr>
                <w:sz w:val="18"/>
                <w:szCs w:val="18"/>
              </w:rPr>
            </w:pPr>
            <w:r w:rsidRPr="004B560F">
              <w:rPr>
                <w:sz w:val="18"/>
                <w:szCs w:val="18"/>
              </w:rPr>
              <w:t>None</w:t>
            </w:r>
          </w:p>
        </w:tc>
        <w:tc>
          <w:tcPr>
            <w:tcW w:w="3639" w:type="dxa"/>
          </w:tcPr>
          <w:p w:rsidR="008F7250" w:rsidRDefault="008F7250">
            <w:pPr>
              <w:ind w:left="0" w:right="33"/>
              <w:rPr>
                <w:sz w:val="18"/>
                <w:szCs w:val="18"/>
              </w:rPr>
            </w:pPr>
            <w:r w:rsidRPr="004B560F">
              <w:rPr>
                <w:sz w:val="18"/>
                <w:szCs w:val="18"/>
              </w:rPr>
              <w:t xml:space="preserve">Opportunities exist to </w:t>
            </w:r>
            <w:r>
              <w:rPr>
                <w:sz w:val="18"/>
                <w:szCs w:val="18"/>
              </w:rPr>
              <w:t>extend</w:t>
            </w:r>
            <w:r w:rsidRPr="004B560F">
              <w:rPr>
                <w:sz w:val="18"/>
                <w:szCs w:val="18"/>
              </w:rPr>
              <w:t xml:space="preserve"> the current ISO 20022 standards for portfolio administration to allow support for a greater variety of portfolio type, </w:t>
            </w:r>
            <w:r w:rsidR="00E62FC1">
              <w:rPr>
                <w:sz w:val="18"/>
                <w:szCs w:val="18"/>
              </w:rPr>
              <w:t>for example,</w:t>
            </w:r>
            <w:r w:rsidRPr="004B560F">
              <w:rPr>
                <w:sz w:val="18"/>
                <w:szCs w:val="18"/>
              </w:rPr>
              <w:t xml:space="preserve"> trust, funds, safekeeping, investment, credit, etc...</w:t>
            </w:r>
          </w:p>
        </w:tc>
      </w:tr>
      <w:tr w:rsidR="008F7250" w:rsidRPr="001D5EB7" w:rsidTr="00667E82">
        <w:tc>
          <w:tcPr>
            <w:tcW w:w="1701" w:type="dxa"/>
          </w:tcPr>
          <w:p w:rsidR="008F7250" w:rsidRPr="004B560F" w:rsidRDefault="008F7250" w:rsidP="004B560F">
            <w:pPr>
              <w:ind w:left="0" w:right="33"/>
              <w:rPr>
                <w:b/>
              </w:rPr>
            </w:pPr>
            <w:r w:rsidRPr="004B560F">
              <w:rPr>
                <w:b/>
              </w:rPr>
              <w:t>Asset Management</w:t>
            </w:r>
          </w:p>
        </w:tc>
        <w:tc>
          <w:tcPr>
            <w:tcW w:w="3496" w:type="dxa"/>
          </w:tcPr>
          <w:p w:rsidR="008F7250" w:rsidRPr="004B560F" w:rsidRDefault="008F7250" w:rsidP="004B560F">
            <w:pPr>
              <w:ind w:left="0" w:right="33"/>
              <w:rPr>
                <w:sz w:val="18"/>
                <w:szCs w:val="18"/>
              </w:rPr>
            </w:pPr>
            <w:r w:rsidRPr="004B560F">
              <w:rPr>
                <w:sz w:val="18"/>
                <w:szCs w:val="18"/>
              </w:rPr>
              <w:t>Limited coverage in standards exists for pricing and reporting in ISO 20022.</w:t>
            </w:r>
          </w:p>
        </w:tc>
        <w:tc>
          <w:tcPr>
            <w:tcW w:w="3638" w:type="dxa"/>
          </w:tcPr>
          <w:p w:rsidR="008F7250" w:rsidRPr="004B560F" w:rsidRDefault="008F7250" w:rsidP="004B560F">
            <w:pPr>
              <w:ind w:left="0" w:right="33"/>
              <w:rPr>
                <w:sz w:val="18"/>
                <w:szCs w:val="18"/>
              </w:rPr>
            </w:pPr>
            <w:r w:rsidRPr="004B560F">
              <w:rPr>
                <w:sz w:val="18"/>
                <w:szCs w:val="18"/>
              </w:rPr>
              <w:t xml:space="preserve">Proprietary standards exist and are used widely for the provision of asset management data. </w:t>
            </w:r>
          </w:p>
        </w:tc>
        <w:tc>
          <w:tcPr>
            <w:tcW w:w="3639" w:type="dxa"/>
          </w:tcPr>
          <w:p w:rsidR="008F7250" w:rsidRPr="004B560F" w:rsidRDefault="008F7250" w:rsidP="004B560F">
            <w:pPr>
              <w:ind w:left="0" w:right="33"/>
              <w:rPr>
                <w:sz w:val="18"/>
                <w:szCs w:val="18"/>
              </w:rPr>
            </w:pPr>
            <w:r w:rsidRPr="004B560F">
              <w:rPr>
                <w:sz w:val="18"/>
                <w:szCs w:val="18"/>
              </w:rPr>
              <w:t xml:space="preserve">Current messages for pricing in ISO 20022 should be </w:t>
            </w:r>
            <w:r>
              <w:rPr>
                <w:sz w:val="18"/>
                <w:szCs w:val="18"/>
              </w:rPr>
              <w:t>extended</w:t>
            </w:r>
            <w:r w:rsidRPr="004B560F">
              <w:rPr>
                <w:sz w:val="18"/>
                <w:szCs w:val="18"/>
              </w:rPr>
              <w:t xml:space="preserve"> to include more products outside of the investment funds business area.</w:t>
            </w:r>
          </w:p>
          <w:p w:rsidR="007256ED" w:rsidRDefault="008F7250">
            <w:pPr>
              <w:ind w:left="0" w:right="33"/>
              <w:rPr>
                <w:sz w:val="18"/>
                <w:szCs w:val="18"/>
              </w:rPr>
            </w:pPr>
            <w:r w:rsidRPr="004B560F">
              <w:rPr>
                <w:sz w:val="18"/>
                <w:szCs w:val="18"/>
              </w:rPr>
              <w:t xml:space="preserve">ISO 20022 securities reference data messages developed by SWIFT and </w:t>
            </w:r>
            <w:r w:rsidR="00063BF9">
              <w:rPr>
                <w:sz w:val="18"/>
                <w:szCs w:val="18"/>
              </w:rPr>
              <w:t>the 4CB in the scope of</w:t>
            </w:r>
            <w:r w:rsidR="00063BF9" w:rsidRPr="004B560F">
              <w:rPr>
                <w:sz w:val="18"/>
                <w:szCs w:val="18"/>
              </w:rPr>
              <w:t xml:space="preserve"> </w:t>
            </w:r>
            <w:r w:rsidRPr="004B560F">
              <w:rPr>
                <w:sz w:val="18"/>
                <w:szCs w:val="18"/>
              </w:rPr>
              <w:t>T2S could be used for the exchange and management of securities reference data.</w:t>
            </w:r>
          </w:p>
        </w:tc>
      </w:tr>
      <w:tr w:rsidR="008F7250" w:rsidRPr="001D5EB7" w:rsidTr="00667E82">
        <w:tc>
          <w:tcPr>
            <w:tcW w:w="1701" w:type="dxa"/>
          </w:tcPr>
          <w:p w:rsidR="008F7250" w:rsidRPr="004B560F" w:rsidRDefault="008F7250" w:rsidP="004B560F">
            <w:pPr>
              <w:ind w:left="0" w:right="33"/>
              <w:rPr>
                <w:b/>
              </w:rPr>
            </w:pPr>
            <w:r w:rsidRPr="004B560F">
              <w:rPr>
                <w:b/>
              </w:rPr>
              <w:t>Portfolio Management</w:t>
            </w:r>
          </w:p>
        </w:tc>
        <w:tc>
          <w:tcPr>
            <w:tcW w:w="3496" w:type="dxa"/>
          </w:tcPr>
          <w:p w:rsidR="008F7250" w:rsidRPr="004B560F" w:rsidRDefault="008F7250" w:rsidP="004B560F">
            <w:pPr>
              <w:ind w:left="0" w:right="33"/>
              <w:rPr>
                <w:sz w:val="18"/>
                <w:szCs w:val="18"/>
              </w:rPr>
            </w:pPr>
            <w:r w:rsidRPr="004B560F">
              <w:rPr>
                <w:sz w:val="18"/>
                <w:szCs w:val="18"/>
              </w:rPr>
              <w:t>SWIFT, ISO 15022 and ISO 20022 standards exist in the asset management area by means of various reconciliation messages</w:t>
            </w:r>
            <w:r w:rsidR="001C656E">
              <w:rPr>
                <w:sz w:val="18"/>
                <w:szCs w:val="18"/>
              </w:rPr>
              <w:t xml:space="preserve"> including </w:t>
            </w:r>
            <w:r w:rsidR="001C656E" w:rsidRPr="004B560F">
              <w:rPr>
                <w:sz w:val="18"/>
                <w:szCs w:val="18"/>
              </w:rPr>
              <w:t>Total Portfolio Valuation</w:t>
            </w:r>
            <w:r w:rsidR="001C656E">
              <w:rPr>
                <w:sz w:val="18"/>
                <w:szCs w:val="18"/>
              </w:rPr>
              <w:t>.</w:t>
            </w:r>
          </w:p>
          <w:p w:rsidR="008F7250" w:rsidRPr="004B560F" w:rsidRDefault="008F7250" w:rsidP="004B560F">
            <w:pPr>
              <w:ind w:left="0" w:right="33"/>
              <w:rPr>
                <w:sz w:val="18"/>
                <w:szCs w:val="18"/>
              </w:rPr>
            </w:pPr>
          </w:p>
        </w:tc>
        <w:tc>
          <w:tcPr>
            <w:tcW w:w="3638" w:type="dxa"/>
          </w:tcPr>
          <w:p w:rsidR="008F7250" w:rsidRPr="004B560F" w:rsidRDefault="008F7250" w:rsidP="004B560F">
            <w:pPr>
              <w:ind w:left="0" w:right="33"/>
              <w:rPr>
                <w:sz w:val="18"/>
                <w:szCs w:val="18"/>
              </w:rPr>
            </w:pPr>
            <w:proofErr w:type="spellStart"/>
            <w:r w:rsidRPr="004B560F">
              <w:rPr>
                <w:sz w:val="18"/>
                <w:szCs w:val="18"/>
              </w:rPr>
              <w:t>FpML</w:t>
            </w:r>
            <w:proofErr w:type="spellEnd"/>
            <w:r w:rsidRPr="004B560F">
              <w:rPr>
                <w:sz w:val="18"/>
                <w:szCs w:val="18"/>
              </w:rPr>
              <w:t xml:space="preserve"> provides limited coverage for portfolio valuation, but has recently expanded the scope of their message to include products outside of the derivatives domain. </w:t>
            </w:r>
          </w:p>
        </w:tc>
        <w:tc>
          <w:tcPr>
            <w:tcW w:w="3639" w:type="dxa"/>
          </w:tcPr>
          <w:p w:rsidR="008F7250" w:rsidRDefault="008F7250">
            <w:pPr>
              <w:ind w:left="0" w:right="33"/>
              <w:rPr>
                <w:sz w:val="18"/>
                <w:szCs w:val="18"/>
              </w:rPr>
            </w:pPr>
          </w:p>
        </w:tc>
      </w:tr>
    </w:tbl>
    <w:p w:rsidR="00091848" w:rsidRDefault="008F7250">
      <w:pPr>
        <w:pStyle w:val="Heading2"/>
        <w:numPr>
          <w:ilvl w:val="1"/>
          <w:numId w:val="4"/>
        </w:numPr>
        <w:tabs>
          <w:tab w:val="num" w:pos="780"/>
        </w:tabs>
        <w:spacing w:before="300" w:after="60"/>
        <w:ind w:left="780" w:right="0" w:hanging="720"/>
      </w:pPr>
      <w:bookmarkStart w:id="34" w:name="_Toc340670950"/>
      <w:r>
        <w:t>Additional opportunities</w:t>
      </w:r>
      <w:bookmarkEnd w:id="34"/>
    </w:p>
    <w:p w:rsidR="008F7250" w:rsidRDefault="008F7250" w:rsidP="008A3AFA">
      <w:pPr>
        <w:ind w:left="142" w:right="62"/>
      </w:pPr>
      <w:r>
        <w:t>Analysis is required</w:t>
      </w:r>
      <w:r w:rsidRPr="00E17202">
        <w:t xml:space="preserve"> to determine the need for ISO 20022 messages</w:t>
      </w:r>
      <w:r>
        <w:t xml:space="preserve"> for processes such as securities lending or tax processing.</w:t>
      </w:r>
    </w:p>
    <w:p w:rsidR="008F7250" w:rsidRPr="00FD78ED" w:rsidRDefault="008F7250" w:rsidP="008A3AFA">
      <w:pPr>
        <w:ind w:left="142" w:right="62"/>
      </w:pPr>
      <w:r w:rsidRPr="008D47CA">
        <w:lastRenderedPageBreak/>
        <w:t xml:space="preserve">ISO 20022 messages </w:t>
      </w:r>
      <w:r w:rsidR="008C3F3A">
        <w:t>are being</w:t>
      </w:r>
      <w:r>
        <w:t xml:space="preserve"> developed </w:t>
      </w:r>
      <w:r w:rsidRPr="008D47CA">
        <w:t>for Settlement Standing In</w:t>
      </w:r>
      <w:r>
        <w:t xml:space="preserve">structions (SSI) for securities </w:t>
      </w:r>
      <w:r w:rsidR="008C3F3A">
        <w:t xml:space="preserve">by </w:t>
      </w:r>
      <w:r>
        <w:t>ISITC</w:t>
      </w:r>
      <w:r w:rsidR="008C3F3A">
        <w:t xml:space="preserve"> and </w:t>
      </w:r>
      <w:proofErr w:type="spellStart"/>
      <w:r w:rsidR="008C3F3A">
        <w:t>Omgeo</w:t>
      </w:r>
      <w:proofErr w:type="spellEnd"/>
      <w:r>
        <w:t>.</w:t>
      </w:r>
      <w:r w:rsidR="008C3F3A">
        <w:t xml:space="preserve"> Usage of those messages over the SWIFT Network should be investigated.</w:t>
      </w:r>
      <w:r>
        <w:tab/>
      </w:r>
    </w:p>
    <w:p w:rsidR="008F7250" w:rsidRPr="008D47CA" w:rsidRDefault="008F7250" w:rsidP="008A3AFA">
      <w:pPr>
        <w:ind w:left="142" w:right="62"/>
      </w:pPr>
      <w:r>
        <w:t xml:space="preserve">ISO 20022 securities reference data messages developed by SWIFT and </w:t>
      </w:r>
      <w:r w:rsidR="00063BF9" w:rsidRPr="000E265F">
        <w:t>the 4CB in the scope of</w:t>
      </w:r>
      <w:r w:rsidR="00063BF9" w:rsidRPr="004B560F">
        <w:rPr>
          <w:sz w:val="18"/>
          <w:szCs w:val="18"/>
        </w:rPr>
        <w:t xml:space="preserve"> </w:t>
      </w:r>
      <w:r>
        <w:t>T2S could be used for the exchange and management of securities reference data.</w:t>
      </w:r>
    </w:p>
    <w:p w:rsidR="008F7250" w:rsidRDefault="008F7250" w:rsidP="00A84E3A">
      <w:pPr>
        <w:ind w:left="142" w:right="60"/>
        <w:jc w:val="both"/>
      </w:pPr>
      <w:r>
        <w:t xml:space="preserve">TPV family of messages represents an opportunity to standardise the fund administration related data provided to the </w:t>
      </w:r>
      <w:proofErr w:type="spellStart"/>
      <w:r>
        <w:t>buyside</w:t>
      </w:r>
      <w:proofErr w:type="spellEnd"/>
      <w:r>
        <w:t>. There are no standards in this space today. Also represents an opportunity to bring a number of pure play fund administrators onto the SWIFT network (</w:t>
      </w:r>
      <w:proofErr w:type="spellStart"/>
      <w:r>
        <w:t>i.e</w:t>
      </w:r>
      <w:proofErr w:type="spellEnd"/>
      <w:r>
        <w:t xml:space="preserve"> those that are not already on the network because they are also custodian banks)</w:t>
      </w:r>
      <w:r w:rsidR="00BF112D">
        <w:t>.</w:t>
      </w:r>
      <w:bookmarkStart w:id="35" w:name="_GoBack"/>
      <w:bookmarkEnd w:id="35"/>
    </w:p>
    <w:p w:rsidR="00091848" w:rsidRDefault="008F7250">
      <w:pPr>
        <w:pStyle w:val="Heading2"/>
        <w:numPr>
          <w:ilvl w:val="1"/>
          <w:numId w:val="4"/>
        </w:numPr>
        <w:tabs>
          <w:tab w:val="num" w:pos="780"/>
        </w:tabs>
        <w:spacing w:before="300" w:after="60"/>
        <w:ind w:left="780" w:right="0" w:hanging="720"/>
      </w:pPr>
      <w:bookmarkStart w:id="36" w:name="_Toc340670951"/>
      <w:r>
        <w:t>Standards Coordination Group Investment Roadmap</w:t>
      </w:r>
      <w:bookmarkEnd w:id="36"/>
      <w:r w:rsidRPr="00D172EC">
        <w:t xml:space="preserve">  </w:t>
      </w:r>
    </w:p>
    <w:p w:rsidR="008F7250" w:rsidRPr="00D172EC" w:rsidRDefault="008F7250" w:rsidP="00D172EC">
      <w:pPr>
        <w:ind w:left="142"/>
        <w:rPr>
          <w:color w:val="000000"/>
        </w:rPr>
      </w:pPr>
      <w:r w:rsidRPr="00D172EC">
        <w:t xml:space="preserve">Another important source of information for the securities standards landscape is the Standards Coordination Group </w:t>
      </w:r>
      <w:hyperlink r:id="rId25" w:history="1">
        <w:r w:rsidRPr="00D172EC">
          <w:rPr>
            <w:rStyle w:val="Hyperlink"/>
          </w:rPr>
          <w:t>Investment Roadmap</w:t>
        </w:r>
      </w:hyperlink>
      <w:r w:rsidR="003B488B">
        <w:rPr>
          <w:color w:val="000000"/>
        </w:rPr>
        <w:t>.</w:t>
      </w:r>
    </w:p>
    <w:p w:rsidR="008F7250" w:rsidRPr="00D172EC" w:rsidRDefault="008F7250" w:rsidP="00D172EC">
      <w:pPr>
        <w:ind w:left="142"/>
        <w:rPr>
          <w:color w:val="000000"/>
        </w:rPr>
      </w:pPr>
      <w:r w:rsidRPr="00D172EC">
        <w:rPr>
          <w:color w:val="000000"/>
        </w:rPr>
        <w:t xml:space="preserve">The Standards Coordination Group gathers standards organisations that have a history of industry collaboration in the creation and implementation of financial markets open standards. The group recommends through its </w:t>
      </w:r>
      <w:hyperlink r:id="rId26" w:history="1">
        <w:r w:rsidRPr="00D172EC">
          <w:rPr>
            <w:rStyle w:val="Hyperlink"/>
          </w:rPr>
          <w:t>Investment Roadmap</w:t>
        </w:r>
      </w:hyperlink>
      <w:r w:rsidRPr="00D172EC">
        <w:rPr>
          <w:color w:val="000000"/>
        </w:rPr>
        <w:t>, the emergence of one ISO 20022 business model providing standardized standardised processes, communication flows and terminology to the financial industry. The group recognises the need for multiple communication protocols under ISO 20022, based on specific industry technical needs. The Investment Roadmap therefore identifies the protocols best suited for each business area and instrument type and highlights the areas for collaboration.</w:t>
      </w:r>
    </w:p>
    <w:p w:rsidR="008F7250" w:rsidRPr="00D172EC" w:rsidRDefault="008F7250" w:rsidP="00D172EC">
      <w:pPr>
        <w:ind w:left="142"/>
        <w:rPr>
          <w:color w:val="000000"/>
        </w:rPr>
      </w:pPr>
      <w:r w:rsidRPr="00D172EC">
        <w:t xml:space="preserve">The Standards Coordination Group is </w:t>
      </w:r>
      <w:proofErr w:type="gramStart"/>
      <w:r w:rsidRPr="00D172EC">
        <w:t>a collaboration</w:t>
      </w:r>
      <w:proofErr w:type="gramEnd"/>
      <w:r w:rsidRPr="00D172EC">
        <w:t xml:space="preserve"> between FIX Protocol Ltd. (FPL</w:t>
      </w:r>
      <w:r w:rsidR="00994697">
        <w:t xml:space="preserve">), </w:t>
      </w:r>
      <w:r w:rsidRPr="00D172EC">
        <w:t xml:space="preserve">Financial Products </w:t>
      </w:r>
      <w:proofErr w:type="spellStart"/>
      <w:r w:rsidRPr="00D172EC">
        <w:t>Markup</w:t>
      </w:r>
      <w:proofErr w:type="spellEnd"/>
      <w:r w:rsidRPr="00D172EC">
        <w:t xml:space="preserve"> Language (</w:t>
      </w:r>
      <w:proofErr w:type="spellStart"/>
      <w:r w:rsidRPr="00D172EC">
        <w:t>FpML</w:t>
      </w:r>
      <w:proofErr w:type="spellEnd"/>
      <w:r w:rsidRPr="00D172EC">
        <w:t xml:space="preserve">), International Securities Association for Institutional Trade Communication (ISITC), </w:t>
      </w:r>
      <w:r w:rsidR="00994697">
        <w:t>SWIFT</w:t>
      </w:r>
      <w:r w:rsidRPr="00D172EC">
        <w:t xml:space="preserve">, </w:t>
      </w:r>
      <w:proofErr w:type="spellStart"/>
      <w:r w:rsidRPr="00D172EC">
        <w:t>eXtensible</w:t>
      </w:r>
      <w:proofErr w:type="spellEnd"/>
      <w:r w:rsidRPr="00D172EC">
        <w:t xml:space="preserve"> Business Reporting Language (XBRL US) and Financial Information Services Division of SIIA (FISD).</w:t>
      </w:r>
    </w:p>
    <w:p w:rsidR="008F7250" w:rsidRDefault="008F7250" w:rsidP="00A84E3A">
      <w:pPr>
        <w:ind w:left="142" w:right="60"/>
        <w:jc w:val="both"/>
      </w:pPr>
    </w:p>
    <w:p w:rsidR="008F7250" w:rsidRPr="00E17202" w:rsidRDefault="008F7250" w:rsidP="00555624">
      <w:pPr>
        <w:ind w:left="780"/>
      </w:pPr>
    </w:p>
    <w:p w:rsidR="00091848" w:rsidRDefault="008F7250">
      <w:pPr>
        <w:pStyle w:val="Heading1"/>
        <w:numPr>
          <w:ilvl w:val="0"/>
          <w:numId w:val="4"/>
        </w:numPr>
        <w:tabs>
          <w:tab w:val="num" w:pos="360"/>
        </w:tabs>
        <w:spacing w:before="300" w:after="60"/>
        <w:ind w:left="360" w:right="0" w:hanging="360"/>
      </w:pPr>
      <w:bookmarkStart w:id="37" w:name="_Toc285461125"/>
      <w:bookmarkStart w:id="38" w:name="_Toc285461192"/>
      <w:bookmarkStart w:id="39" w:name="_Toc340670952"/>
      <w:bookmarkEnd w:id="37"/>
      <w:bookmarkEnd w:id="38"/>
      <w:r>
        <w:t>Investment Funds</w:t>
      </w:r>
      <w:bookmarkEnd w:id="39"/>
    </w:p>
    <w:p w:rsidR="00091848" w:rsidRDefault="008F7250">
      <w:pPr>
        <w:pStyle w:val="Heading2"/>
        <w:numPr>
          <w:ilvl w:val="1"/>
          <w:numId w:val="4"/>
        </w:numPr>
        <w:tabs>
          <w:tab w:val="num" w:pos="780"/>
        </w:tabs>
        <w:spacing w:before="300" w:after="60"/>
        <w:ind w:left="780" w:right="0" w:hanging="720"/>
      </w:pPr>
      <w:bookmarkStart w:id="40" w:name="_Toc340670953"/>
      <w:r>
        <w:t>Business overview</w:t>
      </w:r>
      <w:bookmarkEnd w:id="40"/>
    </w:p>
    <w:p w:rsidR="008A3AFA" w:rsidRPr="008A3AFA" w:rsidRDefault="00FA35FD" w:rsidP="008A3AFA">
      <w:r>
        <w:rPr>
          <w:noProof/>
          <w:lang w:eastAsia="en-GB"/>
        </w:rPr>
        <w:lastRenderedPageBreak/>
        <w:drawing>
          <wp:anchor distT="0" distB="0" distL="114300" distR="114300" simplePos="0" relativeHeight="251690496" behindDoc="1" locked="0" layoutInCell="1" allowOverlap="1" wp14:anchorId="0875F8EB" wp14:editId="30DAFD4E">
            <wp:simplePos x="0" y="0"/>
            <wp:positionH relativeFrom="column">
              <wp:align>center</wp:align>
            </wp:positionH>
            <wp:positionV relativeFrom="paragraph">
              <wp:posOffset>234950</wp:posOffset>
            </wp:positionV>
            <wp:extent cx="7378065" cy="3176905"/>
            <wp:effectExtent l="19050" t="0" r="0" b="0"/>
            <wp:wrapTopAndBottom/>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7378065" cy="3176905"/>
                    </a:xfrm>
                    <a:prstGeom prst="rect">
                      <a:avLst/>
                    </a:prstGeom>
                    <a:noFill/>
                    <a:ln w="9525">
                      <a:noFill/>
                      <a:miter lim="800000"/>
                      <a:headEnd/>
                      <a:tailEnd/>
                    </a:ln>
                  </pic:spPr>
                </pic:pic>
              </a:graphicData>
            </a:graphic>
          </wp:anchor>
        </w:drawing>
      </w:r>
    </w:p>
    <w:p w:rsidR="00676572" w:rsidRPr="00676572" w:rsidRDefault="00676572" w:rsidP="00676572">
      <w:pPr>
        <w:ind w:left="0"/>
      </w:pPr>
    </w:p>
    <w:p w:rsidR="008F7250" w:rsidRPr="00E33C87" w:rsidRDefault="008F7250" w:rsidP="008A3AFA">
      <w:pPr>
        <w:ind w:left="0"/>
      </w:pPr>
      <w:r>
        <w:t xml:space="preserve">The investment funds business covers a wide range of business processes and transactions from issuance, reference data and corporate event management through pre-trade, trade, post-trade up to settlement. As the business area covers so many processes, it also includes a multitude of parties involved, </w:t>
      </w:r>
      <w:r w:rsidR="00E62FC1">
        <w:t>for example,</w:t>
      </w:r>
      <w:r>
        <w:t xml:space="preserve"> investment managers, promoters (fund management company, sponsor), transfer agents (registrar), administrators, custodians, distributors (retail banks, funds supermarkets), investors amongst others. The roles of funds agents (transfer agent, administrator, </w:t>
      </w:r>
      <w:proofErr w:type="gramStart"/>
      <w:r>
        <w:t>custodian</w:t>
      </w:r>
      <w:proofErr w:type="gramEnd"/>
      <w:r>
        <w:t>) and the fund itself may also be combined.</w:t>
      </w:r>
    </w:p>
    <w:p w:rsidR="00667E82" w:rsidRDefault="00667E82" w:rsidP="00676572">
      <w:pPr>
        <w:ind w:left="0" w:right="60"/>
        <w:jc w:val="both"/>
        <w:rPr>
          <w:b/>
        </w:rPr>
      </w:pPr>
    </w:p>
    <w:p w:rsidR="008F7250" w:rsidRPr="00A83ADD" w:rsidRDefault="008F7250" w:rsidP="00676572">
      <w:pPr>
        <w:ind w:left="0" w:right="60"/>
        <w:jc w:val="both"/>
        <w:rPr>
          <w:b/>
        </w:rPr>
      </w:pPr>
      <w:r>
        <w:rPr>
          <w:b/>
        </w:rPr>
        <w:t>I</w:t>
      </w:r>
      <w:r w:rsidRPr="00A83ADD">
        <w:rPr>
          <w:b/>
        </w:rPr>
        <w:t>ssuance</w:t>
      </w:r>
    </w:p>
    <w:p w:rsidR="008F7250" w:rsidRPr="00E17202" w:rsidRDefault="008F7250" w:rsidP="00676572">
      <w:pPr>
        <w:ind w:left="0" w:right="60"/>
        <w:jc w:val="both"/>
      </w:pPr>
      <w:r w:rsidRPr="00E17202">
        <w:t xml:space="preserve">The </w:t>
      </w:r>
      <w:r>
        <w:t xml:space="preserve">fund promoter is responsible for the fund set up as well as for the strategy of the fund. An investment fund represents a basket of underlying assets (bonds, equities, real estate, commodities etc.) and the strategy will determine the kind of assets that the fund will invest in.  The promoter </w:t>
      </w:r>
      <w:r w:rsidRPr="00E17202">
        <w:t>inform</w:t>
      </w:r>
      <w:r>
        <w:t>s</w:t>
      </w:r>
      <w:r w:rsidRPr="00E17202">
        <w:t xml:space="preserve"> relevant parties of the information that is required to support distribution of the fund. This is the kind of data that is available in the prospectus of a fund.</w:t>
      </w:r>
    </w:p>
    <w:p w:rsidR="00676572" w:rsidRDefault="00676572" w:rsidP="00676572">
      <w:pPr>
        <w:ind w:left="0" w:right="60"/>
        <w:jc w:val="both"/>
        <w:rPr>
          <w:b/>
        </w:rPr>
      </w:pPr>
    </w:p>
    <w:p w:rsidR="008F7250" w:rsidRPr="00A83ADD" w:rsidRDefault="008F7250" w:rsidP="00676572">
      <w:pPr>
        <w:ind w:left="0" w:right="60"/>
        <w:jc w:val="both"/>
        <w:rPr>
          <w:b/>
        </w:rPr>
      </w:pPr>
      <w:r w:rsidRPr="00A83ADD">
        <w:rPr>
          <w:b/>
        </w:rPr>
        <w:t>Pre-trade</w:t>
      </w:r>
    </w:p>
    <w:p w:rsidR="008F7250" w:rsidRPr="00E17202" w:rsidRDefault="008F7250" w:rsidP="00676572">
      <w:pPr>
        <w:ind w:left="0" w:right="60"/>
        <w:jc w:val="both"/>
      </w:pPr>
      <w:r>
        <w:lastRenderedPageBreak/>
        <w:t>T</w:t>
      </w:r>
      <w:r w:rsidRPr="00E17202">
        <w:t xml:space="preserve">he </w:t>
      </w:r>
      <w:r>
        <w:t>advertisement and sales of investment funds are done by the distributors.</w:t>
      </w:r>
    </w:p>
    <w:p w:rsidR="00667E82" w:rsidRDefault="00667E82" w:rsidP="00676572">
      <w:pPr>
        <w:ind w:left="0" w:right="60"/>
        <w:jc w:val="both"/>
        <w:rPr>
          <w:b/>
          <w:lang w:eastAsia="en-GB"/>
        </w:rPr>
      </w:pPr>
    </w:p>
    <w:p w:rsidR="008F7250" w:rsidRDefault="008F7250" w:rsidP="00676572">
      <w:pPr>
        <w:ind w:left="0" w:right="60"/>
        <w:jc w:val="both"/>
        <w:rPr>
          <w:b/>
          <w:lang w:eastAsia="en-GB"/>
        </w:rPr>
      </w:pPr>
      <w:r>
        <w:rPr>
          <w:b/>
          <w:lang w:eastAsia="en-GB"/>
        </w:rPr>
        <w:t>Trade</w:t>
      </w:r>
    </w:p>
    <w:p w:rsidR="00667E82" w:rsidRDefault="00FE45AF" w:rsidP="00676572">
      <w:pPr>
        <w:ind w:left="0" w:right="60"/>
        <w:jc w:val="both"/>
      </w:pPr>
      <w:r>
        <w:t xml:space="preserve">Exchange traded funds and other similar products are covered in section </w:t>
      </w:r>
      <w:hyperlink w:anchor="_Securities_(equities,_fixed" w:history="1">
        <w:r w:rsidRPr="00FE45AF">
          <w:rPr>
            <w:rStyle w:val="Hyperlink"/>
          </w:rPr>
          <w:t>Securities (equities, fixed income, listed funds and listed derivatives)</w:t>
        </w:r>
      </w:hyperlink>
      <w:r>
        <w:t>.</w:t>
      </w:r>
    </w:p>
    <w:p w:rsidR="003B488B" w:rsidRDefault="003B488B" w:rsidP="00676572">
      <w:pPr>
        <w:ind w:left="0" w:right="60"/>
        <w:jc w:val="both"/>
        <w:rPr>
          <w:b/>
        </w:rPr>
      </w:pPr>
    </w:p>
    <w:p w:rsidR="008F7250" w:rsidRPr="00A83ADD" w:rsidRDefault="008F7250" w:rsidP="00676572">
      <w:pPr>
        <w:ind w:left="0" w:right="60"/>
        <w:jc w:val="both"/>
        <w:rPr>
          <w:b/>
        </w:rPr>
      </w:pPr>
      <w:r w:rsidRPr="00A83ADD">
        <w:rPr>
          <w:b/>
        </w:rPr>
        <w:t>Post-trade</w:t>
      </w:r>
    </w:p>
    <w:p w:rsidR="008F7250" w:rsidRDefault="008F7250" w:rsidP="00676572">
      <w:pPr>
        <w:ind w:left="0" w:right="60"/>
        <w:jc w:val="both"/>
      </w:pPr>
      <w:r>
        <w:t>Subscription, redemption or switch confirmations confirm execution and the executing parties inform relevant parties of the incoming and outgoing cash</w:t>
      </w:r>
      <w:r w:rsidRPr="00E17202">
        <w:t xml:space="preserve"> of the fund, as a result of subscriptions and redemptions respectively.</w:t>
      </w:r>
    </w:p>
    <w:p w:rsidR="00667E82" w:rsidRDefault="00667E82" w:rsidP="00676572">
      <w:pPr>
        <w:ind w:left="0" w:right="60"/>
        <w:jc w:val="both"/>
        <w:rPr>
          <w:b/>
        </w:rPr>
      </w:pPr>
    </w:p>
    <w:p w:rsidR="008F7250" w:rsidRPr="00A83ADD" w:rsidRDefault="008F7250" w:rsidP="00676572">
      <w:pPr>
        <w:ind w:left="0" w:right="60"/>
        <w:jc w:val="both"/>
        <w:rPr>
          <w:b/>
        </w:rPr>
      </w:pPr>
      <w:r w:rsidRPr="00A83ADD">
        <w:rPr>
          <w:b/>
        </w:rPr>
        <w:t>Settlement</w:t>
      </w:r>
    </w:p>
    <w:p w:rsidR="008F7250" w:rsidRDefault="00FE45AF" w:rsidP="00676572">
      <w:pPr>
        <w:ind w:left="0" w:right="60"/>
        <w:jc w:val="both"/>
      </w:pPr>
      <w:r>
        <w:t>S</w:t>
      </w:r>
      <w:r w:rsidR="008F7250" w:rsidRPr="00E17202">
        <w:t xml:space="preserve">ettlement </w:t>
      </w:r>
      <w:r w:rsidR="008F7250">
        <w:t xml:space="preserve">for investment funds </w:t>
      </w:r>
      <w:r>
        <w:t xml:space="preserve">is done through </w:t>
      </w:r>
      <w:r w:rsidR="008F7250">
        <w:t>the registration process (used to define the legal status of ownership) allocates/removes units to/from the transfer agent. P</w:t>
      </w:r>
      <w:r w:rsidR="008F7250" w:rsidRPr="00E17202">
        <w:t>eriodic statements summarise the transactions and balances and allow for the reconciliation process to happen.</w:t>
      </w:r>
      <w:r>
        <w:t xml:space="preserve"> Some CSDs enable that process through a plain vanilla settlement process comparable to the warrant settlement process. </w:t>
      </w:r>
    </w:p>
    <w:p w:rsidR="00667E82" w:rsidRDefault="00667E82" w:rsidP="00676572">
      <w:pPr>
        <w:ind w:left="0" w:right="60"/>
        <w:jc w:val="both"/>
        <w:rPr>
          <w:b/>
        </w:rPr>
      </w:pPr>
    </w:p>
    <w:p w:rsidR="008F7250" w:rsidRPr="00A83ADD" w:rsidRDefault="008F7250" w:rsidP="00676572">
      <w:pPr>
        <w:ind w:left="0" w:right="60"/>
        <w:jc w:val="both"/>
        <w:rPr>
          <w:b/>
        </w:rPr>
      </w:pPr>
      <w:r w:rsidRPr="00A83ADD">
        <w:rPr>
          <w:b/>
        </w:rPr>
        <w:t>Corporate Events Management</w:t>
      </w:r>
    </w:p>
    <w:p w:rsidR="008F7250" w:rsidRDefault="008F7250" w:rsidP="00676572">
      <w:pPr>
        <w:ind w:left="0" w:right="60"/>
        <w:jc w:val="both"/>
      </w:pPr>
      <w:r>
        <w:t>C</w:t>
      </w:r>
      <w:r w:rsidRPr="00E17202">
        <w:t xml:space="preserve">orporate action events, </w:t>
      </w:r>
      <w:r w:rsidR="00E62FC1">
        <w:t>for example,</w:t>
      </w:r>
      <w:r w:rsidRPr="00E17202">
        <w:t xml:space="preserve"> dividend or coupon payment, </w:t>
      </w:r>
      <w:r>
        <w:t xml:space="preserve">will </w:t>
      </w:r>
      <w:r w:rsidRPr="00E17202">
        <w:t xml:space="preserve">occur </w:t>
      </w:r>
      <w:r>
        <w:t>on the assets underlying an investment fund as well as on the fund itself. The process is similar to the corporate events management of securities.</w:t>
      </w:r>
    </w:p>
    <w:p w:rsidR="00667E82" w:rsidRDefault="00667E82" w:rsidP="00676572">
      <w:pPr>
        <w:ind w:left="0" w:right="60"/>
        <w:jc w:val="both"/>
        <w:rPr>
          <w:b/>
        </w:rPr>
      </w:pPr>
    </w:p>
    <w:p w:rsidR="008F7250" w:rsidRPr="00A83ADD" w:rsidRDefault="008F7250" w:rsidP="00676572">
      <w:pPr>
        <w:ind w:left="0" w:right="60"/>
        <w:jc w:val="both"/>
        <w:rPr>
          <w:b/>
        </w:rPr>
      </w:pPr>
      <w:r w:rsidRPr="00A83ADD">
        <w:rPr>
          <w:b/>
        </w:rPr>
        <w:t>Reference Data Management</w:t>
      </w:r>
    </w:p>
    <w:p w:rsidR="008F7250" w:rsidRDefault="008F7250" w:rsidP="00676572">
      <w:pPr>
        <w:ind w:left="0" w:right="60"/>
        <w:jc w:val="both"/>
      </w:pPr>
      <w:r>
        <w:t xml:space="preserve">This process includes the creation of an investment fund and all its attributes in a securities database. </w:t>
      </w:r>
      <w:r w:rsidRPr="00E17202">
        <w:t xml:space="preserve">During the life of the </w:t>
      </w:r>
      <w:r>
        <w:t>investment fund</w:t>
      </w:r>
      <w:r w:rsidRPr="00E17202">
        <w:t xml:space="preserve"> some of the attributes can change, </w:t>
      </w:r>
      <w:r w:rsidR="00E62FC1">
        <w:t>for example,</w:t>
      </w:r>
      <w:r w:rsidRPr="00E17202">
        <w:t xml:space="preserve"> a name change.</w:t>
      </w:r>
      <w:r>
        <w:t xml:space="preserve"> This information must be </w:t>
      </w:r>
      <w:r w:rsidRPr="00E17202">
        <w:t>maintain</w:t>
      </w:r>
      <w:r>
        <w:t>ed</w:t>
      </w:r>
      <w:r w:rsidRPr="00E17202">
        <w:t xml:space="preserve"> and update</w:t>
      </w:r>
      <w:r>
        <w:t>d in</w:t>
      </w:r>
      <w:r w:rsidRPr="00E17202">
        <w:t xml:space="preserve"> the securities master file. </w:t>
      </w:r>
    </w:p>
    <w:p w:rsidR="008F7250" w:rsidRDefault="008F7250" w:rsidP="00676572">
      <w:pPr>
        <w:ind w:left="0" w:right="60"/>
        <w:jc w:val="both"/>
      </w:pPr>
      <w:r>
        <w:t>Reference data management also includes</w:t>
      </w:r>
      <w:r w:rsidRPr="00E17202">
        <w:t xml:space="preserve"> </w:t>
      </w:r>
      <w:r>
        <w:t>the reporting</w:t>
      </w:r>
      <w:r w:rsidRPr="00E17202">
        <w:t xml:space="preserve"> </w:t>
      </w:r>
      <w:r>
        <w:t>of the price or</w:t>
      </w:r>
      <w:r w:rsidRPr="00E17202">
        <w:t xml:space="preserve"> </w:t>
      </w:r>
      <w:r>
        <w:t xml:space="preserve">the </w:t>
      </w:r>
      <w:r w:rsidRPr="00E17202">
        <w:t>net asset value of a fund</w:t>
      </w:r>
      <w:r>
        <w:t xml:space="preserve">. The net asset value is typically calculated at a specified frequency (daily, weekly, etc.) </w:t>
      </w:r>
      <w:r w:rsidRPr="00E17202">
        <w:t xml:space="preserve">and </w:t>
      </w:r>
      <w:r>
        <w:t xml:space="preserve">is </w:t>
      </w:r>
      <w:r w:rsidRPr="00E17202">
        <w:t>the price to be used for subscriptions and redemptions</w:t>
      </w:r>
      <w:r>
        <w:t>. This</w:t>
      </w:r>
      <w:r w:rsidRPr="00E17202">
        <w:t xml:space="preserve"> </w:t>
      </w:r>
      <w:r>
        <w:t xml:space="preserve">information </w:t>
      </w:r>
      <w:r w:rsidRPr="00E17202">
        <w:t xml:space="preserve">needs to </w:t>
      </w:r>
      <w:r>
        <w:t xml:space="preserve">be </w:t>
      </w:r>
      <w:r w:rsidRPr="00E17202">
        <w:t>convey</w:t>
      </w:r>
      <w:r>
        <w:t>ed</w:t>
      </w:r>
      <w:r w:rsidRPr="00E17202">
        <w:t xml:space="preserve"> to all interested parties. For example, the transfer agent / fund administrator needs to be kept up to date with the price per unit that is to be applied to subscriptions and redemptions. Other parties may need to know the net asset value of the fund itself. </w:t>
      </w:r>
    </w:p>
    <w:p w:rsidR="00091848" w:rsidRDefault="000E706E">
      <w:pPr>
        <w:pStyle w:val="Heading2"/>
        <w:numPr>
          <w:ilvl w:val="1"/>
          <w:numId w:val="4"/>
        </w:numPr>
        <w:tabs>
          <w:tab w:val="num" w:pos="780"/>
        </w:tabs>
        <w:spacing w:before="300" w:after="60"/>
        <w:ind w:left="780" w:right="0" w:hanging="720"/>
      </w:pPr>
      <w:bookmarkStart w:id="41" w:name="_Toc340670954"/>
      <w:r>
        <w:t>High-level</w:t>
      </w:r>
      <w:r w:rsidR="008F7250">
        <w:t xml:space="preserve"> standards landscape</w:t>
      </w:r>
      <w:bookmarkEnd w:id="41"/>
    </w:p>
    <w:p w:rsidR="008F7250" w:rsidRPr="00A84E3A" w:rsidRDefault="00C92A66" w:rsidP="004B560F">
      <w:pPr>
        <w:ind w:left="0"/>
      </w:pPr>
      <w:r>
        <w:rPr>
          <w:noProof/>
          <w:lang w:eastAsia="en-GB"/>
        </w:rPr>
        <w:lastRenderedPageBreak/>
        <w:drawing>
          <wp:anchor distT="0" distB="0" distL="114300" distR="114300" simplePos="0" relativeHeight="251692544" behindDoc="1" locked="0" layoutInCell="1" allowOverlap="1" wp14:anchorId="5C345A13" wp14:editId="5F706258">
            <wp:simplePos x="0" y="0"/>
            <wp:positionH relativeFrom="column">
              <wp:align>center</wp:align>
            </wp:positionH>
            <wp:positionV relativeFrom="paragraph">
              <wp:posOffset>160907</wp:posOffset>
            </wp:positionV>
            <wp:extent cx="7382414" cy="3674852"/>
            <wp:effectExtent l="19050" t="0" r="0" b="0"/>
            <wp:wrapTopAndBottom/>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7382414" cy="3674852"/>
                    </a:xfrm>
                    <a:prstGeom prst="rect">
                      <a:avLst/>
                    </a:prstGeom>
                    <a:noFill/>
                    <a:ln w="9525">
                      <a:noFill/>
                      <a:miter lim="800000"/>
                      <a:headEnd/>
                      <a:tailEnd/>
                    </a:ln>
                  </pic:spPr>
                </pic:pic>
              </a:graphicData>
            </a:graphic>
          </wp:anchor>
        </w:drawing>
      </w:r>
    </w:p>
    <w:p w:rsidR="00091848" w:rsidRDefault="008F7250">
      <w:pPr>
        <w:pStyle w:val="Heading2"/>
        <w:pageBreakBefore/>
        <w:numPr>
          <w:ilvl w:val="1"/>
          <w:numId w:val="4"/>
        </w:numPr>
        <w:tabs>
          <w:tab w:val="num" w:pos="780"/>
        </w:tabs>
        <w:spacing w:before="300" w:after="60"/>
        <w:ind w:left="782" w:right="0" w:hanging="720"/>
      </w:pPr>
      <w:bookmarkStart w:id="42" w:name="_Toc340670955"/>
      <w:r>
        <w:lastRenderedPageBreak/>
        <w:t>Detailed standards landscape</w:t>
      </w:r>
      <w:bookmarkEnd w:id="42"/>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38"/>
        <w:gridCol w:w="3638"/>
        <w:gridCol w:w="3639"/>
      </w:tblGrid>
      <w:tr w:rsidR="008F7250" w:rsidRPr="00EE2E88" w:rsidTr="006B1650">
        <w:trPr>
          <w:cantSplit/>
          <w:tblHeader/>
        </w:trPr>
        <w:tc>
          <w:tcPr>
            <w:tcW w:w="1559" w:type="dxa"/>
          </w:tcPr>
          <w:p w:rsidR="008F7250" w:rsidRPr="00EE2E88" w:rsidRDefault="008F7250" w:rsidP="00504495">
            <w:pPr>
              <w:ind w:left="0" w:right="33"/>
              <w:rPr>
                <w:b/>
              </w:rPr>
            </w:pPr>
            <w:r>
              <w:rPr>
                <w:b/>
              </w:rPr>
              <w:t>Process Area</w:t>
            </w:r>
          </w:p>
        </w:tc>
        <w:tc>
          <w:tcPr>
            <w:tcW w:w="3638" w:type="dxa"/>
          </w:tcPr>
          <w:p w:rsidR="008F7250" w:rsidRPr="00EE2E88" w:rsidRDefault="008F7250" w:rsidP="00504495">
            <w:pPr>
              <w:ind w:left="0" w:right="33"/>
              <w:rPr>
                <w:b/>
              </w:rPr>
            </w:pPr>
            <w:r>
              <w:rPr>
                <w:b/>
              </w:rPr>
              <w:t>Availability of MT, ISO 15022 and ISO 20022</w:t>
            </w:r>
          </w:p>
        </w:tc>
        <w:tc>
          <w:tcPr>
            <w:tcW w:w="3638" w:type="dxa"/>
          </w:tcPr>
          <w:p w:rsidR="008F7250" w:rsidRPr="00EE2E88" w:rsidRDefault="008F7250" w:rsidP="00504495">
            <w:pPr>
              <w:ind w:left="0" w:right="33"/>
              <w:rPr>
                <w:b/>
              </w:rPr>
            </w:pPr>
            <w:r w:rsidRPr="00EE2E88">
              <w:rPr>
                <w:b/>
              </w:rPr>
              <w:t>Availability of other standards</w:t>
            </w:r>
          </w:p>
        </w:tc>
        <w:tc>
          <w:tcPr>
            <w:tcW w:w="3639" w:type="dxa"/>
          </w:tcPr>
          <w:p w:rsidR="008F7250" w:rsidRPr="00EE2E88" w:rsidRDefault="008F7250" w:rsidP="00504495">
            <w:pPr>
              <w:ind w:left="0" w:right="33"/>
              <w:rPr>
                <w:b/>
              </w:rPr>
            </w:pPr>
            <w:proofErr w:type="spellStart"/>
            <w:r w:rsidRPr="00EE2E88">
              <w:rPr>
                <w:b/>
              </w:rPr>
              <w:t>Ongoing</w:t>
            </w:r>
            <w:proofErr w:type="spellEnd"/>
            <w:r w:rsidRPr="00EE2E88">
              <w:rPr>
                <w:b/>
              </w:rPr>
              <w:t xml:space="preserve"> &amp; planned activities Opportunities</w:t>
            </w:r>
          </w:p>
        </w:tc>
      </w:tr>
      <w:tr w:rsidR="008F7250" w:rsidRPr="001D5EB7" w:rsidTr="006B1650">
        <w:trPr>
          <w:cantSplit/>
        </w:trPr>
        <w:tc>
          <w:tcPr>
            <w:tcW w:w="1559" w:type="dxa"/>
          </w:tcPr>
          <w:p w:rsidR="008F7250" w:rsidRPr="00EE2E88" w:rsidRDefault="008F7250" w:rsidP="00504495">
            <w:pPr>
              <w:ind w:left="0" w:right="33"/>
              <w:rPr>
                <w:b/>
              </w:rPr>
            </w:pPr>
            <w:r w:rsidRPr="00EE2E88">
              <w:rPr>
                <w:b/>
              </w:rPr>
              <w:t>Issuance</w:t>
            </w:r>
          </w:p>
        </w:tc>
        <w:tc>
          <w:tcPr>
            <w:tcW w:w="3638" w:type="dxa"/>
          </w:tcPr>
          <w:p w:rsidR="008F7250" w:rsidRPr="00EE2E88" w:rsidRDefault="008F7250" w:rsidP="00504495">
            <w:pPr>
              <w:ind w:left="0" w:right="33"/>
            </w:pPr>
            <w:r w:rsidRPr="00EE2E88">
              <w:t xml:space="preserve">The ISO 20022 Fund Processing Passport messages exist to report funds static data.  </w:t>
            </w:r>
          </w:p>
        </w:tc>
        <w:tc>
          <w:tcPr>
            <w:tcW w:w="3638" w:type="dxa"/>
          </w:tcPr>
          <w:p w:rsidR="008F7250" w:rsidRPr="00EE2E88" w:rsidRDefault="008F7250" w:rsidP="00504495">
            <w:pPr>
              <w:ind w:left="0" w:right="33"/>
            </w:pPr>
            <w:r w:rsidRPr="00EE2E88">
              <w:t xml:space="preserve">Proprietary and FIX standards exist for reference data dealing with the distribution and trading of securities, providing only limited coverage. </w:t>
            </w:r>
          </w:p>
          <w:p w:rsidR="008F7250" w:rsidRPr="00EE2E88" w:rsidRDefault="008F7250" w:rsidP="00504495">
            <w:pPr>
              <w:ind w:left="0" w:right="33"/>
            </w:pPr>
          </w:p>
        </w:tc>
        <w:tc>
          <w:tcPr>
            <w:tcW w:w="3639" w:type="dxa"/>
          </w:tcPr>
          <w:p w:rsidR="008F7250" w:rsidRPr="00EE2E88" w:rsidRDefault="008F7250" w:rsidP="007A6272">
            <w:pPr>
              <w:ind w:left="0" w:right="33"/>
            </w:pPr>
          </w:p>
        </w:tc>
      </w:tr>
      <w:tr w:rsidR="008F7250" w:rsidRPr="001D5EB7" w:rsidTr="006B1650">
        <w:trPr>
          <w:cantSplit/>
        </w:trPr>
        <w:tc>
          <w:tcPr>
            <w:tcW w:w="1559" w:type="dxa"/>
          </w:tcPr>
          <w:p w:rsidR="008F7250" w:rsidRPr="00EE2E88" w:rsidRDefault="008F7250" w:rsidP="00504495">
            <w:pPr>
              <w:ind w:left="0" w:right="33"/>
              <w:rPr>
                <w:b/>
              </w:rPr>
            </w:pPr>
            <w:r w:rsidRPr="00EE2E88">
              <w:rPr>
                <w:b/>
              </w:rPr>
              <w:t>Pre-trade</w:t>
            </w:r>
          </w:p>
        </w:tc>
        <w:tc>
          <w:tcPr>
            <w:tcW w:w="3638" w:type="dxa"/>
          </w:tcPr>
          <w:p w:rsidR="008F7250" w:rsidRPr="00EE2E88" w:rsidRDefault="008F7250" w:rsidP="00504495">
            <w:pPr>
              <w:ind w:left="0" w:right="33"/>
            </w:pPr>
            <w:r w:rsidRPr="00EE2E88">
              <w:t>None</w:t>
            </w:r>
          </w:p>
        </w:tc>
        <w:tc>
          <w:tcPr>
            <w:tcW w:w="3638" w:type="dxa"/>
          </w:tcPr>
          <w:p w:rsidR="008F7250" w:rsidRPr="00EE2E88" w:rsidRDefault="008F7250" w:rsidP="00504495">
            <w:pPr>
              <w:ind w:left="0" w:right="33"/>
            </w:pPr>
            <w:r w:rsidRPr="00EE2E88">
              <w:t xml:space="preserve">FIX and proprietary standards exist in the pre-trade space. </w:t>
            </w:r>
          </w:p>
        </w:tc>
        <w:tc>
          <w:tcPr>
            <w:tcW w:w="3639" w:type="dxa"/>
          </w:tcPr>
          <w:p w:rsidR="008F7250" w:rsidRPr="00EE2E88" w:rsidRDefault="008F7250" w:rsidP="00504495">
            <w:pPr>
              <w:ind w:left="0" w:right="33"/>
            </w:pPr>
          </w:p>
        </w:tc>
      </w:tr>
      <w:tr w:rsidR="008F7250" w:rsidRPr="001D5EB7" w:rsidTr="006B1650">
        <w:trPr>
          <w:cantSplit/>
        </w:trPr>
        <w:tc>
          <w:tcPr>
            <w:tcW w:w="1559" w:type="dxa"/>
          </w:tcPr>
          <w:p w:rsidR="008F7250" w:rsidRPr="00EE2E88" w:rsidRDefault="008F7250" w:rsidP="00504495">
            <w:pPr>
              <w:ind w:left="0" w:right="33"/>
              <w:rPr>
                <w:b/>
              </w:rPr>
            </w:pPr>
            <w:r w:rsidRPr="00EE2E88">
              <w:rPr>
                <w:b/>
              </w:rPr>
              <w:t>Trade</w:t>
            </w:r>
          </w:p>
        </w:tc>
        <w:tc>
          <w:tcPr>
            <w:tcW w:w="3638" w:type="dxa"/>
          </w:tcPr>
          <w:p w:rsidR="008F7250" w:rsidRPr="00EE2E88" w:rsidRDefault="008F7250" w:rsidP="00504495">
            <w:pPr>
              <w:ind w:left="0" w:right="33"/>
            </w:pPr>
            <w:r w:rsidRPr="00EE2E88">
              <w:t xml:space="preserve">ISO 20022 </w:t>
            </w:r>
            <w:r>
              <w:t xml:space="preserve">and ISO 15022 </w:t>
            </w:r>
            <w:r w:rsidRPr="00EE2E88">
              <w:t>messages exist for investment fund orders.</w:t>
            </w:r>
          </w:p>
        </w:tc>
        <w:tc>
          <w:tcPr>
            <w:tcW w:w="3638" w:type="dxa"/>
          </w:tcPr>
          <w:p w:rsidR="008F7250" w:rsidRPr="00EE2E88" w:rsidRDefault="008F7250" w:rsidP="00504495">
            <w:pPr>
              <w:ind w:left="0" w:right="33"/>
            </w:pPr>
            <w:r w:rsidRPr="00EE2E88">
              <w:t xml:space="preserve">Proprietary and FIX standards exist for the securities trade business providing close to full coverage for all instruments. </w:t>
            </w:r>
          </w:p>
        </w:tc>
        <w:tc>
          <w:tcPr>
            <w:tcW w:w="3639" w:type="dxa"/>
          </w:tcPr>
          <w:p w:rsidR="008F7250" w:rsidRPr="00EE2E88" w:rsidRDefault="008F7250" w:rsidP="00504495">
            <w:pPr>
              <w:ind w:left="0" w:right="33"/>
            </w:pPr>
            <w:r w:rsidRPr="00EE2E88">
              <w:t>None</w:t>
            </w:r>
          </w:p>
        </w:tc>
      </w:tr>
      <w:tr w:rsidR="008F7250" w:rsidRPr="001D5EB7" w:rsidTr="006B1650">
        <w:trPr>
          <w:cantSplit/>
        </w:trPr>
        <w:tc>
          <w:tcPr>
            <w:tcW w:w="1559" w:type="dxa"/>
          </w:tcPr>
          <w:p w:rsidR="008F7250" w:rsidRPr="00EE2E88" w:rsidRDefault="008F7250" w:rsidP="00504495">
            <w:pPr>
              <w:ind w:left="0" w:right="33"/>
              <w:rPr>
                <w:b/>
              </w:rPr>
            </w:pPr>
            <w:r w:rsidRPr="00EE2E88">
              <w:rPr>
                <w:b/>
              </w:rPr>
              <w:t>Post-trade</w:t>
            </w:r>
          </w:p>
        </w:tc>
        <w:tc>
          <w:tcPr>
            <w:tcW w:w="3638" w:type="dxa"/>
          </w:tcPr>
          <w:p w:rsidR="008F7250" w:rsidRPr="00EE2E88" w:rsidRDefault="008F7250" w:rsidP="00504495">
            <w:pPr>
              <w:ind w:left="0" w:right="33"/>
            </w:pPr>
            <w:r w:rsidRPr="00EE2E88">
              <w:t xml:space="preserve">ISO 20022 </w:t>
            </w:r>
            <w:r>
              <w:t xml:space="preserve">and ISO 15022 </w:t>
            </w:r>
            <w:r w:rsidRPr="00EE2E88">
              <w:t>messages exist for the confirmation of investment fund orders.</w:t>
            </w:r>
          </w:p>
          <w:p w:rsidR="008F7250" w:rsidRPr="00EE2E88" w:rsidRDefault="008F7250" w:rsidP="00504495">
            <w:pPr>
              <w:ind w:left="0" w:right="33"/>
            </w:pPr>
            <w:r w:rsidRPr="00EE2E88">
              <w:t>ISO 20022 messages exist to report cash in and cash out as result of subscriptions, redemptions, switches to/from an investment fund (fund cash forecast).</w:t>
            </w:r>
          </w:p>
        </w:tc>
        <w:tc>
          <w:tcPr>
            <w:tcW w:w="3638" w:type="dxa"/>
          </w:tcPr>
          <w:p w:rsidR="008F7250" w:rsidRPr="00EE2E88" w:rsidRDefault="008F7250" w:rsidP="00504495">
            <w:pPr>
              <w:ind w:left="0" w:right="33"/>
            </w:pPr>
            <w:r w:rsidRPr="00EE2E88">
              <w:t>Proprietary (</w:t>
            </w:r>
            <w:proofErr w:type="gramStart"/>
            <w:r w:rsidRPr="00EE2E88">
              <w:t>EMX ,</w:t>
            </w:r>
            <w:proofErr w:type="gramEnd"/>
            <w:r w:rsidRPr="00EE2E88">
              <w:t xml:space="preserve"> NSCC)</w:t>
            </w:r>
            <w:r w:rsidR="00FE45AF">
              <w:t>. Funds XML is also a standard used in this area.</w:t>
            </w:r>
          </w:p>
        </w:tc>
        <w:tc>
          <w:tcPr>
            <w:tcW w:w="3639" w:type="dxa"/>
          </w:tcPr>
          <w:p w:rsidR="008F7250" w:rsidRPr="00EE2E88" w:rsidRDefault="007A6272" w:rsidP="007A6272">
            <w:pPr>
              <w:ind w:left="0" w:right="33"/>
            </w:pPr>
            <w:r>
              <w:t>O</w:t>
            </w:r>
            <w:r w:rsidR="008F7250">
              <w:t>pportunity to engage EMX (now part of E/C) and NSCC</w:t>
            </w:r>
            <w:r>
              <w:t>, both</w:t>
            </w:r>
            <w:r w:rsidR="008F7250">
              <w:t xml:space="preserve"> parent organisations are active players in the 20022 space</w:t>
            </w:r>
          </w:p>
        </w:tc>
      </w:tr>
      <w:tr w:rsidR="008F7250" w:rsidRPr="001D5EB7" w:rsidTr="006B1650">
        <w:trPr>
          <w:cantSplit/>
        </w:trPr>
        <w:tc>
          <w:tcPr>
            <w:tcW w:w="1559" w:type="dxa"/>
          </w:tcPr>
          <w:p w:rsidR="008F7250" w:rsidRPr="00EE2E88" w:rsidRDefault="008F7250" w:rsidP="00504495">
            <w:pPr>
              <w:ind w:left="0" w:right="33"/>
              <w:rPr>
                <w:b/>
              </w:rPr>
            </w:pPr>
            <w:r w:rsidRPr="00EE2E88">
              <w:rPr>
                <w:b/>
              </w:rPr>
              <w:t>Settlement</w:t>
            </w:r>
          </w:p>
        </w:tc>
        <w:tc>
          <w:tcPr>
            <w:tcW w:w="3638" w:type="dxa"/>
          </w:tcPr>
          <w:p w:rsidR="008F7250" w:rsidRPr="00EE2E88" w:rsidRDefault="008F7250" w:rsidP="00504495">
            <w:pPr>
              <w:ind w:left="0" w:right="33"/>
            </w:pPr>
            <w:r w:rsidRPr="00EE2E88">
              <w:t>ISO 20022 messages exist for the transfer of investment funds.</w:t>
            </w:r>
          </w:p>
        </w:tc>
        <w:tc>
          <w:tcPr>
            <w:tcW w:w="3638" w:type="dxa"/>
          </w:tcPr>
          <w:p w:rsidR="008F7250" w:rsidRPr="00EE2E88" w:rsidRDefault="008F7250" w:rsidP="00504495">
            <w:pPr>
              <w:ind w:left="0" w:right="33"/>
            </w:pPr>
            <w:r w:rsidRPr="00EE2E88">
              <w:t>Proprietary (EMX , NSCC)</w:t>
            </w:r>
          </w:p>
        </w:tc>
        <w:tc>
          <w:tcPr>
            <w:tcW w:w="3639" w:type="dxa"/>
          </w:tcPr>
          <w:p w:rsidR="008F7250" w:rsidRPr="00EE2E88" w:rsidRDefault="008F7250" w:rsidP="00504495">
            <w:pPr>
              <w:ind w:left="0" w:right="33"/>
            </w:pPr>
            <w:r w:rsidRPr="00EE2E88">
              <w:t>None</w:t>
            </w:r>
          </w:p>
          <w:p w:rsidR="008F7250" w:rsidRPr="00EE2E88" w:rsidRDefault="008F7250" w:rsidP="00504495">
            <w:pPr>
              <w:ind w:left="0" w:right="33"/>
            </w:pPr>
          </w:p>
        </w:tc>
      </w:tr>
      <w:tr w:rsidR="008F7250" w:rsidRPr="001D5EB7" w:rsidTr="006B1650">
        <w:trPr>
          <w:cantSplit/>
        </w:trPr>
        <w:tc>
          <w:tcPr>
            <w:tcW w:w="1559" w:type="dxa"/>
          </w:tcPr>
          <w:p w:rsidR="008F7250" w:rsidRPr="00EE2E88" w:rsidRDefault="008F7250" w:rsidP="00504495">
            <w:pPr>
              <w:ind w:left="0" w:right="33"/>
              <w:rPr>
                <w:b/>
              </w:rPr>
            </w:pPr>
            <w:r w:rsidRPr="00EE2E88">
              <w:rPr>
                <w:b/>
              </w:rPr>
              <w:t>Corporate Events Management</w:t>
            </w:r>
          </w:p>
        </w:tc>
        <w:tc>
          <w:tcPr>
            <w:tcW w:w="3638" w:type="dxa"/>
          </w:tcPr>
          <w:p w:rsidR="008F7250" w:rsidRPr="00EE2E88" w:rsidRDefault="008F7250" w:rsidP="00504495">
            <w:pPr>
              <w:ind w:left="0" w:right="33"/>
            </w:pPr>
            <w:r w:rsidRPr="00EE2E88">
              <w:t>ISO 15022 and ISO 20022 messages exist for corporate actions and proxy voting.</w:t>
            </w:r>
          </w:p>
        </w:tc>
        <w:tc>
          <w:tcPr>
            <w:tcW w:w="3638" w:type="dxa"/>
          </w:tcPr>
          <w:p w:rsidR="008F7250" w:rsidRPr="00EE2E88" w:rsidRDefault="008F7250" w:rsidP="00504495">
            <w:pPr>
              <w:ind w:left="0" w:right="33"/>
            </w:pPr>
            <w:r w:rsidRPr="00EE2E88">
              <w:t xml:space="preserve">Proprietary standards exist for communication and processing of corporate events. </w:t>
            </w:r>
          </w:p>
          <w:p w:rsidR="008F7250" w:rsidRPr="00EE2E88" w:rsidRDefault="008F7250" w:rsidP="00504495">
            <w:pPr>
              <w:ind w:left="0" w:right="33"/>
            </w:pPr>
          </w:p>
        </w:tc>
        <w:tc>
          <w:tcPr>
            <w:tcW w:w="3639" w:type="dxa"/>
          </w:tcPr>
          <w:p w:rsidR="008F7250" w:rsidRPr="00EE2E88" w:rsidRDefault="008F7250" w:rsidP="00504495">
            <w:pPr>
              <w:ind w:left="0" w:right="33"/>
            </w:pPr>
          </w:p>
        </w:tc>
      </w:tr>
      <w:tr w:rsidR="008F7250" w:rsidRPr="001D5EB7" w:rsidTr="006B1650">
        <w:trPr>
          <w:cantSplit/>
        </w:trPr>
        <w:tc>
          <w:tcPr>
            <w:tcW w:w="1559" w:type="dxa"/>
          </w:tcPr>
          <w:p w:rsidR="008F7250" w:rsidRPr="00EE2E88" w:rsidRDefault="008F7250" w:rsidP="00504495">
            <w:pPr>
              <w:ind w:left="0" w:right="33"/>
              <w:rPr>
                <w:b/>
              </w:rPr>
            </w:pPr>
            <w:r w:rsidRPr="00EE2E88">
              <w:rPr>
                <w:b/>
              </w:rPr>
              <w:t>Reference Data Management</w:t>
            </w:r>
          </w:p>
        </w:tc>
        <w:tc>
          <w:tcPr>
            <w:tcW w:w="3638" w:type="dxa"/>
          </w:tcPr>
          <w:p w:rsidR="008F7250" w:rsidRPr="00EE2E88" w:rsidRDefault="008F7250" w:rsidP="00504495">
            <w:pPr>
              <w:ind w:left="0" w:right="33"/>
            </w:pPr>
            <w:r w:rsidRPr="00EE2E88">
              <w:t xml:space="preserve">The ISO 20022 Fund Processing Passport messages exist to report funds static data. </w:t>
            </w:r>
          </w:p>
          <w:p w:rsidR="008F7250" w:rsidRPr="00EE2E88" w:rsidRDefault="008F7250" w:rsidP="00504495">
            <w:pPr>
              <w:ind w:left="0" w:right="33"/>
            </w:pPr>
            <w:r w:rsidRPr="00EE2E88">
              <w:t>ISO 20022 messages exist for price reporting.</w:t>
            </w:r>
          </w:p>
        </w:tc>
        <w:tc>
          <w:tcPr>
            <w:tcW w:w="3638" w:type="dxa"/>
          </w:tcPr>
          <w:p w:rsidR="008F7250" w:rsidRPr="00EE2E88" w:rsidRDefault="008F7250" w:rsidP="00504495">
            <w:pPr>
              <w:ind w:left="0" w:right="33"/>
            </w:pPr>
            <w:r w:rsidRPr="00EE2E88">
              <w:t xml:space="preserve">Proprietary and FIX standards exist for reference data dealing with the distribution and trading of securities, providing only limited coverage. </w:t>
            </w:r>
          </w:p>
          <w:p w:rsidR="008F7250" w:rsidRPr="00EE2E88" w:rsidRDefault="008F7250" w:rsidP="00504495">
            <w:pPr>
              <w:ind w:left="0" w:right="33"/>
            </w:pPr>
          </w:p>
        </w:tc>
        <w:tc>
          <w:tcPr>
            <w:tcW w:w="3639" w:type="dxa"/>
          </w:tcPr>
          <w:p w:rsidR="008F7250" w:rsidRPr="00EE2E88" w:rsidRDefault="008F7250" w:rsidP="005F3108">
            <w:pPr>
              <w:ind w:left="0" w:right="33"/>
            </w:pPr>
          </w:p>
        </w:tc>
      </w:tr>
    </w:tbl>
    <w:p w:rsidR="00BE252E" w:rsidRDefault="00BE252E" w:rsidP="00BE252E">
      <w:pPr>
        <w:pStyle w:val="Heading2"/>
        <w:tabs>
          <w:tab w:val="clear" w:pos="360"/>
          <w:tab w:val="num" w:pos="1296"/>
        </w:tabs>
        <w:spacing w:before="300" w:after="60"/>
        <w:ind w:left="780" w:right="0" w:firstLine="0"/>
      </w:pPr>
    </w:p>
    <w:p w:rsidR="00091848" w:rsidRDefault="008F7250">
      <w:pPr>
        <w:pStyle w:val="Heading2"/>
        <w:numPr>
          <w:ilvl w:val="1"/>
          <w:numId w:val="4"/>
        </w:numPr>
        <w:tabs>
          <w:tab w:val="num" w:pos="780"/>
        </w:tabs>
        <w:spacing w:before="300" w:after="60"/>
        <w:ind w:left="780" w:right="0" w:hanging="720"/>
      </w:pPr>
      <w:bookmarkStart w:id="43" w:name="_Toc340670956"/>
      <w:r>
        <w:t>Additional opportunities</w:t>
      </w:r>
      <w:bookmarkEnd w:id="43"/>
    </w:p>
    <w:p w:rsidR="008F7250" w:rsidRDefault="008F7250" w:rsidP="006B1650">
      <w:pPr>
        <w:ind w:left="142" w:right="60"/>
        <w:jc w:val="both"/>
      </w:pPr>
      <w:r>
        <w:t>Additional opportunities exist for the standardisation of investment fund commission reporting.</w:t>
      </w:r>
    </w:p>
    <w:p w:rsidR="004547A2" w:rsidRDefault="004547A2" w:rsidP="006B1650">
      <w:pPr>
        <w:ind w:left="142" w:right="60"/>
        <w:jc w:val="both"/>
      </w:pPr>
    </w:p>
    <w:p w:rsidR="00091848" w:rsidRDefault="008F7250">
      <w:pPr>
        <w:pStyle w:val="Heading2"/>
        <w:numPr>
          <w:ilvl w:val="1"/>
          <w:numId w:val="4"/>
        </w:numPr>
        <w:tabs>
          <w:tab w:val="num" w:pos="780"/>
        </w:tabs>
        <w:spacing w:before="300" w:after="60"/>
        <w:ind w:left="780" w:right="0" w:hanging="720"/>
      </w:pPr>
      <w:bookmarkStart w:id="44" w:name="_Toc340670957"/>
      <w:r>
        <w:t>Standards Coordination Group Investment Roadmap</w:t>
      </w:r>
      <w:bookmarkEnd w:id="44"/>
      <w:r w:rsidRPr="00D172EC">
        <w:t xml:space="preserve">  </w:t>
      </w:r>
    </w:p>
    <w:p w:rsidR="008F7250" w:rsidRPr="00D172EC" w:rsidRDefault="008F7250" w:rsidP="00D172EC">
      <w:pPr>
        <w:ind w:left="142"/>
        <w:rPr>
          <w:color w:val="000000"/>
        </w:rPr>
      </w:pPr>
      <w:r w:rsidRPr="00D172EC">
        <w:t xml:space="preserve">Another important source of information for the securities standards landscape is the Standards Coordination Group </w:t>
      </w:r>
      <w:hyperlink r:id="rId29" w:history="1">
        <w:r w:rsidRPr="00D172EC">
          <w:rPr>
            <w:rStyle w:val="Hyperlink"/>
          </w:rPr>
          <w:t>Investment Roadmap</w:t>
        </w:r>
      </w:hyperlink>
      <w:r w:rsidRPr="00D172EC">
        <w:rPr>
          <w:color w:val="000000"/>
        </w:rPr>
        <w:t xml:space="preserve">, </w:t>
      </w:r>
    </w:p>
    <w:p w:rsidR="008F7250" w:rsidRPr="00D172EC" w:rsidRDefault="008F7250" w:rsidP="00D172EC">
      <w:pPr>
        <w:ind w:left="142"/>
        <w:rPr>
          <w:color w:val="000000"/>
        </w:rPr>
      </w:pPr>
      <w:r w:rsidRPr="00D172EC">
        <w:rPr>
          <w:color w:val="000000"/>
        </w:rPr>
        <w:t xml:space="preserve">The Standards Coordination Group gathers standards organisations that have a history of industry collaboration in the creation and implementation of financial markets open standards. The group recommends through its </w:t>
      </w:r>
      <w:hyperlink r:id="rId30" w:history="1">
        <w:r w:rsidRPr="00D172EC">
          <w:rPr>
            <w:rStyle w:val="Hyperlink"/>
          </w:rPr>
          <w:t>Investment Roadmap</w:t>
        </w:r>
      </w:hyperlink>
      <w:r w:rsidRPr="00D172EC">
        <w:rPr>
          <w:color w:val="000000"/>
        </w:rPr>
        <w:t>, the emergence of one ISO 20022 business model providing standardized standardised processes, communication flows and terminology to the financial industry. The group recognises the need for multiple communication protocols under ISO 20022, based on specific industry technical needs. The Investment Roadmap therefore identifies the protocols best suited for each business area and instrument type and highlights the areas for collaboration.</w:t>
      </w:r>
    </w:p>
    <w:p w:rsidR="008F7250" w:rsidRPr="00D172EC" w:rsidRDefault="008F7250" w:rsidP="00D172EC">
      <w:pPr>
        <w:ind w:left="142"/>
        <w:rPr>
          <w:color w:val="000000"/>
        </w:rPr>
      </w:pPr>
      <w:r w:rsidRPr="00D172EC">
        <w:t xml:space="preserve">The Standards Coordination Group is </w:t>
      </w:r>
      <w:proofErr w:type="gramStart"/>
      <w:r w:rsidRPr="00D172EC">
        <w:t>a collaboration</w:t>
      </w:r>
      <w:proofErr w:type="gramEnd"/>
      <w:r w:rsidRPr="00D172EC">
        <w:t xml:space="preserve"> between FIX Protocol Ltd. (FPL</w:t>
      </w:r>
      <w:r w:rsidR="00994697">
        <w:t xml:space="preserve">), </w:t>
      </w:r>
      <w:r w:rsidRPr="00D172EC">
        <w:t xml:space="preserve">Financial Products </w:t>
      </w:r>
      <w:proofErr w:type="spellStart"/>
      <w:r w:rsidRPr="00D172EC">
        <w:t>Markup</w:t>
      </w:r>
      <w:proofErr w:type="spellEnd"/>
      <w:r w:rsidRPr="00D172EC">
        <w:t xml:space="preserve"> Language (</w:t>
      </w:r>
      <w:proofErr w:type="spellStart"/>
      <w:r w:rsidRPr="00D172EC">
        <w:t>FpML</w:t>
      </w:r>
      <w:proofErr w:type="spellEnd"/>
      <w:r w:rsidRPr="00D172EC">
        <w:t>), International Securities Association for Institutional Trade Communication (ISITC),</w:t>
      </w:r>
      <w:r w:rsidR="00994697">
        <w:t xml:space="preserve"> </w:t>
      </w:r>
      <w:r w:rsidRPr="00D172EC">
        <w:t xml:space="preserve">SWIFT, </w:t>
      </w:r>
      <w:proofErr w:type="spellStart"/>
      <w:r w:rsidRPr="00D172EC">
        <w:t>eXtensible</w:t>
      </w:r>
      <w:proofErr w:type="spellEnd"/>
      <w:r w:rsidRPr="00D172EC">
        <w:t xml:space="preserve"> Business Reporting Language (XBRL US) and Financial Information Services Division of SIIA (FISD).</w:t>
      </w:r>
    </w:p>
    <w:p w:rsidR="008F7250" w:rsidRPr="008D47CA" w:rsidRDefault="008F7250" w:rsidP="006B1650">
      <w:pPr>
        <w:ind w:left="142" w:right="60"/>
        <w:jc w:val="both"/>
      </w:pPr>
    </w:p>
    <w:p w:rsidR="00091848" w:rsidRDefault="008F7250">
      <w:pPr>
        <w:pStyle w:val="Heading1"/>
        <w:numPr>
          <w:ilvl w:val="0"/>
          <w:numId w:val="4"/>
        </w:numPr>
        <w:tabs>
          <w:tab w:val="num" w:pos="360"/>
        </w:tabs>
        <w:spacing w:before="300" w:after="60"/>
        <w:ind w:left="360" w:right="0" w:hanging="360"/>
      </w:pPr>
      <w:r>
        <w:br w:type="page"/>
      </w:r>
      <w:bookmarkStart w:id="45" w:name="_Toc340670958"/>
      <w:r>
        <w:lastRenderedPageBreak/>
        <w:t>OTC Derivatives</w:t>
      </w:r>
      <w:bookmarkEnd w:id="45"/>
    </w:p>
    <w:p w:rsidR="00676572" w:rsidRDefault="00C92A66" w:rsidP="00676572">
      <w:pPr>
        <w:pStyle w:val="Heading2"/>
        <w:numPr>
          <w:ilvl w:val="1"/>
          <w:numId w:val="4"/>
        </w:numPr>
        <w:tabs>
          <w:tab w:val="num" w:pos="780"/>
        </w:tabs>
        <w:spacing w:before="300" w:after="60"/>
        <w:ind w:left="780" w:right="0" w:hanging="720"/>
      </w:pPr>
      <w:bookmarkStart w:id="46" w:name="_Toc340670959"/>
      <w:r>
        <w:rPr>
          <w:noProof/>
          <w:lang w:eastAsia="en-GB"/>
        </w:rPr>
        <w:drawing>
          <wp:anchor distT="0" distB="0" distL="114300" distR="114300" simplePos="0" relativeHeight="251694592" behindDoc="1" locked="0" layoutInCell="1" allowOverlap="1" wp14:anchorId="7579A2D5" wp14:editId="5668AF8D">
            <wp:simplePos x="0" y="0"/>
            <wp:positionH relativeFrom="column">
              <wp:align>center</wp:align>
            </wp:positionH>
            <wp:positionV relativeFrom="paragraph">
              <wp:posOffset>492760</wp:posOffset>
            </wp:positionV>
            <wp:extent cx="7379970" cy="2882900"/>
            <wp:effectExtent l="19050" t="0" r="0" b="0"/>
            <wp:wrapTopAndBottom/>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7379970" cy="2882900"/>
                    </a:xfrm>
                    <a:prstGeom prst="rect">
                      <a:avLst/>
                    </a:prstGeom>
                    <a:noFill/>
                    <a:ln w="9525">
                      <a:noFill/>
                      <a:miter lim="800000"/>
                      <a:headEnd/>
                      <a:tailEnd/>
                    </a:ln>
                  </pic:spPr>
                </pic:pic>
              </a:graphicData>
            </a:graphic>
          </wp:anchor>
        </w:drawing>
      </w:r>
      <w:r w:rsidR="008F7250">
        <w:t>Business overview</w:t>
      </w:r>
      <w:bookmarkEnd w:id="46"/>
    </w:p>
    <w:p w:rsidR="00676572" w:rsidRPr="00676572" w:rsidRDefault="00676572" w:rsidP="00676572">
      <w:pPr>
        <w:ind w:left="0"/>
      </w:pPr>
    </w:p>
    <w:p w:rsidR="008F7250" w:rsidRDefault="008F7250" w:rsidP="00676572">
      <w:pPr>
        <w:ind w:left="0" w:right="60"/>
        <w:jc w:val="both"/>
        <w:rPr>
          <w:b/>
        </w:rPr>
      </w:pPr>
      <w:r>
        <w:t xml:space="preserve">The over-the-counter (OTC) derivatives business covers pre-trade, trade, post-trade, clearing/pre-settlement and settlement processes where two dealing parties, </w:t>
      </w:r>
      <w:r w:rsidR="00E62FC1">
        <w:t>for example,</w:t>
      </w:r>
      <w:r>
        <w:t xml:space="preserve"> dealers, investment managers, accounting agents, custodians, </w:t>
      </w:r>
      <w:r w:rsidR="00E62FC1">
        <w:t>corporations</w:t>
      </w:r>
      <w:r>
        <w:t>, and service providers amongst others may play various roles in any individual step of the process.</w:t>
      </w:r>
    </w:p>
    <w:p w:rsidR="004547A2" w:rsidRDefault="004547A2" w:rsidP="00676572">
      <w:pPr>
        <w:ind w:left="0" w:right="60"/>
        <w:jc w:val="both"/>
        <w:rPr>
          <w:b/>
        </w:rPr>
      </w:pPr>
    </w:p>
    <w:p w:rsidR="008F7250" w:rsidRPr="007E25FB" w:rsidRDefault="008F7250" w:rsidP="00676572">
      <w:pPr>
        <w:ind w:left="0" w:right="60"/>
        <w:jc w:val="both"/>
      </w:pPr>
      <w:r w:rsidRPr="001054AF">
        <w:rPr>
          <w:b/>
        </w:rPr>
        <w:t>Pre-trade</w:t>
      </w:r>
    </w:p>
    <w:p w:rsidR="008F7250" w:rsidRPr="00E17202" w:rsidRDefault="008F7250" w:rsidP="00676572">
      <w:pPr>
        <w:ind w:left="0" w:right="60"/>
        <w:jc w:val="both"/>
      </w:pPr>
      <w:r>
        <w:t>T</w:t>
      </w:r>
      <w:r w:rsidRPr="00E17202">
        <w:t xml:space="preserve">he </w:t>
      </w:r>
      <w:r>
        <w:t>pre-trade area of the OTC derivatives business includes the process of agreement of a contract and associated credit terms between two dealing parties.</w:t>
      </w:r>
    </w:p>
    <w:p w:rsidR="004547A2" w:rsidRDefault="004547A2" w:rsidP="00676572">
      <w:pPr>
        <w:ind w:left="0" w:right="60"/>
        <w:jc w:val="both"/>
        <w:rPr>
          <w:b/>
          <w:lang w:eastAsia="en-GB"/>
        </w:rPr>
      </w:pPr>
    </w:p>
    <w:p w:rsidR="008F7250" w:rsidRDefault="008F7250" w:rsidP="00676572">
      <w:pPr>
        <w:ind w:left="0" w:right="60"/>
        <w:jc w:val="both"/>
        <w:rPr>
          <w:b/>
          <w:lang w:eastAsia="en-GB"/>
        </w:rPr>
      </w:pPr>
      <w:r>
        <w:rPr>
          <w:b/>
          <w:lang w:eastAsia="en-GB"/>
        </w:rPr>
        <w:t>Trade</w:t>
      </w:r>
    </w:p>
    <w:p w:rsidR="008F7250" w:rsidRPr="00E17202" w:rsidRDefault="008F7250" w:rsidP="00676572">
      <w:pPr>
        <w:ind w:left="0" w:right="60"/>
        <w:jc w:val="both"/>
      </w:pPr>
      <w:r w:rsidRPr="00E17202">
        <w:t xml:space="preserve">The </w:t>
      </w:r>
      <w:r>
        <w:t>t</w:t>
      </w:r>
      <w:r w:rsidRPr="00E17202">
        <w:t xml:space="preserve">rade space covers </w:t>
      </w:r>
      <w:r>
        <w:t>the</w:t>
      </w:r>
      <w:r w:rsidRPr="00E17202">
        <w:t xml:space="preserve"> placement or amendment of </w:t>
      </w:r>
      <w:r>
        <w:t xml:space="preserve">trade as well as their execution and the </w:t>
      </w:r>
      <w:r w:rsidRPr="00E17202">
        <w:t>communication of results and status</w:t>
      </w:r>
      <w:r>
        <w:t>es</w:t>
      </w:r>
      <w:r w:rsidRPr="00E17202">
        <w:t>.</w:t>
      </w:r>
      <w:r>
        <w:t xml:space="preserve"> It may also include p</w:t>
      </w:r>
      <w:r w:rsidRPr="00E17202">
        <w:t>re-</w:t>
      </w:r>
      <w:r>
        <w:t>a</w:t>
      </w:r>
      <w:r w:rsidRPr="00E17202">
        <w:t>llocation</w:t>
      </w:r>
      <w:r>
        <w:t>s</w:t>
      </w:r>
      <w:r w:rsidRPr="00E17202">
        <w:t xml:space="preserve"> </w:t>
      </w:r>
      <w:r>
        <w:t>(if investment managers are involved) and o</w:t>
      </w:r>
      <w:r w:rsidRPr="00E17202">
        <w:t>rder</w:t>
      </w:r>
      <w:r>
        <w:t xml:space="preserve"> b</w:t>
      </w:r>
      <w:r w:rsidRPr="00E17202">
        <w:t>ook reconciliation</w:t>
      </w:r>
      <w:r>
        <w:t xml:space="preserve"> processes.</w:t>
      </w:r>
    </w:p>
    <w:p w:rsidR="004547A2" w:rsidRDefault="004547A2" w:rsidP="00676572">
      <w:pPr>
        <w:ind w:left="0" w:right="60"/>
        <w:jc w:val="both"/>
        <w:rPr>
          <w:b/>
        </w:rPr>
      </w:pPr>
    </w:p>
    <w:p w:rsidR="008F7250" w:rsidRPr="00A83ADD" w:rsidRDefault="008F7250" w:rsidP="00676572">
      <w:pPr>
        <w:ind w:left="0" w:right="60"/>
        <w:jc w:val="both"/>
        <w:rPr>
          <w:b/>
        </w:rPr>
      </w:pPr>
      <w:r w:rsidRPr="00A83ADD">
        <w:rPr>
          <w:b/>
        </w:rPr>
        <w:t>Post-trade</w:t>
      </w:r>
    </w:p>
    <w:p w:rsidR="008F7250" w:rsidRDefault="008F7250" w:rsidP="00676572">
      <w:pPr>
        <w:ind w:left="0" w:right="60"/>
        <w:jc w:val="both"/>
      </w:pPr>
      <w:r w:rsidRPr="00E17202">
        <w:t xml:space="preserve">The </w:t>
      </w:r>
      <w:r>
        <w:t>p</w:t>
      </w:r>
      <w:r w:rsidRPr="00E17202">
        <w:t xml:space="preserve">ost-trade space covers all activities performed when the </w:t>
      </w:r>
      <w:r>
        <w:t xml:space="preserve">trade </w:t>
      </w:r>
      <w:r w:rsidRPr="00E17202">
        <w:t>has been executed</w:t>
      </w:r>
      <w:r>
        <w:t>, such as novation, matching, modification, a</w:t>
      </w:r>
      <w:r w:rsidRPr="00E17202">
        <w:t>llocation</w:t>
      </w:r>
      <w:r>
        <w:t xml:space="preserve"> (if investment managers are involved), c</w:t>
      </w:r>
      <w:r w:rsidRPr="00E17202">
        <w:t>onfirmation</w:t>
      </w:r>
      <w:r>
        <w:t>,</w:t>
      </w:r>
      <w:r w:rsidRPr="00E17202">
        <w:t xml:space="preserve"> affirmation</w:t>
      </w:r>
      <w:r>
        <w:t xml:space="preserve"> and termination.</w:t>
      </w:r>
    </w:p>
    <w:p w:rsidR="004547A2" w:rsidRDefault="004547A2" w:rsidP="004547A2">
      <w:pPr>
        <w:ind w:left="0" w:right="60"/>
        <w:jc w:val="both"/>
        <w:rPr>
          <w:b/>
        </w:rPr>
      </w:pPr>
    </w:p>
    <w:p w:rsidR="008F7250" w:rsidRPr="00A83ADD" w:rsidRDefault="008F7250" w:rsidP="004547A2">
      <w:pPr>
        <w:ind w:left="0" w:right="60"/>
        <w:jc w:val="both"/>
        <w:rPr>
          <w:b/>
        </w:rPr>
      </w:pPr>
      <w:r w:rsidRPr="00A83ADD">
        <w:rPr>
          <w:b/>
        </w:rPr>
        <w:t>Clearing / Pre-settlement</w:t>
      </w:r>
    </w:p>
    <w:p w:rsidR="008F7250" w:rsidRDefault="008F7250" w:rsidP="004547A2">
      <w:pPr>
        <w:ind w:left="0" w:right="60"/>
        <w:jc w:val="both"/>
      </w:pPr>
      <w:r w:rsidRPr="00954291">
        <w:t xml:space="preserve">The </w:t>
      </w:r>
      <w:r>
        <w:t>c</w:t>
      </w:r>
      <w:r w:rsidRPr="00954291">
        <w:t xml:space="preserve">learing </w:t>
      </w:r>
      <w:r>
        <w:t>/</w:t>
      </w:r>
      <w:r w:rsidRPr="00954291">
        <w:t xml:space="preserve"> </w:t>
      </w:r>
      <w:r>
        <w:t>p</w:t>
      </w:r>
      <w:r w:rsidRPr="00954291">
        <w:t xml:space="preserve">re-settlement area contains processes such as netting, risk management, </w:t>
      </w:r>
      <w:r>
        <w:t>regulatory reporting,</w:t>
      </w:r>
      <w:r w:rsidRPr="00954291">
        <w:t xml:space="preserve"> etc.</w:t>
      </w:r>
    </w:p>
    <w:p w:rsidR="004547A2" w:rsidRDefault="004547A2" w:rsidP="004547A2">
      <w:pPr>
        <w:ind w:left="0" w:right="60"/>
        <w:jc w:val="both"/>
        <w:rPr>
          <w:b/>
        </w:rPr>
      </w:pPr>
    </w:p>
    <w:p w:rsidR="008F7250" w:rsidRPr="001054AF" w:rsidRDefault="008F7250" w:rsidP="004547A2">
      <w:pPr>
        <w:ind w:left="0" w:right="60"/>
        <w:jc w:val="both"/>
        <w:rPr>
          <w:b/>
        </w:rPr>
      </w:pPr>
      <w:r w:rsidRPr="001054AF">
        <w:rPr>
          <w:b/>
        </w:rPr>
        <w:t>Settlement</w:t>
      </w:r>
    </w:p>
    <w:p w:rsidR="004547A2" w:rsidRDefault="008F7250" w:rsidP="00FA35FD">
      <w:pPr>
        <w:ind w:left="0" w:right="60"/>
        <w:jc w:val="both"/>
      </w:pPr>
      <w:r>
        <w:t>The nature of many OTC derivatives is such that some do not ‘settle’ in the traditional way at the end of a contract period. Some cash does flow between parties according to the normal cash flow schedule (such as rate swaps) and some cash is occasionally settled as part of an expiration or maturity of a particular type of contract. Settlement is done through the normal payment channels (see payments section).</w:t>
      </w:r>
    </w:p>
    <w:p w:rsidR="00D27ACD" w:rsidRDefault="000E706E" w:rsidP="00C92A66">
      <w:pPr>
        <w:pStyle w:val="Heading2"/>
        <w:numPr>
          <w:ilvl w:val="1"/>
          <w:numId w:val="4"/>
        </w:numPr>
        <w:tabs>
          <w:tab w:val="num" w:pos="780"/>
        </w:tabs>
        <w:spacing w:before="300" w:after="60"/>
        <w:ind w:left="780" w:right="0" w:hanging="720"/>
      </w:pPr>
      <w:bookmarkStart w:id="47" w:name="_Toc340670960"/>
      <w:r>
        <w:t>High-level</w:t>
      </w:r>
      <w:r w:rsidR="008F7250">
        <w:t xml:space="preserve"> standards landscape</w:t>
      </w:r>
      <w:bookmarkEnd w:id="47"/>
    </w:p>
    <w:p w:rsidR="00C92A66" w:rsidRPr="00D27ACD" w:rsidRDefault="00113240" w:rsidP="00D27ACD">
      <w:r w:rsidRPr="00113240">
        <w:rPr>
          <w:noProof/>
          <w:lang w:eastAsia="en-GB"/>
        </w:rPr>
        <mc:AlternateContent>
          <mc:Choice Requires="wpg">
            <w:drawing>
              <wp:anchor distT="0" distB="0" distL="114300" distR="114300" simplePos="0" relativeHeight="251791872" behindDoc="0" locked="0" layoutInCell="1" allowOverlap="1" wp14:anchorId="09239CE7" wp14:editId="3646F3E1">
                <wp:simplePos x="0" y="0"/>
                <wp:positionH relativeFrom="column">
                  <wp:posOffset>5258435</wp:posOffset>
                </wp:positionH>
                <wp:positionV relativeFrom="paragraph">
                  <wp:posOffset>1861185</wp:posOffset>
                </wp:positionV>
                <wp:extent cx="1615440" cy="1055370"/>
                <wp:effectExtent l="0" t="0" r="22860" b="0"/>
                <wp:wrapNone/>
                <wp:docPr id="96" name="Group 85"/>
                <wp:cNvGraphicFramePr/>
                <a:graphic xmlns:a="http://schemas.openxmlformats.org/drawingml/2006/main">
                  <a:graphicData uri="http://schemas.microsoft.com/office/word/2010/wordprocessingGroup">
                    <wpg:wgp>
                      <wpg:cNvGrpSpPr/>
                      <wpg:grpSpPr>
                        <a:xfrm>
                          <a:off x="0" y="0"/>
                          <a:ext cx="1615440" cy="1055370"/>
                          <a:chOff x="5695378" y="1744855"/>
                          <a:chExt cx="1615500" cy="1055370"/>
                        </a:xfrm>
                      </wpg:grpSpPr>
                      <wpg:grpSp>
                        <wpg:cNvPr id="97" name="Group 97"/>
                        <wpg:cNvGrpSpPr/>
                        <wpg:grpSpPr>
                          <a:xfrm>
                            <a:off x="5695378" y="1744855"/>
                            <a:ext cx="1615500" cy="1055370"/>
                            <a:chOff x="5695378" y="1744855"/>
                            <a:chExt cx="1615500" cy="1055370"/>
                          </a:xfrm>
                        </wpg:grpSpPr>
                        <wpg:grpSp>
                          <wpg:cNvPr id="98" name="Group 98"/>
                          <wpg:cNvGrpSpPr/>
                          <wpg:grpSpPr>
                            <a:xfrm>
                              <a:off x="5695378" y="1744855"/>
                              <a:ext cx="1604760" cy="1055370"/>
                              <a:chOff x="5695378" y="1744855"/>
                              <a:chExt cx="1604760" cy="1055370"/>
                            </a:xfrm>
                          </wpg:grpSpPr>
                          <wps:wsp>
                            <wps:cNvPr id="99" name="TextBox 82"/>
                            <wps:cNvSpPr txBox="1"/>
                            <wps:spPr>
                              <a:xfrm>
                                <a:off x="5695378" y="1744855"/>
                                <a:ext cx="1138555" cy="105537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MX</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FIX</w:t>
                                  </w:r>
                                </w:p>
                                <w:p w:rsidR="00994697" w:rsidRDefault="00994697" w:rsidP="00113240">
                                  <w:pPr>
                                    <w:pStyle w:val="NormalWeb"/>
                                    <w:kinsoku w:val="0"/>
                                    <w:overflowPunct w:val="0"/>
                                    <w:spacing w:before="0" w:beforeAutospacing="0" w:after="0" w:afterAutospacing="0"/>
                                    <w:textAlignment w:val="baseline"/>
                                  </w:pPr>
                                  <w:proofErr w:type="spellStart"/>
                                  <w:r>
                                    <w:rPr>
                                      <w:rFonts w:ascii="Arial" w:hAnsi="Arial" w:cstheme="minorBidi"/>
                                      <w:color w:val="000000" w:themeColor="text1"/>
                                      <w:kern w:val="24"/>
                                      <w:sz w:val="22"/>
                                      <w:szCs w:val="22"/>
                                      <w:lang w:val="en-US"/>
                                    </w:rPr>
                                    <w:t>FpML</w:t>
                                  </w:r>
                                  <w:proofErr w:type="spellEnd"/>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In development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Potential</w:t>
                                  </w:r>
                                </w:p>
                              </w:txbxContent>
                            </wps:txbx>
                            <wps:bodyPr wrap="none" rtlCol="0">
                              <a:spAutoFit/>
                            </wps:bodyPr>
                          </wps:wsp>
                          <wps:wsp>
                            <wps:cNvPr id="100" name="Oval 100"/>
                            <wps:cNvSpPr/>
                            <wps:spPr bwMode="auto">
                              <a:xfrm>
                                <a:off x="7200279" y="2500231"/>
                                <a:ext cx="99859" cy="117373"/>
                              </a:xfrm>
                              <a:prstGeom prst="ellipse">
                                <a:avLst/>
                              </a:prstGeom>
                              <a:noFill/>
                              <a:ln w="34925" cap="flat" cmpd="sng" algn="ctr">
                                <a:solidFill>
                                  <a:srgbClr val="6CF4DA"/>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g:grpSp>
                        <wps:wsp>
                          <wps:cNvPr id="101" name="Oval 101"/>
                          <wps:cNvSpPr/>
                          <wps:spPr bwMode="auto">
                            <a:xfrm>
                              <a:off x="7202878" y="2665875"/>
                              <a:ext cx="108000" cy="108000"/>
                            </a:xfrm>
                            <a:prstGeom prst="ellipse">
                              <a:avLst/>
                            </a:prstGeom>
                            <a:solidFill>
                              <a:schemeClr val="bg1"/>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s:wsp>
                          <wps:cNvPr id="102" name="Oval 102"/>
                          <wps:cNvSpPr/>
                          <wps:spPr bwMode="auto">
                            <a:xfrm>
                              <a:off x="7189230" y="1972108"/>
                              <a:ext cx="108000" cy="108000"/>
                            </a:xfrm>
                            <a:prstGeom prst="ellipse">
                              <a:avLst/>
                            </a:prstGeom>
                            <a:solidFill>
                              <a:srgbClr val="6CF4DA"/>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s:wsp>
                          <wps:cNvPr id="103" name="Oval 103"/>
                          <wps:cNvSpPr/>
                          <wps:spPr bwMode="auto">
                            <a:xfrm>
                              <a:off x="7189230" y="1824258"/>
                              <a:ext cx="108000" cy="108000"/>
                            </a:xfrm>
                            <a:prstGeom prst="ellipse">
                              <a:avLst/>
                            </a:prstGeom>
                            <a:solidFill>
                              <a:srgbClr val="002060"/>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s:wsp>
                          <wps:cNvPr id="104" name="Oval 104"/>
                          <wps:cNvSpPr/>
                          <wps:spPr bwMode="auto">
                            <a:xfrm>
                              <a:off x="7189230" y="2167735"/>
                              <a:ext cx="108000" cy="108000"/>
                            </a:xfrm>
                            <a:prstGeom prst="ellipse">
                              <a:avLst/>
                            </a:prstGeom>
                            <a:solidFill>
                              <a:srgbClr val="FF0000"/>
                            </a:solidFill>
                            <a:ln w="9525" cap="flat" cmpd="sng" algn="ctr">
                              <a:solidFill>
                                <a:srgbClr val="000000"/>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g:grpSp>
                      <wps:wsp>
                        <wps:cNvPr id="105" name="Oval 105"/>
                        <wps:cNvSpPr/>
                        <wps:spPr bwMode="auto">
                          <a:xfrm>
                            <a:off x="7199834" y="2325990"/>
                            <a:ext cx="99859" cy="117373"/>
                          </a:xfrm>
                          <a:prstGeom prst="ellipse">
                            <a:avLst/>
                          </a:prstGeom>
                          <a:solidFill>
                            <a:srgbClr val="00B050"/>
                          </a:solidFill>
                          <a:ln w="9525" cap="flat" cmpd="sng" algn="ctr">
                            <a:solidFill>
                              <a:schemeClr val="tx1"/>
                            </a:solidFill>
                            <a:prstDash val="solid"/>
                            <a:round/>
                            <a:headEnd type="none" w="med" len="med"/>
                            <a:tailEnd type="none" w="med" len="med"/>
                          </a:ln>
                          <a:effectLst/>
                        </wps:spPr>
                        <wps:txbx>
                          <w:txbxContent>
                            <w:p w:rsidR="00994697" w:rsidRDefault="00994697" w:rsidP="00113240">
                              <w:pPr>
                                <w:rPr>
                                  <w:rFonts w:eastAsia="Times New Roman"/>
                                </w:rPr>
                              </w:pPr>
                            </w:p>
                          </w:txbxContent>
                        </wps:txbx>
                        <wps:bodyPr vert="horz" wrap="square" lIns="91440" tIns="45720" rIns="91440" bIns="45720" numCol="1" rtlCol="0" anchor="t" anchorCtr="0" compatLnSpc="1">
                          <a:prstTxWarp prst="textNoShape">
                            <a:avLst/>
                          </a:prstTxWarp>
                        </wps:bodyPr>
                      </wps:wsp>
                    </wpg:wgp>
                  </a:graphicData>
                </a:graphic>
              </wp:anchor>
            </w:drawing>
          </mc:Choice>
          <mc:Fallback>
            <w:pict>
              <v:group id="Group 85" o:spid="_x0000_s1045" style="position:absolute;left:0;text-align:left;margin-left:414.05pt;margin-top:146.55pt;width:127.2pt;height:83.1pt;z-index:251791872" coordorigin="56953,17448" coordsize="16155,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">
                <v:group id="Group 97" o:spid="_x0000_s1046" style="position:absolute;left:56953;top:17448;width:16155;height:10554" coordorigin="56953,17448" coordsize="16155,1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8" o:spid="_x0000_s1047" style="position:absolute;left:56953;top:17448;width:16048;height:10554" coordorigin="56953,17448" coordsize="16047,1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Box 82" o:spid="_x0000_s1048" type="#_x0000_t202" style="position:absolute;left:56953;top:17448;width:11386;height:105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HMQA&#10;AADbAAAADwAAAGRycy9kb3ducmV2LnhtbESP0WrCQBRE3wv+w3KFvtVNxBYT3YhYC31rjX7AJXvN&#10;xmTvhuxW0359t1DwcZiZM8x6M9pOXGnwjWMF6SwBQVw53XCt4HR8e1qC8AFZY+eYFHyTh00xeVhj&#10;rt2ND3QtQy0ihH2OCkwIfS6lrwxZ9DPXE0fv7AaLIcqhlnrAW4TbTs6T5EVabDguGOxpZ6hqyy+r&#10;YJnYj7bN5p/eLn7SZ7N7dfv+otTjdNyuQAQawz38337X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UBzEAAAA2wAAAA8AAAAAAAAAAAAAAAAAmAIAAGRycy9k&#10;b3ducmV2LnhtbFBLBQYAAAAABAAEAPUAAACJAw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MX</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FIX</w:t>
                            </w:r>
                          </w:p>
                          <w:p w:rsidR="00994697" w:rsidRDefault="00994697" w:rsidP="00113240">
                            <w:pPr>
                              <w:pStyle w:val="NormalWeb"/>
                              <w:kinsoku w:val="0"/>
                              <w:overflowPunct w:val="0"/>
                              <w:spacing w:before="0" w:beforeAutospacing="0" w:after="0" w:afterAutospacing="0"/>
                              <w:textAlignment w:val="baseline"/>
                            </w:pPr>
                            <w:proofErr w:type="spellStart"/>
                            <w:r>
                              <w:rPr>
                                <w:rFonts w:ascii="Arial" w:hAnsi="Arial" w:cstheme="minorBidi"/>
                                <w:color w:val="000000" w:themeColor="text1"/>
                                <w:kern w:val="24"/>
                                <w:sz w:val="22"/>
                                <w:szCs w:val="22"/>
                                <w:lang w:val="en-US"/>
                              </w:rPr>
                              <w:t>FpML</w:t>
                            </w:r>
                            <w:proofErr w:type="spellEnd"/>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In development</w:t>
                            </w:r>
                          </w:p>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2"/>
                                <w:szCs w:val="22"/>
                                <w:lang w:val="en-US"/>
                              </w:rPr>
                              <w:t>Potential</w:t>
                            </w:r>
                          </w:p>
                        </w:txbxContent>
                      </v:textbox>
                    </v:shape>
                    <v:oval id="Oval 100" o:spid="_x0000_s1049" style="position:absolute;left:72002;top:25002;width:999;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4L8YA&#10;AADcAAAADwAAAGRycy9kb3ducmV2LnhtbESP0WrCQBBF3wv9h2UKvtXdFhSNriIFoZW2YtoPGLJj&#10;EszOhuw2if1656HQtxnunXvPrLejb1RPXawDW3iaGlDERXA1lxa+v/aPC1AxITtsApOFK0XYbu7v&#10;1pi5MPCJ+jyVSkI4ZmihSqnNtI5FRR7jNLTEop1D5zHJ2pXadThIuG/0szFz7bFmaaiwpZeKikv+&#10;4y0Uu3aJb/uP83HoD2h+j4tZ/vlu7eRh3K1AJRrTv/nv+tUJvhF8eUYm0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u4L8YAAADcAAAADwAAAAAAAAAAAAAAAACYAgAAZHJz&#10;L2Rvd25yZXYueG1sUEsFBgAAAAAEAAQA9QAAAIsDAAAAAA==&#10;" filled="f" strokecolor="#6cf4da" strokeweight="2.75pt">
                      <v:textbox>
                        <w:txbxContent>
                          <w:p w:rsidR="00994697" w:rsidRDefault="00994697" w:rsidP="00113240">
                            <w:pPr>
                              <w:rPr>
                                <w:rFonts w:eastAsia="Times New Roman"/>
                              </w:rPr>
                            </w:pPr>
                          </w:p>
                        </w:txbxContent>
                      </v:textbox>
                    </v:oval>
                  </v:group>
                  <v:oval id="Oval 101" o:spid="_x0000_s1050" style="position:absolute;left:72028;top:2665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BM8IA&#10;AADcAAAADwAAAGRycy9kb3ducmV2LnhtbERPS2sCMRC+C/0PYQq9aaKHIluziwiC4MXXob1NN9Pd&#10;tJvJsoma9tcbQehtPr7nLKrkOnGhIVjPGqYTBYK49sZyo+F0XI/nIEJENth5Jg2/FKAqn0YLLIy/&#10;8p4uh9iIHMKhQA1tjH0hZahbchgmvifO3JcfHMYMh0aaAa853HVyptSrdGg5N7TY06ql+udwdhpm&#10;a7e1f8m+f6uPz25nbNo1m73WL89p+QYiUor/4od7Y/J8NYX7M/kC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wEzwgAAANwAAAAPAAAAAAAAAAAAAAAAAJgCAABkcnMvZG93&#10;bnJldi54bWxQSwUGAAAAAAQABAD1AAAAhwMAAAAA&#10;" fillcolor="white [3212]">
                    <v:textbox>
                      <w:txbxContent>
                        <w:p w:rsidR="00994697" w:rsidRDefault="00994697" w:rsidP="00113240">
                          <w:pPr>
                            <w:rPr>
                              <w:rFonts w:eastAsia="Times New Roman"/>
                            </w:rPr>
                          </w:pPr>
                        </w:p>
                      </w:txbxContent>
                    </v:textbox>
                  </v:oval>
                  <v:oval id="Oval 102" o:spid="_x0000_s1051" style="position:absolute;left:71892;top:19721;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uEcEA&#10;AADcAAAADwAAAGRycy9kb3ducmV2LnhtbERPzWoCMRC+F3yHMIK3Ots91LI1ihWFHnqo2geYbqab&#10;xc1kSaKuffpGEHqbj+935svBderMIbZeNDxNC1AstTetNBq+DtvHF1AxkRjqvLCGK0dYLkYPc6qM&#10;v8iOz/vUqBwisSINNqW+Qoy1ZUdx6nuWzP344ChlGBo0gS453HVYFsUzOmolN1jqeW25Pu5PTsN6&#10;O5T8u3Fv8QPD9+fM4u4wQ60n42H1CirxkP7Fd/e7yfOLEm7P5Atw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7hHBAAAA3AAAAA8AAAAAAAAAAAAAAAAAmAIAAGRycy9kb3du&#10;cmV2LnhtbFBLBQYAAAAABAAEAPUAAACGAwAAAAA=&#10;" fillcolor="#6cf4da">
                    <v:textbox>
                      <w:txbxContent>
                        <w:p w:rsidR="00994697" w:rsidRDefault="00994697" w:rsidP="00113240">
                          <w:pPr>
                            <w:rPr>
                              <w:rFonts w:eastAsia="Times New Roman"/>
                            </w:rPr>
                          </w:pPr>
                        </w:p>
                      </w:txbxContent>
                    </v:textbox>
                  </v:oval>
                  <v:oval id="Oval 103" o:spid="_x0000_s1052" style="position:absolute;left:71892;top:18242;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sNsMA&#10;AADcAAAADwAAAGRycy9kb3ducmV2LnhtbERP32vCMBB+F/Y/hBv4pskUZHZG2YSCMIVZHezxaG5t&#10;WXMpTdTMv34ZCL7dx/fzFqtoW3Gm3jeONTyNFQji0pmGKw3HQz56BuEDssHWMWn4JQ+r5cNggZlx&#10;F97TuQiVSCHsM9RQh9BlUvqyJot+7DrixH273mJIsK+k6fGSwm0rJ0rNpMWGU0ONHa1rKn+Kk9Xw&#10;XsTtx/r6pWbz04Hf4i7/lLtc6+FjfH0BESiGu/jm3pg0X03h/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psNsMAAADcAAAADwAAAAAAAAAAAAAAAACYAgAAZHJzL2Rv&#10;d25yZXYueG1sUEsFBgAAAAAEAAQA9QAAAIgDAAAAAA==&#10;" fillcolor="#002060">
                    <v:textbox>
                      <w:txbxContent>
                        <w:p w:rsidR="00994697" w:rsidRDefault="00994697" w:rsidP="00113240">
                          <w:pPr>
                            <w:rPr>
                              <w:rFonts w:eastAsia="Times New Roman"/>
                            </w:rPr>
                          </w:pPr>
                        </w:p>
                      </w:txbxContent>
                    </v:textbox>
                  </v:oval>
                  <v:oval id="Oval 104" o:spid="_x0000_s1053" style="position:absolute;left:71892;top:21677;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e8YA&#10;AADcAAAADwAAAGRycy9kb3ducmV2LnhtbESPT2vCQBDF74LfYRmht7qpkbZEVxGhpbT20OjF25Ad&#10;k9DsbNjd/PHbdwuCtxnee795s96OphE9OV9bVvA0T0AQF1bXXCo4Hd8eX0H4gKyxsUwKruRhu5lO&#10;1phpO/AP9XkoRYSwz1BBFUKbSemLigz6uW2Jo3axzmCIqyuldjhEuGnkIkmepcGa44UKW9pXVPzm&#10;nYmUQ/f++ZKnLJfN95c7H3163RdKPczG3QpEoDHczbf0h471kyX8PxMn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Ge8YAAADcAAAADwAAAAAAAAAAAAAAAACYAgAAZHJz&#10;L2Rvd25yZXYueG1sUEsFBgAAAAAEAAQA9QAAAIsDAAAAAA==&#10;" fillcolor="red">
                    <v:textbox>
                      <w:txbxContent>
                        <w:p w:rsidR="00994697" w:rsidRDefault="00994697" w:rsidP="00113240">
                          <w:pPr>
                            <w:rPr>
                              <w:rFonts w:eastAsia="Times New Roman"/>
                            </w:rPr>
                          </w:pPr>
                        </w:p>
                      </w:txbxContent>
                    </v:textbox>
                  </v:oval>
                </v:group>
                <v:oval id="Oval 105" o:spid="_x0000_s1054" style="position:absolute;left:71998;top:23259;width:99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pIMAA&#10;AADcAAAADwAAAGRycy9kb3ducmV2LnhtbERPzWrCQBC+F3yHZYTe6q7FFomuogVtezTmAYbsmASz&#10;syE7xvj23UKht/n4fme9HX2rBupjE9jCfGZAEZfBNVxZKM6HlyWoKMgO28Bk4UERtpvJ0xozF+58&#10;oiGXSqUQjhlaqEW6TOtY1uQxzkJHnLhL6D1Kgn2lXY/3FO5b/WrMu/bYcGqosaOPmsprfvMWxMSH&#10;1pfFd3vMh04+i9PYFHtrn6fjbgVKaJR/8Z/7y6X55g1+n0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XpIMAAAADcAAAADwAAAAAAAAAAAAAAAACYAgAAZHJzL2Rvd25y&#10;ZXYueG1sUEsFBgAAAAAEAAQA9QAAAIUDAAAAAA==&#10;" fillcolor="#00b050" strokecolor="black [3213]">
                  <v:textbox>
                    <w:txbxContent>
                      <w:p w:rsidR="00994697" w:rsidRDefault="00994697" w:rsidP="00113240">
                        <w:pPr>
                          <w:rPr>
                            <w:rFonts w:eastAsia="Times New Roman"/>
                          </w:rPr>
                        </w:pPr>
                      </w:p>
                    </w:txbxContent>
                  </v:textbox>
                </v:oval>
              </v:group>
            </w:pict>
          </mc:Fallback>
        </mc:AlternateContent>
      </w:r>
      <w:r w:rsidRPr="00113240">
        <w:rPr>
          <w:noProof/>
          <w:lang w:eastAsia="en-GB"/>
        </w:rPr>
        <mc:AlternateContent>
          <mc:Choice Requires="wps">
            <w:drawing>
              <wp:anchor distT="0" distB="0" distL="114300" distR="114300" simplePos="0" relativeHeight="251790848" behindDoc="0" locked="0" layoutInCell="1" allowOverlap="1" wp14:anchorId="5B06CDC9" wp14:editId="2F118A10">
                <wp:simplePos x="0" y="0"/>
                <wp:positionH relativeFrom="column">
                  <wp:posOffset>5744845</wp:posOffset>
                </wp:positionH>
                <wp:positionV relativeFrom="paragraph">
                  <wp:posOffset>126365</wp:posOffset>
                </wp:positionV>
                <wp:extent cx="969645" cy="276860"/>
                <wp:effectExtent l="0" t="0" r="0" b="0"/>
                <wp:wrapNone/>
                <wp:docPr id="95" name="TextBox 47"/>
                <wp:cNvGraphicFramePr/>
                <a:graphic xmlns:a="http://schemas.openxmlformats.org/drawingml/2006/main">
                  <a:graphicData uri="http://schemas.microsoft.com/office/word/2010/wordprocessingShape">
                    <wps:wsp>
                      <wps:cNvSpPr txBox="1"/>
                      <wps:spPr>
                        <a:xfrm>
                          <a:off x="0" y="0"/>
                          <a:ext cx="96964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Settlement</w:t>
                            </w:r>
                          </w:p>
                        </w:txbxContent>
                      </wps:txbx>
                      <wps:bodyPr wrap="square" rtlCol="0">
                        <a:spAutoFit/>
                      </wps:bodyPr>
                    </wps:wsp>
                  </a:graphicData>
                </a:graphic>
              </wp:anchor>
            </w:drawing>
          </mc:Choice>
          <mc:Fallback>
            <w:pict>
              <v:shape id="TextBox 47" o:spid="_x0000_s1055" type="#_x0000_t202" style="position:absolute;left:0;text-align:left;margin-left:452.35pt;margin-top:9.95pt;width:76.35pt;height:21.8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Settlement</w:t>
                      </w:r>
                    </w:p>
                  </w:txbxContent>
                </v:textbox>
              </v:shape>
            </w:pict>
          </mc:Fallback>
        </mc:AlternateContent>
      </w:r>
      <w:r w:rsidRPr="00113240">
        <w:rPr>
          <w:noProof/>
          <w:lang w:eastAsia="en-GB"/>
        </w:rPr>
        <mc:AlternateContent>
          <mc:Choice Requires="wps">
            <w:drawing>
              <wp:anchor distT="0" distB="0" distL="114300" distR="114300" simplePos="0" relativeHeight="251789824" behindDoc="0" locked="0" layoutInCell="1" allowOverlap="1" wp14:anchorId="4EEA4CD2" wp14:editId="0D91F94C">
                <wp:simplePos x="0" y="0"/>
                <wp:positionH relativeFrom="column">
                  <wp:posOffset>3156585</wp:posOffset>
                </wp:positionH>
                <wp:positionV relativeFrom="paragraph">
                  <wp:posOffset>130810</wp:posOffset>
                </wp:positionV>
                <wp:extent cx="2101215" cy="276860"/>
                <wp:effectExtent l="0" t="0" r="0" b="0"/>
                <wp:wrapNone/>
                <wp:docPr id="94" name="TextBox 41"/>
                <wp:cNvGraphicFramePr/>
                <a:graphic xmlns:a="http://schemas.openxmlformats.org/drawingml/2006/main">
                  <a:graphicData uri="http://schemas.microsoft.com/office/word/2010/wordprocessingShape">
                    <wps:wsp>
                      <wps:cNvSpPr txBox="1"/>
                      <wps:spPr>
                        <a:xfrm>
                          <a:off x="0" y="0"/>
                          <a:ext cx="210121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Clearing &amp; Pre-settlement</w:t>
                            </w:r>
                          </w:p>
                        </w:txbxContent>
                      </wps:txbx>
                      <wps:bodyPr wrap="square" rtlCol="0">
                        <a:spAutoFit/>
                      </wps:bodyPr>
                    </wps:wsp>
                  </a:graphicData>
                </a:graphic>
              </wp:anchor>
            </w:drawing>
          </mc:Choice>
          <mc:Fallback>
            <w:pict>
              <v:shape id="TextBox 41" o:spid="_x0000_s1056" type="#_x0000_t202" style="position:absolute;left:0;text-align:left;margin-left:248.55pt;margin-top:10.3pt;width:165.45pt;height:21.8pt;z-index:25178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Clearing &amp; Pre-settlement</w:t>
                      </w:r>
                    </w:p>
                  </w:txbxContent>
                </v:textbox>
              </v:shape>
            </w:pict>
          </mc:Fallback>
        </mc:AlternateContent>
      </w:r>
      <w:r w:rsidRPr="00113240">
        <w:rPr>
          <w:noProof/>
          <w:lang w:eastAsia="en-GB"/>
        </w:rPr>
        <mc:AlternateContent>
          <mc:Choice Requires="wps">
            <w:drawing>
              <wp:anchor distT="0" distB="0" distL="114300" distR="114300" simplePos="0" relativeHeight="251788800" behindDoc="0" locked="0" layoutInCell="1" allowOverlap="1" wp14:anchorId="34158664" wp14:editId="38D1837E">
                <wp:simplePos x="0" y="0"/>
                <wp:positionH relativeFrom="column">
                  <wp:posOffset>2185670</wp:posOffset>
                </wp:positionH>
                <wp:positionV relativeFrom="paragraph">
                  <wp:posOffset>127000</wp:posOffset>
                </wp:positionV>
                <wp:extent cx="944245" cy="276860"/>
                <wp:effectExtent l="0" t="0" r="0" b="0"/>
                <wp:wrapNone/>
                <wp:docPr id="93" name="TextBox 39"/>
                <wp:cNvGraphicFramePr/>
                <a:graphic xmlns:a="http://schemas.openxmlformats.org/drawingml/2006/main">
                  <a:graphicData uri="http://schemas.microsoft.com/office/word/2010/wordprocessingShape">
                    <wps:wsp>
                      <wps:cNvSpPr txBox="1"/>
                      <wps:spPr>
                        <a:xfrm>
                          <a:off x="0" y="0"/>
                          <a:ext cx="944245"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Post-trade</w:t>
                            </w:r>
                          </w:p>
                        </w:txbxContent>
                      </wps:txbx>
                      <wps:bodyPr wrap="square" rtlCol="0">
                        <a:spAutoFit/>
                      </wps:bodyPr>
                    </wps:wsp>
                  </a:graphicData>
                </a:graphic>
              </wp:anchor>
            </w:drawing>
          </mc:Choice>
          <mc:Fallback>
            <w:pict>
              <v:shape id="TextBox 39" o:spid="_x0000_s1057" type="#_x0000_t202" style="position:absolute;left:0;text-align:left;margin-left:172.1pt;margin-top:10pt;width:74.35pt;height:21.8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Post-trade</w:t>
                      </w:r>
                    </w:p>
                  </w:txbxContent>
                </v:textbox>
              </v:shape>
            </w:pict>
          </mc:Fallback>
        </mc:AlternateContent>
      </w:r>
      <w:r w:rsidRPr="00113240">
        <w:rPr>
          <w:noProof/>
          <w:lang w:eastAsia="en-GB"/>
        </w:rPr>
        <mc:AlternateContent>
          <mc:Choice Requires="wps">
            <w:drawing>
              <wp:anchor distT="0" distB="0" distL="114300" distR="114300" simplePos="0" relativeHeight="251787776" behindDoc="0" locked="0" layoutInCell="1" allowOverlap="1" wp14:anchorId="58AE5875" wp14:editId="3384589F">
                <wp:simplePos x="0" y="0"/>
                <wp:positionH relativeFrom="column">
                  <wp:posOffset>146685</wp:posOffset>
                </wp:positionH>
                <wp:positionV relativeFrom="paragraph">
                  <wp:posOffset>132080</wp:posOffset>
                </wp:positionV>
                <wp:extent cx="1310640" cy="276860"/>
                <wp:effectExtent l="0" t="0" r="0" b="0"/>
                <wp:wrapNone/>
                <wp:docPr id="91" name="TextBox 38"/>
                <wp:cNvGraphicFramePr/>
                <a:graphic xmlns:a="http://schemas.openxmlformats.org/drawingml/2006/main">
                  <a:graphicData uri="http://schemas.microsoft.com/office/word/2010/wordprocessingShape">
                    <wps:wsp>
                      <wps:cNvSpPr txBox="1"/>
                      <wps:spPr>
                        <a:xfrm>
                          <a:off x="0" y="0"/>
                          <a:ext cx="1310640" cy="276860"/>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Pre-trade/Trade</w:t>
                            </w:r>
                          </w:p>
                        </w:txbxContent>
                      </wps:txbx>
                      <wps:bodyPr wrap="square" rtlCol="0">
                        <a:spAutoFit/>
                      </wps:bodyPr>
                    </wps:wsp>
                  </a:graphicData>
                </a:graphic>
              </wp:anchor>
            </w:drawing>
          </mc:Choice>
          <mc:Fallback>
            <w:pict>
              <v:shape id="TextBox 38" o:spid="_x0000_s1058" type="#_x0000_t202" style="position:absolute;left:0;text-align:left;margin-left:11.55pt;margin-top:10.4pt;width:103.2pt;height:21.8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b/>
                          <w:bCs/>
                          <w:color w:val="000000" w:themeColor="text1"/>
                          <w:kern w:val="24"/>
                          <w:lang w:val="en-US"/>
                        </w:rPr>
                        <w:t>Pre-trade/Trade</w:t>
                      </w:r>
                    </w:p>
                  </w:txbxContent>
                </v:textbox>
              </v:shape>
            </w:pict>
          </mc:Fallback>
        </mc:AlternateContent>
      </w:r>
      <w:r w:rsidRPr="00113240">
        <w:rPr>
          <w:noProof/>
          <w:lang w:eastAsia="en-GB"/>
        </w:rPr>
        <mc:AlternateContent>
          <mc:Choice Requires="wps">
            <w:drawing>
              <wp:anchor distT="0" distB="0" distL="114300" distR="114300" simplePos="0" relativeHeight="251786752" behindDoc="0" locked="0" layoutInCell="1" allowOverlap="1" wp14:anchorId="7748969D" wp14:editId="36C6F07C">
                <wp:simplePos x="0" y="0"/>
                <wp:positionH relativeFrom="column">
                  <wp:posOffset>3114675</wp:posOffset>
                </wp:positionH>
                <wp:positionV relativeFrom="paragraph">
                  <wp:posOffset>1089660</wp:posOffset>
                </wp:positionV>
                <wp:extent cx="107950" cy="107950"/>
                <wp:effectExtent l="95250" t="95250" r="82550" b="120650"/>
                <wp:wrapNone/>
                <wp:docPr id="90" name="Oval 54"/>
                <wp:cNvGraphicFramePr/>
                <a:graphic xmlns:a="http://schemas.openxmlformats.org/drawingml/2006/main">
                  <a:graphicData uri="http://schemas.microsoft.com/office/word/2010/wordprocessingShape">
                    <wps:wsp>
                      <wps:cNvSpPr/>
                      <wps:spPr bwMode="auto">
                        <a:xfrm>
                          <a:off x="0" y="0"/>
                          <a:ext cx="107950" cy="107950"/>
                        </a:xfrm>
                        <a:prstGeom prst="ellipse">
                          <a:avLst/>
                        </a:prstGeom>
                        <a:noFill/>
                        <a:ln w="209550" cap="flat" cmpd="sng" algn="ctr">
                          <a:solidFill>
                            <a:srgbClr val="6CF4DA"/>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4" o:spid="_x0000_s1026" style="position:absolute;margin-left:245.25pt;margin-top:85.8pt;width:8.5pt;height:8.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" filled="f" strokecolor="#6cf4da" strokeweight="16.5pt"/>
            </w:pict>
          </mc:Fallback>
        </mc:AlternateContent>
      </w:r>
      <w:r w:rsidRPr="00113240">
        <w:rPr>
          <w:noProof/>
          <w:lang w:eastAsia="en-GB"/>
        </w:rPr>
        <mc:AlternateContent>
          <mc:Choice Requires="wps">
            <w:drawing>
              <wp:anchor distT="0" distB="0" distL="114300" distR="114300" simplePos="0" relativeHeight="251784704" behindDoc="0" locked="0" layoutInCell="1" allowOverlap="1" wp14:anchorId="09048AA9" wp14:editId="0E481F0F">
                <wp:simplePos x="0" y="0"/>
                <wp:positionH relativeFrom="column">
                  <wp:posOffset>6101715</wp:posOffset>
                </wp:positionH>
                <wp:positionV relativeFrom="paragraph">
                  <wp:posOffset>820420</wp:posOffset>
                </wp:positionV>
                <wp:extent cx="323850" cy="323850"/>
                <wp:effectExtent l="0" t="0" r="19050" b="19050"/>
                <wp:wrapNone/>
                <wp:docPr id="88" name="Oval 51"/>
                <wp:cNvGraphicFramePr/>
                <a:graphic xmlns:a="http://schemas.openxmlformats.org/drawingml/2006/main">
                  <a:graphicData uri="http://schemas.microsoft.com/office/word/2010/wordprocessingShape">
                    <wps:wsp>
                      <wps:cNvSpPr/>
                      <wps:spPr bwMode="auto">
                        <a:xfrm flipH="1" flipV="1">
                          <a:off x="0" y="0"/>
                          <a:ext cx="323850" cy="323850"/>
                        </a:xfrm>
                        <a:prstGeom prst="ellipse">
                          <a:avLst/>
                        </a:prstGeom>
                        <a:solidFill>
                          <a:srgbClr val="6CF4DA"/>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1" o:spid="_x0000_s1026" style="position:absolute;margin-left:480.45pt;margin-top:64.6pt;width:25.5pt;height:25.5pt;flip:x y;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" fillcolor="#6cf4da" strokecolor="black [3213]"/>
            </w:pict>
          </mc:Fallback>
        </mc:AlternateContent>
      </w:r>
      <w:r w:rsidRPr="00113240">
        <w:rPr>
          <w:noProof/>
          <w:lang w:eastAsia="en-GB"/>
        </w:rPr>
        <mc:AlternateContent>
          <mc:Choice Requires="wps">
            <w:drawing>
              <wp:anchor distT="0" distB="0" distL="114300" distR="114300" simplePos="0" relativeHeight="251783680" behindDoc="0" locked="0" layoutInCell="1" allowOverlap="1" wp14:anchorId="7FDC359F" wp14:editId="3E02174A">
                <wp:simplePos x="0" y="0"/>
                <wp:positionH relativeFrom="column">
                  <wp:posOffset>6090920</wp:posOffset>
                </wp:positionH>
                <wp:positionV relativeFrom="paragraph">
                  <wp:posOffset>410845</wp:posOffset>
                </wp:positionV>
                <wp:extent cx="359410" cy="359410"/>
                <wp:effectExtent l="0" t="0" r="21590" b="21590"/>
                <wp:wrapNone/>
                <wp:docPr id="87" name="Oval 50"/>
                <wp:cNvGraphicFramePr/>
                <a:graphic xmlns:a="http://schemas.openxmlformats.org/drawingml/2006/main">
                  <a:graphicData uri="http://schemas.microsoft.com/office/word/2010/wordprocessingShape">
                    <wps:wsp>
                      <wps:cNvSpPr/>
                      <wps:spPr bwMode="auto">
                        <a:xfrm>
                          <a:off x="0" y="0"/>
                          <a:ext cx="359410" cy="359410"/>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0" o:spid="_x0000_s1026" style="position:absolute;margin-left:479.6pt;margin-top:32.35pt;width:28.3pt;height:28.3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" fillcolor="#002060" strokecolor="black [3213]"/>
            </w:pict>
          </mc:Fallback>
        </mc:AlternateContent>
      </w:r>
      <w:r w:rsidRPr="00113240">
        <w:rPr>
          <w:noProof/>
          <w:lang w:eastAsia="en-GB"/>
        </w:rPr>
        <mc:AlternateContent>
          <mc:Choice Requires="wps">
            <w:drawing>
              <wp:anchor distT="0" distB="0" distL="114300" distR="114300" simplePos="0" relativeHeight="251782656" behindDoc="0" locked="0" layoutInCell="1" allowOverlap="1" wp14:anchorId="71443564" wp14:editId="60C1306B">
                <wp:simplePos x="0" y="0"/>
                <wp:positionH relativeFrom="column">
                  <wp:posOffset>3261360</wp:posOffset>
                </wp:positionH>
                <wp:positionV relativeFrom="paragraph">
                  <wp:posOffset>737235</wp:posOffset>
                </wp:positionV>
                <wp:extent cx="1671955" cy="253365"/>
                <wp:effectExtent l="0" t="0" r="0" b="0"/>
                <wp:wrapNone/>
                <wp:docPr id="86" name="TextBox 35"/>
                <wp:cNvGraphicFramePr/>
                <a:graphic xmlns:a="http://schemas.openxmlformats.org/drawingml/2006/main">
                  <a:graphicData uri="http://schemas.microsoft.com/office/word/2010/wordprocessingShape">
                    <wps:wsp>
                      <wps:cNvSpPr txBox="1"/>
                      <wps:spPr>
                        <a:xfrm>
                          <a:off x="0" y="0"/>
                          <a:ext cx="1671955" cy="253365"/>
                        </a:xfrm>
                        <a:prstGeom prst="rect">
                          <a:avLst/>
                        </a:prstGeom>
                        <a:noFill/>
                      </wps:spPr>
                      <wps:txbx>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1"/>
                                <w:szCs w:val="21"/>
                                <w:lang w:val="en-US"/>
                              </w:rPr>
                              <w:t>(Collateral Management)</w:t>
                            </w:r>
                          </w:p>
                        </w:txbxContent>
                      </wps:txbx>
                      <wps:bodyPr wrap="none" rtlCol="0">
                        <a:spAutoFit/>
                      </wps:bodyPr>
                    </wps:wsp>
                  </a:graphicData>
                </a:graphic>
              </wp:anchor>
            </w:drawing>
          </mc:Choice>
          <mc:Fallback>
            <w:pict>
              <v:shape id="TextBox 35" o:spid="_x0000_s1059" type="#_x0000_t202" style="position:absolute;left:0;text-align:left;margin-left:256.8pt;margin-top:58.05pt;width:131.65pt;height:19.95pt;z-index:25178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" filled="f" stroked="f">
                <v:textbox style="mso-fit-shape-to-text:t">
                  <w:txbxContent>
                    <w:p w:rsidR="00994697" w:rsidRDefault="00994697" w:rsidP="00113240">
                      <w:pPr>
                        <w:pStyle w:val="NormalWeb"/>
                        <w:kinsoku w:val="0"/>
                        <w:overflowPunct w:val="0"/>
                        <w:spacing w:before="0" w:beforeAutospacing="0" w:after="0" w:afterAutospacing="0"/>
                        <w:textAlignment w:val="baseline"/>
                      </w:pPr>
                      <w:r>
                        <w:rPr>
                          <w:rFonts w:ascii="Arial" w:hAnsi="Arial" w:cstheme="minorBidi"/>
                          <w:color w:val="000000" w:themeColor="text1"/>
                          <w:kern w:val="24"/>
                          <w:sz w:val="21"/>
                          <w:szCs w:val="21"/>
                          <w:lang w:val="en-US"/>
                        </w:rPr>
                        <w:t>(Collateral Management)</w:t>
                      </w:r>
                    </w:p>
                  </w:txbxContent>
                </v:textbox>
              </v:shape>
            </w:pict>
          </mc:Fallback>
        </mc:AlternateContent>
      </w:r>
      <w:r w:rsidRPr="00113240">
        <w:rPr>
          <w:noProof/>
          <w:lang w:eastAsia="en-GB"/>
        </w:rPr>
        <mc:AlternateContent>
          <mc:Choice Requires="wps">
            <w:drawing>
              <wp:anchor distT="0" distB="0" distL="114300" distR="114300" simplePos="0" relativeHeight="251781632" behindDoc="0" locked="0" layoutInCell="1" allowOverlap="1" wp14:anchorId="6E6B52B5" wp14:editId="2650E1CA">
                <wp:simplePos x="0" y="0"/>
                <wp:positionH relativeFrom="column">
                  <wp:posOffset>3068955</wp:posOffset>
                </wp:positionH>
                <wp:positionV relativeFrom="paragraph">
                  <wp:posOffset>1350645</wp:posOffset>
                </wp:positionV>
                <wp:extent cx="179705" cy="179705"/>
                <wp:effectExtent l="0" t="0" r="10795" b="10795"/>
                <wp:wrapNone/>
                <wp:docPr id="85" name="Oval 33"/>
                <wp:cNvGraphicFramePr/>
                <a:graphic xmlns:a="http://schemas.openxmlformats.org/drawingml/2006/main">
                  <a:graphicData uri="http://schemas.microsoft.com/office/word/2010/wordprocessingShape">
                    <wps:wsp>
                      <wps:cNvSpPr/>
                      <wps:spPr bwMode="auto">
                        <a:xfrm>
                          <a:off x="0" y="0"/>
                          <a:ext cx="179705" cy="179705"/>
                        </a:xfrm>
                        <a:prstGeom prst="ellipse">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33" o:spid="_x0000_s1026" style="position:absolute;margin-left:241.65pt;margin-top:106.35pt;width:14.15pt;height:14.1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" filled="f" strokecolor="black [3213]"/>
            </w:pict>
          </mc:Fallback>
        </mc:AlternateContent>
      </w:r>
      <w:r w:rsidRPr="00113240">
        <w:rPr>
          <w:noProof/>
          <w:lang w:eastAsia="en-GB"/>
        </w:rPr>
        <mc:AlternateContent>
          <mc:Choice Requires="wps">
            <w:drawing>
              <wp:anchor distT="0" distB="0" distL="114300" distR="114300" simplePos="0" relativeHeight="251780608" behindDoc="0" locked="0" layoutInCell="1" allowOverlap="1" wp14:anchorId="07F2DBC7" wp14:editId="0AE60929">
                <wp:simplePos x="0" y="0"/>
                <wp:positionH relativeFrom="column">
                  <wp:posOffset>3092450</wp:posOffset>
                </wp:positionH>
                <wp:positionV relativeFrom="paragraph">
                  <wp:posOffset>806450</wp:posOffset>
                </wp:positionV>
                <wp:extent cx="143510" cy="143510"/>
                <wp:effectExtent l="0" t="0" r="27940" b="27940"/>
                <wp:wrapNone/>
                <wp:docPr id="70" name="Oval 29"/>
                <wp:cNvGraphicFramePr/>
                <a:graphic xmlns:a="http://schemas.openxmlformats.org/drawingml/2006/main">
                  <a:graphicData uri="http://schemas.microsoft.com/office/word/2010/wordprocessingShape">
                    <wps:wsp>
                      <wps:cNvSpPr/>
                      <wps:spPr bwMode="auto">
                        <a:xfrm>
                          <a:off x="0" y="0"/>
                          <a:ext cx="143510" cy="143510"/>
                        </a:xfrm>
                        <a:prstGeom prst="ellipse">
                          <a:avLst/>
                        </a:prstGeom>
                        <a:solidFill>
                          <a:srgbClr val="00206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29" o:spid="_x0000_s1026" style="position:absolute;margin-left:243.5pt;margin-top:63.5pt;width:11.3pt;height:11.3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" fillcolor="#002060" strokecolor="black [3213]"/>
            </w:pict>
          </mc:Fallback>
        </mc:AlternateContent>
      </w:r>
      <w:r w:rsidRPr="00113240">
        <w:rPr>
          <w:noProof/>
          <w:lang w:eastAsia="en-GB"/>
        </w:rPr>
        <mc:AlternateContent>
          <mc:Choice Requires="wps">
            <w:drawing>
              <wp:anchor distT="0" distB="0" distL="114300" distR="114300" simplePos="0" relativeHeight="251779584" behindDoc="0" locked="0" layoutInCell="1" allowOverlap="1" wp14:anchorId="35FA0F49" wp14:editId="55292F7F">
                <wp:simplePos x="0" y="0"/>
                <wp:positionH relativeFrom="column">
                  <wp:posOffset>2968625</wp:posOffset>
                </wp:positionH>
                <wp:positionV relativeFrom="paragraph">
                  <wp:posOffset>368300</wp:posOffset>
                </wp:positionV>
                <wp:extent cx="395605" cy="395605"/>
                <wp:effectExtent l="0" t="0" r="23495" b="23495"/>
                <wp:wrapNone/>
                <wp:docPr id="69" name="Oval 26"/>
                <wp:cNvGraphicFramePr/>
                <a:graphic xmlns:a="http://schemas.openxmlformats.org/drawingml/2006/main">
                  <a:graphicData uri="http://schemas.microsoft.com/office/word/2010/wordprocessingShape">
                    <wps:wsp>
                      <wps:cNvSpPr/>
                      <wps:spPr bwMode="auto">
                        <a:xfrm>
                          <a:off x="0" y="0"/>
                          <a:ext cx="395605" cy="395605"/>
                        </a:xfrm>
                        <a:prstGeom prst="ellipse">
                          <a:avLst/>
                        </a:prstGeom>
                        <a:solidFill>
                          <a:srgbClr val="00B05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26" o:spid="_x0000_s1026" style="position:absolute;margin-left:233.75pt;margin-top:29pt;width:31.15pt;height:31.15pt;z-index:25177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" fillcolor="#00b050" strokecolor="black [3213]"/>
            </w:pict>
          </mc:Fallback>
        </mc:AlternateContent>
      </w:r>
      <w:r w:rsidRPr="00113240">
        <w:rPr>
          <w:noProof/>
          <w:lang w:eastAsia="en-GB"/>
        </w:rPr>
        <mc:AlternateContent>
          <mc:Choice Requires="wps">
            <w:drawing>
              <wp:anchor distT="0" distB="0" distL="114300" distR="114300" simplePos="0" relativeHeight="251778560" behindDoc="0" locked="0" layoutInCell="1" allowOverlap="1" wp14:anchorId="280FFC05" wp14:editId="08442057">
                <wp:simplePos x="0" y="0"/>
                <wp:positionH relativeFrom="column">
                  <wp:posOffset>765175</wp:posOffset>
                </wp:positionH>
                <wp:positionV relativeFrom="paragraph">
                  <wp:posOffset>682625</wp:posOffset>
                </wp:positionV>
                <wp:extent cx="107950" cy="107950"/>
                <wp:effectExtent l="0" t="0" r="25400" b="25400"/>
                <wp:wrapNone/>
                <wp:docPr id="66" name="Oval 23"/>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rgbClr val="6CF4DA"/>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23" o:spid="_x0000_s1026" style="position:absolute;margin-left:60.25pt;margin-top:53.75pt;width:8.5pt;height:8.5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" fillcolor="#6cf4da" strokecolor="black [3213]"/>
            </w:pict>
          </mc:Fallback>
        </mc:AlternateContent>
      </w:r>
      <w:r w:rsidRPr="00113240">
        <w:rPr>
          <w:noProof/>
          <w:lang w:eastAsia="en-GB"/>
        </w:rPr>
        <mc:AlternateContent>
          <mc:Choice Requires="wps">
            <w:drawing>
              <wp:anchor distT="0" distB="0" distL="114300" distR="114300" simplePos="0" relativeHeight="251777536" behindDoc="0" locked="0" layoutInCell="1" allowOverlap="1" wp14:anchorId="389958E3" wp14:editId="6DF3C78A">
                <wp:simplePos x="0" y="0"/>
                <wp:positionH relativeFrom="column">
                  <wp:posOffset>765175</wp:posOffset>
                </wp:positionH>
                <wp:positionV relativeFrom="paragraph">
                  <wp:posOffset>502920</wp:posOffset>
                </wp:positionV>
                <wp:extent cx="107950" cy="107950"/>
                <wp:effectExtent l="0" t="0" r="25400" b="25400"/>
                <wp:wrapNone/>
                <wp:docPr id="61" name="Oval 22"/>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22" o:spid="_x0000_s1026" style="position:absolute;margin-left:60.25pt;margin-top:39.6pt;width:8.5pt;height:8.5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" fillcolor="red" strokecolor="black [3213]"/>
            </w:pict>
          </mc:Fallback>
        </mc:AlternateContent>
      </w:r>
      <w:r w:rsidRPr="00113240">
        <w:rPr>
          <w:noProof/>
          <w:lang w:eastAsia="en-GB"/>
        </w:rPr>
        <mc:AlternateContent>
          <mc:Choice Requires="wps">
            <w:drawing>
              <wp:anchor distT="0" distB="0" distL="114300" distR="114300" simplePos="0" relativeHeight="251776512" behindDoc="0" locked="0" layoutInCell="1" allowOverlap="1" wp14:anchorId="3C3AF97C" wp14:editId="3D81E9BB">
                <wp:simplePos x="0" y="0"/>
                <wp:positionH relativeFrom="column">
                  <wp:posOffset>5121910</wp:posOffset>
                </wp:positionH>
                <wp:positionV relativeFrom="paragraph">
                  <wp:posOffset>120650</wp:posOffset>
                </wp:positionV>
                <wp:extent cx="2360930" cy="1668145"/>
                <wp:effectExtent l="19050" t="0" r="39370" b="27305"/>
                <wp:wrapNone/>
                <wp:docPr id="56" name="Chevron 46"/>
                <wp:cNvGraphicFramePr/>
                <a:graphic xmlns:a="http://schemas.openxmlformats.org/drawingml/2006/main">
                  <a:graphicData uri="http://schemas.microsoft.com/office/word/2010/wordprocessingShape">
                    <wps:wsp>
                      <wps:cNvSpPr/>
                      <wps:spPr bwMode="auto">
                        <a:xfrm>
                          <a:off x="0" y="0"/>
                          <a:ext cx="2360930" cy="166814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46" o:spid="_x0000_s1026" type="#_x0000_t55" style="position:absolute;margin-left:403.3pt;margin-top:9.5pt;width:185.9pt;height:131.35pt;z-index:25177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" adj="13969"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75488" behindDoc="0" locked="0" layoutInCell="1" allowOverlap="1" wp14:anchorId="3BF0830D" wp14:editId="14E05494">
                <wp:simplePos x="0" y="0"/>
                <wp:positionH relativeFrom="column">
                  <wp:posOffset>-436880</wp:posOffset>
                </wp:positionH>
                <wp:positionV relativeFrom="paragraph">
                  <wp:posOffset>116840</wp:posOffset>
                </wp:positionV>
                <wp:extent cx="2622550" cy="1671955"/>
                <wp:effectExtent l="19050" t="0" r="44450" b="23495"/>
                <wp:wrapNone/>
                <wp:docPr id="55" name="Chevron 34"/>
                <wp:cNvGraphicFramePr/>
                <a:graphic xmlns:a="http://schemas.openxmlformats.org/drawingml/2006/main">
                  <a:graphicData uri="http://schemas.microsoft.com/office/word/2010/wordprocessingShape">
                    <wps:wsp>
                      <wps:cNvSpPr/>
                      <wps:spPr bwMode="auto">
                        <a:xfrm>
                          <a:off x="0" y="0"/>
                          <a:ext cx="2622550" cy="1671955"/>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34" o:spid="_x0000_s1026" type="#_x0000_t55" style="position:absolute;margin-left:-34.4pt;margin-top:9.2pt;width:206.5pt;height:131.65pt;z-index:25177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" adj="14715" fillcolor="#fbfbf8 [670]" strokecolor="#4f81bd [3204]">
                <v:stroke joinstyle="round"/>
              </v:shape>
            </w:pict>
          </mc:Fallback>
        </mc:AlternateContent>
      </w:r>
      <w:r w:rsidRPr="00113240">
        <w:rPr>
          <w:noProof/>
          <w:lang w:eastAsia="en-GB"/>
        </w:rPr>
        <mc:AlternateContent>
          <mc:Choice Requires="wps">
            <w:drawing>
              <wp:anchor distT="0" distB="0" distL="114300" distR="114300" simplePos="0" relativeHeight="251774464" behindDoc="0" locked="0" layoutInCell="1" allowOverlap="1" wp14:anchorId="7D1976D9" wp14:editId="54F14ECE">
                <wp:simplePos x="0" y="0"/>
                <wp:positionH relativeFrom="column">
                  <wp:posOffset>1437093</wp:posOffset>
                </wp:positionH>
                <wp:positionV relativeFrom="paragraph">
                  <wp:posOffset>117401</wp:posOffset>
                </wp:positionV>
                <wp:extent cx="4449171" cy="1672194"/>
                <wp:effectExtent l="19050" t="0" r="46990" b="23495"/>
                <wp:wrapNone/>
                <wp:docPr id="53" name="Chevron 36"/>
                <wp:cNvGraphicFramePr/>
                <a:graphic xmlns:a="http://schemas.openxmlformats.org/drawingml/2006/main">
                  <a:graphicData uri="http://schemas.microsoft.com/office/word/2010/wordprocessingShape">
                    <wps:wsp>
                      <wps:cNvSpPr/>
                      <wps:spPr bwMode="auto">
                        <a:xfrm>
                          <a:off x="0" y="0"/>
                          <a:ext cx="4449171" cy="1672194"/>
                        </a:xfrm>
                        <a:prstGeom prst="chevron">
                          <a:avLst/>
                        </a:prstGeom>
                        <a:solidFill>
                          <a:schemeClr val="bg2">
                            <a:lumMod val="20000"/>
                            <a:lumOff val="80000"/>
                          </a:schemeClr>
                        </a:solidFill>
                        <a:ln w="9525" cap="flat" cmpd="sng" algn="ctr">
                          <a:solidFill>
                            <a:schemeClr val="accent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Chevron 36" o:spid="_x0000_s1026" type="#_x0000_t55" style="position:absolute;margin-left:113.15pt;margin-top:9.25pt;width:350.35pt;height:131.65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" adj="17541" fillcolor="#fbfbf8 [670]" strokecolor="#4f81bd [3204]">
                <v:stroke joinstyle="round"/>
              </v:shape>
            </w:pict>
          </mc:Fallback>
        </mc:AlternateContent>
      </w:r>
    </w:p>
    <w:p w:rsidR="00AE18B8" w:rsidRDefault="001474A5">
      <w:pPr>
        <w:spacing w:before="0"/>
        <w:ind w:left="0" w:right="0"/>
        <w:rPr>
          <w:b/>
        </w:rPr>
      </w:pPr>
      <w:r w:rsidRPr="00113240">
        <w:rPr>
          <w:noProof/>
          <w:lang w:eastAsia="en-GB"/>
        </w:rPr>
        <mc:AlternateContent>
          <mc:Choice Requires="wps">
            <w:drawing>
              <wp:anchor distT="0" distB="0" distL="114300" distR="114300" simplePos="0" relativeHeight="251785728" behindDoc="0" locked="0" layoutInCell="1" allowOverlap="1" wp14:anchorId="486904EF" wp14:editId="7FEF2554">
                <wp:simplePos x="0" y="0"/>
                <wp:positionH relativeFrom="column">
                  <wp:posOffset>6205855</wp:posOffset>
                </wp:positionH>
                <wp:positionV relativeFrom="paragraph">
                  <wp:posOffset>1060288</wp:posOffset>
                </wp:positionV>
                <wp:extent cx="107950" cy="107950"/>
                <wp:effectExtent l="0" t="0" r="25400" b="25400"/>
                <wp:wrapNone/>
                <wp:docPr id="89" name="Oval 52"/>
                <wp:cNvGraphicFramePr/>
                <a:graphic xmlns:a="http://schemas.openxmlformats.org/drawingml/2006/main">
                  <a:graphicData uri="http://schemas.microsoft.com/office/word/2010/wordprocessingShape">
                    <wps:wsp>
                      <wps:cNvSpPr/>
                      <wps:spPr bwMode="auto">
                        <a:xfrm>
                          <a:off x="0" y="0"/>
                          <a:ext cx="107950" cy="107950"/>
                        </a:xfrm>
                        <a:prstGeom prst="ellipse">
                          <a:avLst/>
                        </a:prstGeom>
                        <a:solidFill>
                          <a:schemeClr val="bg1"/>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52" o:spid="_x0000_s1026" style="position:absolute;margin-left:488.65pt;margin-top:83.5pt;width:8.5pt;height:8.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" fillcolor="white [3212]"/>
            </w:pict>
          </mc:Fallback>
        </mc:AlternateContent>
      </w:r>
      <w:r w:rsidR="00D9372D" w:rsidRPr="00113240">
        <w:rPr>
          <w:noProof/>
          <w:lang w:eastAsia="en-GB"/>
        </w:rPr>
        <mc:AlternateContent>
          <mc:Choice Requires="wps">
            <w:drawing>
              <wp:anchor distT="0" distB="0" distL="114300" distR="114300" simplePos="0" relativeHeight="251792896" behindDoc="0" locked="0" layoutInCell="1" allowOverlap="1" wp14:anchorId="147805EC" wp14:editId="5B87F2B1">
                <wp:simplePos x="0" y="0"/>
                <wp:positionH relativeFrom="column">
                  <wp:posOffset>3097530</wp:posOffset>
                </wp:positionH>
                <wp:positionV relativeFrom="paragraph">
                  <wp:posOffset>1436370</wp:posOffset>
                </wp:positionV>
                <wp:extent cx="143510" cy="143510"/>
                <wp:effectExtent l="0" t="0" r="27940" b="27940"/>
                <wp:wrapNone/>
                <wp:docPr id="106" name="Oval 30"/>
                <wp:cNvGraphicFramePr/>
                <a:graphic xmlns:a="http://schemas.openxmlformats.org/drawingml/2006/main">
                  <a:graphicData uri="http://schemas.microsoft.com/office/word/2010/wordprocessingShape">
                    <wps:wsp>
                      <wps:cNvSpPr/>
                      <wps:spPr bwMode="auto">
                        <a:xfrm>
                          <a:off x="0" y="0"/>
                          <a:ext cx="143510" cy="143510"/>
                        </a:xfrm>
                        <a:prstGeom prst="ellipse">
                          <a:avLst/>
                        </a:prstGeom>
                        <a:solidFill>
                          <a:srgbClr val="FF0000"/>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oval id="Oval 30" o:spid="_x0000_s1026" style="position:absolute;margin-left:243.9pt;margin-top:113.1pt;width:11.3pt;height:11.3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" fillcolor="red" strokecolor="black [3213]"/>
            </w:pict>
          </mc:Fallback>
        </mc:AlternateContent>
      </w:r>
      <w:r w:rsidR="00AE18B8">
        <w:br w:type="page"/>
      </w:r>
    </w:p>
    <w:p w:rsidR="00091848" w:rsidRDefault="008F7250">
      <w:pPr>
        <w:pStyle w:val="Heading2"/>
        <w:numPr>
          <w:ilvl w:val="1"/>
          <w:numId w:val="4"/>
        </w:numPr>
        <w:tabs>
          <w:tab w:val="num" w:pos="780"/>
        </w:tabs>
        <w:spacing w:before="300" w:after="60"/>
        <w:ind w:left="780" w:right="0" w:hanging="720"/>
      </w:pPr>
      <w:bookmarkStart w:id="48" w:name="_Toc340670961"/>
      <w:r>
        <w:lastRenderedPageBreak/>
        <w:t>Detailed standards landscape</w:t>
      </w:r>
      <w:bookmarkEnd w:id="48"/>
    </w:p>
    <w:p w:rsidR="008F7250" w:rsidRPr="00E17202" w:rsidRDefault="008F7250" w:rsidP="003F4E5E">
      <w:pPr>
        <w:ind w:left="142"/>
      </w:pPr>
    </w:p>
    <w:tbl>
      <w:tblPr>
        <w:tblW w:w="12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780"/>
        <w:gridCol w:w="3780"/>
        <w:gridCol w:w="3780"/>
      </w:tblGrid>
      <w:tr w:rsidR="008F7250" w:rsidRPr="00555624" w:rsidTr="003F4E5E">
        <w:trPr>
          <w:cantSplit/>
          <w:tblHeader/>
        </w:trPr>
        <w:tc>
          <w:tcPr>
            <w:tcW w:w="1276" w:type="dxa"/>
          </w:tcPr>
          <w:p w:rsidR="008F7250" w:rsidRPr="00555624" w:rsidRDefault="008F7250" w:rsidP="003F4E5E">
            <w:pPr>
              <w:ind w:left="0" w:right="33"/>
              <w:rPr>
                <w:b/>
              </w:rPr>
            </w:pPr>
            <w:r>
              <w:rPr>
                <w:b/>
              </w:rPr>
              <w:t>Process Area</w:t>
            </w:r>
          </w:p>
        </w:tc>
        <w:tc>
          <w:tcPr>
            <w:tcW w:w="3780" w:type="dxa"/>
          </w:tcPr>
          <w:p w:rsidR="008F7250" w:rsidRPr="00BF737F" w:rsidRDefault="008F7250" w:rsidP="003F4E5E">
            <w:pPr>
              <w:ind w:left="0" w:right="0"/>
              <w:rPr>
                <w:b/>
              </w:rPr>
            </w:pPr>
            <w:r w:rsidRPr="00BF737F">
              <w:rPr>
                <w:b/>
              </w:rPr>
              <w:t>Availability of MT, ISO 15022 and ISO 20022</w:t>
            </w:r>
          </w:p>
        </w:tc>
        <w:tc>
          <w:tcPr>
            <w:tcW w:w="3780" w:type="dxa"/>
          </w:tcPr>
          <w:p w:rsidR="008F7250" w:rsidRPr="00BF737F" w:rsidRDefault="008F7250" w:rsidP="003F4E5E">
            <w:pPr>
              <w:ind w:left="0" w:right="0"/>
              <w:rPr>
                <w:b/>
              </w:rPr>
            </w:pPr>
            <w:r w:rsidRPr="00BF737F">
              <w:rPr>
                <w:b/>
              </w:rPr>
              <w:t>Availability of other standards</w:t>
            </w:r>
          </w:p>
        </w:tc>
        <w:tc>
          <w:tcPr>
            <w:tcW w:w="3780" w:type="dxa"/>
          </w:tcPr>
          <w:p w:rsidR="008F7250" w:rsidRPr="00BF737F" w:rsidRDefault="008F7250" w:rsidP="003F4E5E">
            <w:pPr>
              <w:ind w:left="0" w:right="0"/>
              <w:rPr>
                <w:b/>
              </w:rPr>
            </w:pPr>
            <w:proofErr w:type="spellStart"/>
            <w:r w:rsidRPr="00BF737F">
              <w:rPr>
                <w:b/>
              </w:rPr>
              <w:t>Ongoing</w:t>
            </w:r>
            <w:proofErr w:type="spellEnd"/>
            <w:r w:rsidRPr="00BF737F">
              <w:rPr>
                <w:b/>
              </w:rPr>
              <w:t xml:space="preserve"> &amp; planned activities Opportunities</w:t>
            </w:r>
          </w:p>
        </w:tc>
      </w:tr>
      <w:tr w:rsidR="008F7250" w:rsidRPr="001D5EB7" w:rsidTr="003F4E5E">
        <w:trPr>
          <w:cantSplit/>
        </w:trPr>
        <w:tc>
          <w:tcPr>
            <w:tcW w:w="1276" w:type="dxa"/>
          </w:tcPr>
          <w:p w:rsidR="008F7250" w:rsidRPr="00555624" w:rsidRDefault="008F7250" w:rsidP="003F4E5E">
            <w:pPr>
              <w:ind w:left="0" w:right="33"/>
              <w:rPr>
                <w:b/>
              </w:rPr>
            </w:pPr>
            <w:r w:rsidRPr="00555624">
              <w:rPr>
                <w:b/>
              </w:rPr>
              <w:t>Pre-trade</w:t>
            </w:r>
          </w:p>
        </w:tc>
        <w:tc>
          <w:tcPr>
            <w:tcW w:w="3780" w:type="dxa"/>
          </w:tcPr>
          <w:p w:rsidR="008F7250" w:rsidRPr="00BF737F" w:rsidRDefault="008F7250" w:rsidP="003F4E5E">
            <w:pPr>
              <w:ind w:left="0" w:right="0"/>
            </w:pPr>
            <w:r w:rsidRPr="00BF737F">
              <w:t xml:space="preserve">None </w:t>
            </w:r>
          </w:p>
          <w:p w:rsidR="008F7250" w:rsidRPr="00BF737F" w:rsidRDefault="008F7250" w:rsidP="007A6272">
            <w:pPr>
              <w:ind w:left="0" w:right="0"/>
            </w:pPr>
            <w:proofErr w:type="spellStart"/>
            <w:r w:rsidRPr="00BF737F">
              <w:t>FpML</w:t>
            </w:r>
            <w:proofErr w:type="spellEnd"/>
            <w:r w:rsidR="007A6272">
              <w:t xml:space="preserve"> committed</w:t>
            </w:r>
            <w:r w:rsidRPr="00BF737F">
              <w:t xml:space="preserve"> to map to ISO 20022</w:t>
            </w:r>
            <w:r w:rsidR="007A6272">
              <w:t xml:space="preserve"> but without clear timeline.</w:t>
            </w:r>
          </w:p>
        </w:tc>
        <w:tc>
          <w:tcPr>
            <w:tcW w:w="3780" w:type="dxa"/>
          </w:tcPr>
          <w:p w:rsidR="008C3F3A" w:rsidRPr="00BF737F" w:rsidRDefault="008F7250" w:rsidP="003F4E5E">
            <w:pPr>
              <w:ind w:left="0" w:right="0"/>
            </w:pPr>
            <w:proofErr w:type="spellStart"/>
            <w:r w:rsidRPr="00BF737F">
              <w:t>FpML</w:t>
            </w:r>
            <w:proofErr w:type="spellEnd"/>
            <w:r w:rsidRPr="00BF737F">
              <w:t xml:space="preserve"> has limited coverage of the quoting process. </w:t>
            </w:r>
          </w:p>
        </w:tc>
        <w:tc>
          <w:tcPr>
            <w:tcW w:w="3780" w:type="dxa"/>
          </w:tcPr>
          <w:p w:rsidR="008F7250" w:rsidRPr="00BF737F" w:rsidRDefault="008F7250" w:rsidP="003F4E5E">
            <w:pPr>
              <w:ind w:left="0" w:right="0"/>
            </w:pPr>
            <w:r w:rsidRPr="00BF737F">
              <w:t xml:space="preserve">The pre-trade process is currently not supported very well by any one of the commonly known standards in the industry and remains a highly manual process. </w:t>
            </w:r>
          </w:p>
          <w:p w:rsidR="008F7250" w:rsidRPr="00BF737F" w:rsidRDefault="008F7250" w:rsidP="003F4E5E">
            <w:pPr>
              <w:ind w:left="0" w:right="0"/>
            </w:pPr>
            <w:proofErr w:type="spellStart"/>
            <w:r w:rsidRPr="00BF737F">
              <w:t>FpML</w:t>
            </w:r>
            <w:proofErr w:type="spellEnd"/>
            <w:r w:rsidRPr="00BF737F">
              <w:t xml:space="preserve"> and FPL are currently working on expanding usage of </w:t>
            </w:r>
            <w:proofErr w:type="spellStart"/>
            <w:r w:rsidRPr="00BF737F">
              <w:t>FpML</w:t>
            </w:r>
            <w:proofErr w:type="spellEnd"/>
            <w:r w:rsidRPr="00BF737F">
              <w:t xml:space="preserve"> within a FIX message for pre-trade activity. </w:t>
            </w:r>
          </w:p>
        </w:tc>
      </w:tr>
      <w:tr w:rsidR="008F7250" w:rsidRPr="001D5EB7" w:rsidTr="003F4E5E">
        <w:trPr>
          <w:cantSplit/>
        </w:trPr>
        <w:tc>
          <w:tcPr>
            <w:tcW w:w="1276" w:type="dxa"/>
          </w:tcPr>
          <w:p w:rsidR="008F7250" w:rsidRPr="00555624" w:rsidRDefault="008F7250" w:rsidP="003F4E5E">
            <w:pPr>
              <w:ind w:left="0" w:right="33"/>
              <w:rPr>
                <w:b/>
              </w:rPr>
            </w:pPr>
            <w:r w:rsidRPr="00555624">
              <w:rPr>
                <w:b/>
              </w:rPr>
              <w:t>Trade</w:t>
            </w:r>
          </w:p>
        </w:tc>
        <w:tc>
          <w:tcPr>
            <w:tcW w:w="3780" w:type="dxa"/>
          </w:tcPr>
          <w:p w:rsidR="008F7250" w:rsidRPr="00BF737F" w:rsidRDefault="008F7250" w:rsidP="003F4E5E">
            <w:pPr>
              <w:ind w:left="0" w:right="0"/>
            </w:pPr>
            <w:r w:rsidRPr="00BF737F">
              <w:t xml:space="preserve">Current ISO coverage within the trade segment for OTC derivatives is limited and waning, as value added service providers are looking to use the </w:t>
            </w:r>
            <w:proofErr w:type="spellStart"/>
            <w:r w:rsidRPr="00BF737F">
              <w:t>FpML</w:t>
            </w:r>
            <w:proofErr w:type="spellEnd"/>
            <w:r w:rsidRPr="00BF737F">
              <w:t xml:space="preserve"> standard and in some cases moving to a proprietary method of communication in line with dealing systems.</w:t>
            </w:r>
          </w:p>
          <w:p w:rsidR="008F7250" w:rsidRPr="00BF737F" w:rsidRDefault="008F7250" w:rsidP="003F4E5E">
            <w:pPr>
              <w:ind w:left="0" w:right="0"/>
            </w:pPr>
            <w:proofErr w:type="spellStart"/>
            <w:r w:rsidRPr="00BF737F">
              <w:t>FpML</w:t>
            </w:r>
            <w:proofErr w:type="spellEnd"/>
            <w:r w:rsidRPr="00BF737F">
              <w:t xml:space="preserve"> and FIX to map to ISO 20022</w:t>
            </w:r>
          </w:p>
        </w:tc>
        <w:tc>
          <w:tcPr>
            <w:tcW w:w="3780" w:type="dxa"/>
          </w:tcPr>
          <w:p w:rsidR="008F7250" w:rsidRPr="00BF737F" w:rsidRDefault="008F7250" w:rsidP="003F4E5E">
            <w:pPr>
              <w:ind w:left="0" w:right="0"/>
            </w:pPr>
            <w:proofErr w:type="spellStart"/>
            <w:r w:rsidRPr="00BF737F">
              <w:t>FpML</w:t>
            </w:r>
            <w:proofErr w:type="spellEnd"/>
            <w:r w:rsidRPr="00BF737F">
              <w:t xml:space="preserve"> has limited coverage in the trade segment, but as of recent months has been working with FPL to incorporate </w:t>
            </w:r>
            <w:proofErr w:type="spellStart"/>
            <w:r w:rsidRPr="00BF737F">
              <w:t>FpML</w:t>
            </w:r>
            <w:proofErr w:type="spellEnd"/>
            <w:r w:rsidRPr="00BF737F">
              <w:t xml:space="preserve"> extensions into the FIX trade messages. FIX are gaining additional footing in the trade area for OTC derivatives. </w:t>
            </w:r>
          </w:p>
        </w:tc>
        <w:tc>
          <w:tcPr>
            <w:tcW w:w="3780" w:type="dxa"/>
          </w:tcPr>
          <w:p w:rsidR="008F7250" w:rsidRPr="00BF737F" w:rsidRDefault="008F7250" w:rsidP="003F4E5E">
            <w:pPr>
              <w:ind w:left="0" w:right="0"/>
            </w:pPr>
            <w:r w:rsidRPr="00BF737F">
              <w:t>The trade segment for OTC derivatives is effectively split across multiple standards and proprietary methods of communication.</w:t>
            </w:r>
          </w:p>
          <w:p w:rsidR="008F7250" w:rsidRPr="00BF737F" w:rsidRDefault="008F7250" w:rsidP="003F4E5E">
            <w:pPr>
              <w:ind w:left="0" w:right="0"/>
            </w:pPr>
            <w:r w:rsidRPr="00BF737F">
              <w:t xml:space="preserve">Opportunities exist for modelling the OTC trade business in ISO 20022 models. </w:t>
            </w:r>
            <w:proofErr w:type="spellStart"/>
            <w:r w:rsidRPr="00BF737F">
              <w:t>FpML</w:t>
            </w:r>
            <w:proofErr w:type="spellEnd"/>
            <w:r w:rsidRPr="00BF737F">
              <w:t xml:space="preserve"> with whom such work would have to be done is not very pro-active in starting the process. Might change with the regulation framework change.</w:t>
            </w:r>
          </w:p>
        </w:tc>
      </w:tr>
      <w:tr w:rsidR="008F7250" w:rsidRPr="001D5EB7" w:rsidTr="003F4E5E">
        <w:trPr>
          <w:cantSplit/>
        </w:trPr>
        <w:tc>
          <w:tcPr>
            <w:tcW w:w="1276" w:type="dxa"/>
          </w:tcPr>
          <w:p w:rsidR="008F7250" w:rsidRPr="00555624" w:rsidRDefault="008F7250" w:rsidP="003F4E5E">
            <w:pPr>
              <w:ind w:left="0" w:right="33"/>
              <w:rPr>
                <w:b/>
              </w:rPr>
            </w:pPr>
            <w:r w:rsidRPr="00555624">
              <w:rPr>
                <w:b/>
              </w:rPr>
              <w:t>Post-trade</w:t>
            </w:r>
          </w:p>
        </w:tc>
        <w:tc>
          <w:tcPr>
            <w:tcW w:w="3780" w:type="dxa"/>
          </w:tcPr>
          <w:p w:rsidR="008F7250" w:rsidRPr="00BF737F" w:rsidRDefault="008F7250" w:rsidP="003F4E5E">
            <w:pPr>
              <w:ind w:left="0" w:right="0"/>
            </w:pPr>
            <w:r w:rsidRPr="00BF737F">
              <w:t>There are SWIFT standards in this area but the support for the various and continuously growing number of derivatives products is limited.</w:t>
            </w:r>
          </w:p>
        </w:tc>
        <w:tc>
          <w:tcPr>
            <w:tcW w:w="3780" w:type="dxa"/>
          </w:tcPr>
          <w:p w:rsidR="008F7250" w:rsidRPr="00BF737F" w:rsidRDefault="008F7250" w:rsidP="003F4E5E">
            <w:pPr>
              <w:ind w:left="0" w:right="0"/>
            </w:pPr>
            <w:r w:rsidRPr="00BF737F">
              <w:t xml:space="preserve">The post-trade segment for OTC derivatives is dominated by </w:t>
            </w:r>
            <w:proofErr w:type="spellStart"/>
            <w:r w:rsidRPr="00BF737F">
              <w:t>FpML</w:t>
            </w:r>
            <w:proofErr w:type="spellEnd"/>
            <w:r w:rsidRPr="00BF737F">
              <w:t xml:space="preserve">. </w:t>
            </w:r>
          </w:p>
        </w:tc>
        <w:tc>
          <w:tcPr>
            <w:tcW w:w="3780" w:type="dxa"/>
          </w:tcPr>
          <w:p w:rsidR="008F7250" w:rsidRPr="00BF737F" w:rsidRDefault="008F7250" w:rsidP="003F4E5E">
            <w:pPr>
              <w:ind w:left="0" w:right="0"/>
            </w:pPr>
            <w:r w:rsidRPr="00BF737F">
              <w:t xml:space="preserve">Opportunities exist for modelling the OTC trade business in ISO 20022 models. </w:t>
            </w:r>
            <w:proofErr w:type="spellStart"/>
            <w:r w:rsidRPr="00BF737F">
              <w:t>FpML</w:t>
            </w:r>
            <w:proofErr w:type="spellEnd"/>
            <w:r w:rsidRPr="00BF737F">
              <w:t xml:space="preserve"> with whom such work would have to be done is not very pro-active in starting the process. Might change with the regulation framework change.</w:t>
            </w:r>
          </w:p>
        </w:tc>
      </w:tr>
      <w:tr w:rsidR="008F7250" w:rsidRPr="001D5EB7" w:rsidTr="003F4E5E">
        <w:trPr>
          <w:cantSplit/>
        </w:trPr>
        <w:tc>
          <w:tcPr>
            <w:tcW w:w="1276" w:type="dxa"/>
          </w:tcPr>
          <w:p w:rsidR="008F7250" w:rsidRPr="00555624" w:rsidRDefault="008F7250" w:rsidP="003F4E5E">
            <w:pPr>
              <w:ind w:left="0" w:right="33"/>
              <w:rPr>
                <w:b/>
              </w:rPr>
            </w:pPr>
            <w:r w:rsidRPr="00555624">
              <w:rPr>
                <w:b/>
              </w:rPr>
              <w:lastRenderedPageBreak/>
              <w:t>Clearing / Pre-settlement</w:t>
            </w:r>
          </w:p>
        </w:tc>
        <w:tc>
          <w:tcPr>
            <w:tcW w:w="3780" w:type="dxa"/>
          </w:tcPr>
          <w:p w:rsidR="008F7250" w:rsidRPr="00BF737F" w:rsidRDefault="008F7250" w:rsidP="003F4E5E">
            <w:pPr>
              <w:ind w:left="0" w:right="0"/>
            </w:pPr>
            <w:r w:rsidRPr="00BF737F">
              <w:t xml:space="preserve">The ISO 20022 standard provides regulatory reporting support via a series of messages designed for </w:t>
            </w:r>
            <w:proofErr w:type="spellStart"/>
            <w:r w:rsidRPr="00BF737F">
              <w:t>MiFID</w:t>
            </w:r>
            <w:proofErr w:type="spellEnd"/>
            <w:r w:rsidRPr="00BF737F">
              <w:t>, but may require updates to further support the full range of derivatives products.</w:t>
            </w:r>
          </w:p>
          <w:p w:rsidR="008F7250" w:rsidRPr="00BF737F" w:rsidRDefault="008F7250" w:rsidP="008C3F3A">
            <w:pPr>
              <w:ind w:left="0" w:right="0"/>
            </w:pPr>
            <w:r w:rsidRPr="00BF737F">
              <w:t xml:space="preserve">ISO 20022 collateral management messages covering all exposure and instrument types (including OTC derivatives) </w:t>
            </w:r>
            <w:r w:rsidR="008C3F3A">
              <w:t>are available</w:t>
            </w:r>
            <w:r w:rsidRPr="00BF737F">
              <w:t>.</w:t>
            </w:r>
          </w:p>
        </w:tc>
        <w:tc>
          <w:tcPr>
            <w:tcW w:w="3780" w:type="dxa"/>
          </w:tcPr>
          <w:p w:rsidR="008F7250" w:rsidRDefault="008F7250" w:rsidP="003F4E5E">
            <w:pPr>
              <w:ind w:left="0" w:right="0"/>
            </w:pPr>
            <w:proofErr w:type="spellStart"/>
            <w:r w:rsidRPr="00BF737F">
              <w:t>FpML</w:t>
            </w:r>
            <w:proofErr w:type="spellEnd"/>
            <w:r w:rsidRPr="00BF737F">
              <w:t xml:space="preserve"> has fairly sizeable coverage for clearing of OTC derivatives, risk management and regulatory reporting.</w:t>
            </w:r>
          </w:p>
          <w:p w:rsidR="008C3F3A" w:rsidRPr="00BF737F" w:rsidRDefault="008C3F3A" w:rsidP="003F4E5E">
            <w:pPr>
              <w:ind w:left="0" w:right="0"/>
            </w:pPr>
            <w:r>
              <w:t>FIX is positioning itself in the trade reporting and clearing space for OTC derivatives.</w:t>
            </w:r>
          </w:p>
          <w:p w:rsidR="008F7250" w:rsidRPr="00BF737F" w:rsidRDefault="008F7250" w:rsidP="008C3F3A">
            <w:pPr>
              <w:ind w:left="0" w:right="0"/>
            </w:pPr>
            <w:proofErr w:type="spellStart"/>
            <w:r w:rsidRPr="00BF737F">
              <w:t>FpML</w:t>
            </w:r>
            <w:proofErr w:type="spellEnd"/>
            <w:r w:rsidRPr="00BF737F">
              <w:t xml:space="preserve"> has developed collateral message with</w:t>
            </w:r>
            <w:r w:rsidR="008C3F3A">
              <w:t xml:space="preserve"> a more restricted</w:t>
            </w:r>
            <w:r w:rsidR="008C3F3A" w:rsidRPr="00BF737F">
              <w:t xml:space="preserve"> </w:t>
            </w:r>
            <w:r w:rsidRPr="00BF737F">
              <w:t xml:space="preserve">scope than the ISO 20022 messages. The ISO 20022 business justification was a co-submission by FPL, </w:t>
            </w:r>
            <w:proofErr w:type="spellStart"/>
            <w:r w:rsidRPr="00BF737F">
              <w:t>FpML</w:t>
            </w:r>
            <w:proofErr w:type="spellEnd"/>
            <w:r w:rsidRPr="00BF737F">
              <w:t xml:space="preserve"> and SWIFT with the support of ISITC. </w:t>
            </w:r>
          </w:p>
        </w:tc>
        <w:tc>
          <w:tcPr>
            <w:tcW w:w="3780" w:type="dxa"/>
          </w:tcPr>
          <w:p w:rsidR="008F7250" w:rsidRPr="00BF737F" w:rsidRDefault="008F7250" w:rsidP="003F4E5E">
            <w:pPr>
              <w:ind w:left="0" w:right="0"/>
            </w:pPr>
            <w:r w:rsidRPr="00BF737F">
              <w:t xml:space="preserve">Opportunities exist for modelling the OTC trade business in ISO 20022 models. </w:t>
            </w:r>
            <w:proofErr w:type="spellStart"/>
            <w:r w:rsidRPr="00BF737F">
              <w:t>FpML</w:t>
            </w:r>
            <w:proofErr w:type="spellEnd"/>
            <w:r w:rsidRPr="00BF737F">
              <w:t xml:space="preserve"> with whom such work would have to be done is not very pro-active in starting the process. Might change with the regulation framework change.</w:t>
            </w:r>
          </w:p>
          <w:p w:rsidR="008F7250" w:rsidRPr="00BF737F" w:rsidRDefault="008F7250" w:rsidP="003F4E5E">
            <w:pPr>
              <w:ind w:left="0" w:right="0"/>
            </w:pPr>
            <w:r w:rsidRPr="00BF737F">
              <w:t>ISO 20022 candidate clearing messages, currently covering equity and fixed income might be expanded to also cover OTC considering the push from the regulators to clear most OTC trades.</w:t>
            </w:r>
            <w:r w:rsidR="0028635D">
              <w:t xml:space="preserve"> This is currently on hold.</w:t>
            </w:r>
          </w:p>
        </w:tc>
      </w:tr>
      <w:tr w:rsidR="008F7250" w:rsidRPr="001D5EB7" w:rsidTr="003F4E5E">
        <w:trPr>
          <w:cantSplit/>
        </w:trPr>
        <w:tc>
          <w:tcPr>
            <w:tcW w:w="1276" w:type="dxa"/>
          </w:tcPr>
          <w:p w:rsidR="008F7250" w:rsidRPr="00555624" w:rsidRDefault="008F7250" w:rsidP="003F4E5E">
            <w:pPr>
              <w:ind w:left="0" w:right="33"/>
              <w:rPr>
                <w:b/>
              </w:rPr>
            </w:pPr>
            <w:r w:rsidRPr="00555624">
              <w:rPr>
                <w:b/>
              </w:rPr>
              <w:t>Settlement</w:t>
            </w:r>
          </w:p>
        </w:tc>
        <w:tc>
          <w:tcPr>
            <w:tcW w:w="3780" w:type="dxa"/>
          </w:tcPr>
          <w:p w:rsidR="008F7250" w:rsidRPr="00BF737F" w:rsidRDefault="008F7250" w:rsidP="003F4E5E">
            <w:pPr>
              <w:ind w:left="0" w:right="0"/>
            </w:pPr>
            <w:r w:rsidRPr="00BF737F">
              <w:t>Please refer to payments.</w:t>
            </w:r>
          </w:p>
          <w:p w:rsidR="008F7250" w:rsidRPr="00BF737F" w:rsidRDefault="008F7250" w:rsidP="003F4E5E">
            <w:pPr>
              <w:ind w:left="0" w:right="0"/>
            </w:pPr>
            <w:r w:rsidRPr="00BF737F">
              <w:t>Part of OTC derivatives position reconciliation (and potentially regulatory position reporting) is covered by the ISO 20022 position reports.</w:t>
            </w:r>
          </w:p>
        </w:tc>
        <w:tc>
          <w:tcPr>
            <w:tcW w:w="3780" w:type="dxa"/>
          </w:tcPr>
          <w:p w:rsidR="008F7250" w:rsidRPr="00BF737F" w:rsidRDefault="008F7250" w:rsidP="003F4E5E">
            <w:pPr>
              <w:ind w:left="0" w:right="0"/>
            </w:pPr>
            <w:r w:rsidRPr="00BF737F">
              <w:t>Please refer to payments.</w:t>
            </w:r>
          </w:p>
        </w:tc>
        <w:tc>
          <w:tcPr>
            <w:tcW w:w="3780" w:type="dxa"/>
          </w:tcPr>
          <w:p w:rsidR="008F7250" w:rsidRPr="00BF737F" w:rsidRDefault="008F7250" w:rsidP="003F4E5E">
            <w:pPr>
              <w:ind w:left="0" w:right="0"/>
            </w:pPr>
            <w:r w:rsidRPr="00BF737F">
              <w:t>Current transaction reporting and reconciliations coverage within the ISO standards should be extended to better support OTC derivatives.</w:t>
            </w:r>
          </w:p>
        </w:tc>
      </w:tr>
    </w:tbl>
    <w:p w:rsidR="008F7250" w:rsidRDefault="008F7250" w:rsidP="003F4E5E">
      <w:pPr>
        <w:spacing w:before="0"/>
        <w:ind w:left="0" w:right="0"/>
        <w:rPr>
          <w:b/>
        </w:rPr>
      </w:pPr>
      <w:r>
        <w:br w:type="page"/>
      </w:r>
    </w:p>
    <w:p w:rsidR="00091848" w:rsidRDefault="008F7250">
      <w:pPr>
        <w:pStyle w:val="Heading2"/>
        <w:numPr>
          <w:ilvl w:val="1"/>
          <w:numId w:val="4"/>
        </w:numPr>
        <w:tabs>
          <w:tab w:val="num" w:pos="780"/>
        </w:tabs>
        <w:spacing w:before="300" w:after="60"/>
        <w:ind w:left="780" w:right="0" w:hanging="720"/>
      </w:pPr>
      <w:bookmarkStart w:id="49" w:name="_Toc340670962"/>
      <w:r>
        <w:lastRenderedPageBreak/>
        <w:t>Additional opportunities</w:t>
      </w:r>
      <w:bookmarkEnd w:id="49"/>
    </w:p>
    <w:p w:rsidR="008F7250" w:rsidRDefault="008F7250" w:rsidP="003F4E5E">
      <w:pPr>
        <w:ind w:left="142" w:right="60"/>
        <w:jc w:val="both"/>
      </w:pPr>
      <w:r w:rsidRPr="00E17202">
        <w:t>OTC derivatives are an open field of opportunity for the standards environment with many challenges at the same time. The OTC market is rapidly expanding with transactional volumes expected to show continued growth in the years to come.</w:t>
      </w:r>
    </w:p>
    <w:p w:rsidR="008F7250" w:rsidRPr="00E17202" w:rsidRDefault="008F7250" w:rsidP="003F4E5E">
      <w:pPr>
        <w:ind w:left="142" w:right="60"/>
        <w:jc w:val="both"/>
      </w:pPr>
      <w:r w:rsidRPr="00E17202">
        <w:t xml:space="preserve">One of the biggest challenges for any standards initiative within the OTC </w:t>
      </w:r>
      <w:r>
        <w:t>d</w:t>
      </w:r>
      <w:r w:rsidRPr="00E17202">
        <w:t>erivatives landscape will be an organisation</w:t>
      </w:r>
      <w:r>
        <w:t>’</w:t>
      </w:r>
      <w:r w:rsidRPr="00E17202">
        <w:t xml:space="preserve">s ability to quickly address and support new derivatives products and changes to the structure of current products. There have been cases where the timeline from creation of a new derivative product to the release of a messaging standard for a specific class of derivative has been as low as four (4) months. This will obviously create challenges for anyone attempting to standardise this business area, and thus far looks to be best achieved using the </w:t>
      </w:r>
      <w:proofErr w:type="spellStart"/>
      <w:r w:rsidRPr="00E17202">
        <w:t>FpML</w:t>
      </w:r>
      <w:proofErr w:type="spellEnd"/>
      <w:r w:rsidRPr="00E17202">
        <w:t xml:space="preserve"> syntax. </w:t>
      </w:r>
    </w:p>
    <w:p w:rsidR="008F7250" w:rsidRDefault="008F7250" w:rsidP="003F4E5E">
      <w:pPr>
        <w:ind w:left="142" w:right="60"/>
        <w:jc w:val="both"/>
      </w:pPr>
      <w:r w:rsidRPr="00E17202">
        <w:t xml:space="preserve">SWIFT </w:t>
      </w:r>
      <w:r>
        <w:t>S</w:t>
      </w:r>
      <w:r w:rsidRPr="00E17202">
        <w:t xml:space="preserve">tandards should look to continue to gain forward momentum on full ISO 20022 businesses modelling of the </w:t>
      </w:r>
      <w:proofErr w:type="spellStart"/>
      <w:r w:rsidRPr="00E17202">
        <w:t>FpML</w:t>
      </w:r>
      <w:proofErr w:type="spellEnd"/>
      <w:r w:rsidRPr="00E17202">
        <w:t xml:space="preserve"> covered derivatives and associated set of messages in support of all business transactions within the life of an OTC </w:t>
      </w:r>
      <w:r>
        <w:t>d</w:t>
      </w:r>
      <w:r w:rsidRPr="00E17202">
        <w:t>erivative.</w:t>
      </w:r>
    </w:p>
    <w:p w:rsidR="008F7250" w:rsidRDefault="008F7250" w:rsidP="007A6272">
      <w:pPr>
        <w:ind w:left="142" w:right="60"/>
        <w:jc w:val="both"/>
      </w:pPr>
      <w:r>
        <w:t>As for post-trade, SWIFT should also expand the coverage of clearing messages to standard OTC derivatives. CCPs and their clearing members will be interested in a solution</w:t>
      </w:r>
      <w:r w:rsidRPr="00E17202">
        <w:t xml:space="preserve"> </w:t>
      </w:r>
      <w:r>
        <w:t xml:space="preserve">that covers all the instruments they deal with, not a solution for equities and fixed income (based on ISO 20022 XML) and another for OTC derivatives based on </w:t>
      </w:r>
      <w:proofErr w:type="spellStart"/>
      <w:r>
        <w:t>FpML</w:t>
      </w:r>
      <w:proofErr w:type="spellEnd"/>
      <w:r>
        <w:t>.</w:t>
      </w:r>
      <w:r w:rsidR="007A6272">
        <w:t xml:space="preserve"> Especially considering that OTC derivatives now cleared could be considered as being listed. </w:t>
      </w:r>
      <w:r>
        <w:t xml:space="preserve">Need to engage CME, ICE, </w:t>
      </w:r>
      <w:proofErr w:type="gramStart"/>
      <w:r>
        <w:t>LCH</w:t>
      </w:r>
      <w:proofErr w:type="gramEnd"/>
      <w:r>
        <w:t>, all of whom have developed their own proprietary message</w:t>
      </w:r>
      <w:r w:rsidR="007A6272">
        <w:t>s.</w:t>
      </w:r>
      <w:r>
        <w:t xml:space="preserve"> </w:t>
      </w:r>
    </w:p>
    <w:p w:rsidR="008F7250" w:rsidRDefault="008F7250" w:rsidP="003F4E5E">
      <w:pPr>
        <w:ind w:left="142" w:right="60"/>
        <w:jc w:val="both"/>
      </w:pPr>
      <w:r>
        <w:t>Additional opportunities to automate the OTC operations between buy-side and custodian/fund administrator</w:t>
      </w:r>
    </w:p>
    <w:p w:rsidR="008F7250" w:rsidRDefault="008F7250" w:rsidP="003F4E5E">
      <w:pPr>
        <w:ind w:left="142" w:right="60"/>
        <w:jc w:val="both"/>
      </w:pPr>
      <w:proofErr w:type="spellStart"/>
      <w:r>
        <w:t>FpML’s</w:t>
      </w:r>
      <w:proofErr w:type="spellEnd"/>
      <w:r>
        <w:t xml:space="preserve"> involvement in the regulatory reporting space represents an opportunity to nudge </w:t>
      </w:r>
      <w:proofErr w:type="spellStart"/>
      <w:r>
        <w:t>FpML</w:t>
      </w:r>
      <w:proofErr w:type="spellEnd"/>
      <w:r>
        <w:t xml:space="preserve"> towards 20022 by ensuring that the </w:t>
      </w:r>
      <w:proofErr w:type="spellStart"/>
      <w:r>
        <w:t>FpML</w:t>
      </w:r>
      <w:proofErr w:type="spellEnd"/>
      <w:r>
        <w:t xml:space="preserve"> Reporting view is aligned with a 20022 model.</w:t>
      </w:r>
    </w:p>
    <w:p w:rsidR="004547A2" w:rsidRDefault="004547A2" w:rsidP="003F4E5E">
      <w:pPr>
        <w:ind w:left="142" w:right="60"/>
        <w:jc w:val="both"/>
      </w:pPr>
    </w:p>
    <w:p w:rsidR="00091848" w:rsidRDefault="008F7250">
      <w:pPr>
        <w:pStyle w:val="Heading2"/>
        <w:numPr>
          <w:ilvl w:val="1"/>
          <w:numId w:val="4"/>
        </w:numPr>
        <w:tabs>
          <w:tab w:val="num" w:pos="780"/>
        </w:tabs>
        <w:spacing w:before="300" w:after="60"/>
        <w:ind w:left="780" w:right="0" w:hanging="720"/>
      </w:pPr>
      <w:bookmarkStart w:id="50" w:name="_Toc340670963"/>
      <w:r>
        <w:t>Standards Coordination Group Investment Roadmap</w:t>
      </w:r>
      <w:bookmarkEnd w:id="50"/>
      <w:r w:rsidRPr="00D172EC">
        <w:t xml:space="preserve">  </w:t>
      </w:r>
    </w:p>
    <w:p w:rsidR="008F7250" w:rsidRPr="00D172EC" w:rsidRDefault="008F7250" w:rsidP="00D172EC">
      <w:pPr>
        <w:ind w:left="142"/>
        <w:rPr>
          <w:color w:val="000000"/>
        </w:rPr>
      </w:pPr>
      <w:r w:rsidRPr="00D172EC">
        <w:t xml:space="preserve">Another important source of information for the securities standards landscape is the Standards Coordination Group </w:t>
      </w:r>
      <w:hyperlink r:id="rId32" w:history="1">
        <w:r w:rsidRPr="00D172EC">
          <w:rPr>
            <w:rStyle w:val="Hyperlink"/>
          </w:rPr>
          <w:t>Investment Roadmap</w:t>
        </w:r>
      </w:hyperlink>
      <w:r w:rsidRPr="00D172EC">
        <w:rPr>
          <w:color w:val="000000"/>
        </w:rPr>
        <w:t xml:space="preserve">, </w:t>
      </w:r>
    </w:p>
    <w:p w:rsidR="008F7250" w:rsidRPr="00D172EC" w:rsidRDefault="008F7250" w:rsidP="00D172EC">
      <w:pPr>
        <w:ind w:left="142"/>
        <w:rPr>
          <w:color w:val="000000"/>
        </w:rPr>
      </w:pPr>
      <w:r w:rsidRPr="00D172EC">
        <w:rPr>
          <w:color w:val="000000"/>
        </w:rPr>
        <w:t xml:space="preserve">The Standards Coordination Group gathers standards organisations that have a history of industry collaboration in the creation and implementation of financial markets open standards. The group recommends through its </w:t>
      </w:r>
      <w:hyperlink r:id="rId33" w:history="1">
        <w:r w:rsidRPr="00D172EC">
          <w:rPr>
            <w:rStyle w:val="Hyperlink"/>
          </w:rPr>
          <w:t>Investment Roadmap</w:t>
        </w:r>
      </w:hyperlink>
      <w:r w:rsidRPr="00D172EC">
        <w:rPr>
          <w:color w:val="000000"/>
        </w:rPr>
        <w:t>, the emergence of one ISO 20022 business model providing standardized standardised processes, communication flows and terminology to the financial industry. The group recognises the need for multiple communication protocols under ISO 20022, based on specific industry technical needs. The Investment Roadmap therefore identifies the protocols best suited for each business area and instrument type and highlights the areas for collaboration.</w:t>
      </w:r>
    </w:p>
    <w:p w:rsidR="008F7250" w:rsidRPr="00D172EC" w:rsidRDefault="008F7250" w:rsidP="00D172EC">
      <w:pPr>
        <w:ind w:left="142"/>
        <w:rPr>
          <w:color w:val="000000"/>
        </w:rPr>
      </w:pPr>
      <w:r w:rsidRPr="00D172EC">
        <w:t xml:space="preserve">The Standards Coordination Group is </w:t>
      </w:r>
      <w:proofErr w:type="gramStart"/>
      <w:r w:rsidRPr="00D172EC">
        <w:t>a collaboration</w:t>
      </w:r>
      <w:proofErr w:type="gramEnd"/>
      <w:r w:rsidRPr="00D172EC">
        <w:t xml:space="preserve"> between FIX Protocol Ltd. (FPL</w:t>
      </w:r>
      <w:r w:rsidR="00994697">
        <w:t xml:space="preserve">), </w:t>
      </w:r>
      <w:r w:rsidRPr="00D172EC">
        <w:t xml:space="preserve">Financial Products </w:t>
      </w:r>
      <w:proofErr w:type="spellStart"/>
      <w:r w:rsidRPr="00D172EC">
        <w:t>Markup</w:t>
      </w:r>
      <w:proofErr w:type="spellEnd"/>
      <w:r w:rsidRPr="00D172EC">
        <w:t xml:space="preserve"> Language (</w:t>
      </w:r>
      <w:proofErr w:type="spellStart"/>
      <w:r w:rsidRPr="00D172EC">
        <w:t>FpML</w:t>
      </w:r>
      <w:proofErr w:type="spellEnd"/>
      <w:r w:rsidRPr="00D172EC">
        <w:t xml:space="preserve">), International Securities Association for Institutional Trade Communication (ISITC), SWIFT, </w:t>
      </w:r>
      <w:proofErr w:type="spellStart"/>
      <w:r w:rsidRPr="00D172EC">
        <w:t>eXtensible</w:t>
      </w:r>
      <w:proofErr w:type="spellEnd"/>
      <w:r w:rsidRPr="00D172EC">
        <w:t xml:space="preserve"> Business Reporting Language (XBRL US) and Financial Information Services Division of SIIA (FISD).</w:t>
      </w:r>
    </w:p>
    <w:p w:rsidR="008F7250" w:rsidRPr="00E17202" w:rsidRDefault="008F7250" w:rsidP="003F4E5E">
      <w:pPr>
        <w:ind w:left="142" w:right="60"/>
        <w:jc w:val="both"/>
      </w:pPr>
    </w:p>
    <w:p w:rsidR="008F7250" w:rsidRPr="00E17202" w:rsidRDefault="008F7250" w:rsidP="003F4E5E">
      <w:pPr>
        <w:pStyle w:val="Heading1"/>
        <w:tabs>
          <w:tab w:val="clear" w:pos="1152"/>
        </w:tabs>
        <w:ind w:left="360" w:firstLine="0"/>
      </w:pPr>
    </w:p>
    <w:p w:rsidR="00091848" w:rsidRDefault="008F7250">
      <w:pPr>
        <w:pStyle w:val="Heading1"/>
        <w:numPr>
          <w:ilvl w:val="0"/>
          <w:numId w:val="4"/>
        </w:numPr>
        <w:tabs>
          <w:tab w:val="num" w:pos="360"/>
        </w:tabs>
        <w:spacing w:before="300" w:after="60"/>
        <w:ind w:left="360" w:right="0" w:hanging="360"/>
      </w:pPr>
      <w:r>
        <w:br w:type="page"/>
      </w:r>
      <w:bookmarkStart w:id="51" w:name="_Toc340670964"/>
      <w:r w:rsidRPr="00E17202">
        <w:lastRenderedPageBreak/>
        <w:t>Commercial and Syndicated Loans</w:t>
      </w:r>
      <w:bookmarkEnd w:id="51"/>
    </w:p>
    <w:p w:rsidR="00676572" w:rsidRDefault="00682FED" w:rsidP="008A3AFA">
      <w:pPr>
        <w:pStyle w:val="Heading2"/>
        <w:numPr>
          <w:ilvl w:val="1"/>
          <w:numId w:val="4"/>
        </w:numPr>
        <w:tabs>
          <w:tab w:val="num" w:pos="780"/>
        </w:tabs>
        <w:spacing w:before="300" w:after="60"/>
        <w:ind w:left="780" w:right="0" w:hanging="720"/>
      </w:pPr>
      <w:bookmarkStart w:id="52" w:name="_Toc340670965"/>
      <w:r>
        <w:rPr>
          <w:noProof/>
          <w:lang w:eastAsia="en-GB"/>
        </w:rPr>
        <w:drawing>
          <wp:anchor distT="0" distB="0" distL="114300" distR="114300" simplePos="0" relativeHeight="251698688" behindDoc="1" locked="0" layoutInCell="1" allowOverlap="1" wp14:anchorId="097666D7" wp14:editId="1E540738">
            <wp:simplePos x="0" y="0"/>
            <wp:positionH relativeFrom="column">
              <wp:align>center</wp:align>
            </wp:positionH>
            <wp:positionV relativeFrom="paragraph">
              <wp:posOffset>498475</wp:posOffset>
            </wp:positionV>
            <wp:extent cx="7378065" cy="1453515"/>
            <wp:effectExtent l="19050" t="0" r="0" b="0"/>
            <wp:wrapTopAndBottom/>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7378065" cy="1453515"/>
                    </a:xfrm>
                    <a:prstGeom prst="rect">
                      <a:avLst/>
                    </a:prstGeom>
                    <a:noFill/>
                    <a:ln w="9525">
                      <a:noFill/>
                      <a:miter lim="800000"/>
                      <a:headEnd/>
                      <a:tailEnd/>
                    </a:ln>
                  </pic:spPr>
                </pic:pic>
              </a:graphicData>
            </a:graphic>
          </wp:anchor>
        </w:drawing>
      </w:r>
      <w:r w:rsidR="008F7250">
        <w:t>Business overview</w:t>
      </w:r>
      <w:bookmarkEnd w:id="52"/>
    </w:p>
    <w:p w:rsidR="00FA35FD" w:rsidRPr="00FA35FD" w:rsidRDefault="00FA35FD" w:rsidP="00FA35FD"/>
    <w:p w:rsidR="00682FED" w:rsidRDefault="008F7250" w:rsidP="00676572">
      <w:pPr>
        <w:ind w:left="0" w:right="60"/>
        <w:jc w:val="both"/>
      </w:pPr>
      <w:r w:rsidRPr="00E06608">
        <w:t xml:space="preserve"> </w:t>
      </w:r>
    </w:p>
    <w:p w:rsidR="008F7250" w:rsidRDefault="008F7250" w:rsidP="00676572">
      <w:pPr>
        <w:ind w:left="0" w:right="60"/>
        <w:jc w:val="both"/>
      </w:pPr>
      <w:r>
        <w:t>For commercial and syndicated loans t</w:t>
      </w:r>
      <w:r w:rsidRPr="00E17202">
        <w:t xml:space="preserve">he </w:t>
      </w:r>
      <w:r>
        <w:t>b</w:t>
      </w:r>
      <w:r w:rsidRPr="00E17202">
        <w:t>orrower (</w:t>
      </w:r>
      <w:r>
        <w:t>i</w:t>
      </w:r>
      <w:r w:rsidRPr="00E17202">
        <w:t xml:space="preserve">ssuer) is most likely to be a large corporation, a government agency or a national development bank intending to borrow a large sum of money for a large project. It awards a loan mandate to a </w:t>
      </w:r>
      <w:r>
        <w:t>l</w:t>
      </w:r>
      <w:r w:rsidRPr="00E17202">
        <w:t xml:space="preserve">ead / </w:t>
      </w:r>
      <w:r>
        <w:t>a</w:t>
      </w:r>
      <w:r w:rsidRPr="00E17202">
        <w:t xml:space="preserve">gent </w:t>
      </w:r>
      <w:r>
        <w:t>b</w:t>
      </w:r>
      <w:r w:rsidRPr="00E17202">
        <w:t>ank that is in charge of originating, structuring a</w:t>
      </w:r>
      <w:r>
        <w:t>nd syndicating the transaction.</w:t>
      </w:r>
    </w:p>
    <w:p w:rsidR="004547A2" w:rsidRDefault="004547A2" w:rsidP="00676572">
      <w:pPr>
        <w:ind w:left="0" w:right="60"/>
        <w:jc w:val="both"/>
        <w:rPr>
          <w:b/>
        </w:rPr>
      </w:pPr>
    </w:p>
    <w:p w:rsidR="008F7250" w:rsidRPr="002A4469" w:rsidRDefault="008F7250" w:rsidP="00676572">
      <w:pPr>
        <w:ind w:left="0" w:right="60"/>
        <w:jc w:val="both"/>
        <w:rPr>
          <w:b/>
        </w:rPr>
      </w:pPr>
      <w:r w:rsidRPr="002A4469">
        <w:rPr>
          <w:b/>
        </w:rPr>
        <w:t>Origination</w:t>
      </w:r>
    </w:p>
    <w:p w:rsidR="008F7250" w:rsidRPr="00E17202" w:rsidRDefault="008F7250" w:rsidP="00676572">
      <w:pPr>
        <w:ind w:left="0" w:right="60"/>
        <w:jc w:val="both"/>
      </w:pPr>
      <w:r w:rsidRPr="00E17202">
        <w:t>The borrower and lead bank will enter into a credit agreement and will form the syndicate by bringing together other syndicate members and disseminating information related to the credit agreement.</w:t>
      </w:r>
    </w:p>
    <w:p w:rsidR="004547A2" w:rsidRDefault="004547A2" w:rsidP="00676572">
      <w:pPr>
        <w:ind w:left="0" w:right="60"/>
        <w:jc w:val="both"/>
        <w:rPr>
          <w:b/>
        </w:rPr>
      </w:pPr>
    </w:p>
    <w:p w:rsidR="008F7250" w:rsidRPr="002A4469" w:rsidRDefault="008F7250" w:rsidP="00676572">
      <w:pPr>
        <w:ind w:left="0" w:right="60"/>
        <w:jc w:val="both"/>
        <w:rPr>
          <w:b/>
        </w:rPr>
      </w:pPr>
      <w:r w:rsidRPr="002A4469">
        <w:rPr>
          <w:b/>
        </w:rPr>
        <w:t>Syndication</w:t>
      </w:r>
    </w:p>
    <w:p w:rsidR="008F7250" w:rsidRPr="00E17202" w:rsidRDefault="008F7250" w:rsidP="00676572">
      <w:pPr>
        <w:ind w:left="0" w:right="60"/>
        <w:jc w:val="both"/>
      </w:pPr>
      <w:r w:rsidRPr="00E17202">
        <w:t xml:space="preserve">During the </w:t>
      </w:r>
      <w:r>
        <w:t>s</w:t>
      </w:r>
      <w:r w:rsidRPr="00E17202">
        <w:t xml:space="preserve">yndication stage position allocation is decided on and the </w:t>
      </w:r>
      <w:r>
        <w:t>s</w:t>
      </w:r>
      <w:r w:rsidRPr="00E17202">
        <w:t xml:space="preserve">yndicate </w:t>
      </w:r>
      <w:r>
        <w:t>m</w:t>
      </w:r>
      <w:r w:rsidRPr="00E17202">
        <w:t xml:space="preserve">embers are advised. If any upfront fees are required to be paid, it will be advised and paid during this phase and payment will be confirmed. </w:t>
      </w:r>
    </w:p>
    <w:p w:rsidR="004547A2" w:rsidRDefault="004547A2" w:rsidP="00676572">
      <w:pPr>
        <w:ind w:left="0" w:right="60"/>
        <w:jc w:val="both"/>
        <w:rPr>
          <w:b/>
        </w:rPr>
      </w:pPr>
    </w:p>
    <w:p w:rsidR="008F7250" w:rsidRPr="002A4469" w:rsidRDefault="008F7250" w:rsidP="00676572">
      <w:pPr>
        <w:ind w:left="0" w:right="60"/>
        <w:jc w:val="both"/>
        <w:rPr>
          <w:b/>
        </w:rPr>
      </w:pPr>
      <w:r w:rsidRPr="002A4469">
        <w:rPr>
          <w:b/>
        </w:rPr>
        <w:t>Loan Administration</w:t>
      </w:r>
    </w:p>
    <w:p w:rsidR="008F7250" w:rsidRDefault="008F7250" w:rsidP="004547A2">
      <w:pPr>
        <w:ind w:left="0" w:right="60"/>
        <w:jc w:val="both"/>
      </w:pPr>
      <w:r w:rsidRPr="00E17202">
        <w:t xml:space="preserve">During the </w:t>
      </w:r>
      <w:r>
        <w:t>l</w:t>
      </w:r>
      <w:r w:rsidRPr="00E17202">
        <w:t xml:space="preserve">oan administration phase, the </w:t>
      </w:r>
      <w:r>
        <w:t>l</w:t>
      </w:r>
      <w:r w:rsidRPr="00E17202">
        <w:t xml:space="preserve">ead </w:t>
      </w:r>
      <w:r>
        <w:t>b</w:t>
      </w:r>
      <w:r w:rsidRPr="00E17202">
        <w:t xml:space="preserve">ank will advise the </w:t>
      </w:r>
      <w:r>
        <w:t>s</w:t>
      </w:r>
      <w:r w:rsidRPr="00E17202">
        <w:t xml:space="preserve">yndicate </w:t>
      </w:r>
      <w:r>
        <w:t>m</w:t>
      </w:r>
      <w:r w:rsidRPr="00E17202">
        <w:t xml:space="preserve">embers about any drawdown requested by the borrower as well as rate resets and principal repayments by the borrower. The principal repayments may be scheduled or unscheduled, mandatory or voluntarily repayments. The lead </w:t>
      </w:r>
      <w:r>
        <w:t>b</w:t>
      </w:r>
      <w:r w:rsidRPr="00E17202">
        <w:t xml:space="preserve">ank will also advise the </w:t>
      </w:r>
      <w:r>
        <w:t>s</w:t>
      </w:r>
      <w:r w:rsidRPr="00E17202">
        <w:t xml:space="preserve">yndicate </w:t>
      </w:r>
      <w:r>
        <w:t>m</w:t>
      </w:r>
      <w:r w:rsidRPr="00E17202">
        <w:t>embers about any fee payments due by the borrower and any one-off fee payments.</w:t>
      </w:r>
      <w:r>
        <w:t xml:space="preserve"> D</w:t>
      </w:r>
      <w:r w:rsidRPr="00E17202">
        <w:t xml:space="preserve">uring the life of the loan the lead </w:t>
      </w:r>
      <w:r>
        <w:t>b</w:t>
      </w:r>
      <w:r w:rsidRPr="00E17202">
        <w:t xml:space="preserve">ank has to advise </w:t>
      </w:r>
      <w:r>
        <w:t>s</w:t>
      </w:r>
      <w:r w:rsidRPr="00E17202">
        <w:t xml:space="preserve">yndicate </w:t>
      </w:r>
      <w:r>
        <w:t>m</w:t>
      </w:r>
      <w:r w:rsidRPr="00E17202">
        <w:t xml:space="preserve">embers </w:t>
      </w:r>
      <w:r>
        <w:t>about l</w:t>
      </w:r>
      <w:r w:rsidRPr="00E17202">
        <w:t>oans rollover</w:t>
      </w:r>
      <w:r>
        <w:t>s</w:t>
      </w:r>
      <w:r w:rsidRPr="00E17202">
        <w:t xml:space="preserve"> </w:t>
      </w:r>
      <w:r>
        <w:t>and</w:t>
      </w:r>
      <w:r w:rsidRPr="00E17202">
        <w:t xml:space="preserve"> adjustments in commitments</w:t>
      </w:r>
      <w:r>
        <w:t>.</w:t>
      </w:r>
    </w:p>
    <w:p w:rsidR="00994697" w:rsidRPr="00E17202" w:rsidRDefault="00994697" w:rsidP="004547A2">
      <w:pPr>
        <w:ind w:left="0" w:right="60"/>
        <w:jc w:val="both"/>
      </w:pPr>
    </w:p>
    <w:p w:rsidR="004547A2" w:rsidRDefault="004547A2" w:rsidP="004547A2">
      <w:pPr>
        <w:ind w:left="0" w:right="60"/>
        <w:jc w:val="both"/>
        <w:rPr>
          <w:b/>
        </w:rPr>
      </w:pPr>
    </w:p>
    <w:p w:rsidR="008F7250" w:rsidRPr="002A4469" w:rsidRDefault="008F7250" w:rsidP="004547A2">
      <w:pPr>
        <w:ind w:left="0" w:right="60"/>
        <w:jc w:val="both"/>
        <w:rPr>
          <w:b/>
        </w:rPr>
      </w:pPr>
      <w:r w:rsidRPr="002A4469">
        <w:rPr>
          <w:b/>
        </w:rPr>
        <w:lastRenderedPageBreak/>
        <w:t>Secondary Trading</w:t>
      </w:r>
    </w:p>
    <w:p w:rsidR="008F7250" w:rsidRDefault="008F7250" w:rsidP="004547A2">
      <w:pPr>
        <w:ind w:left="0" w:right="60"/>
        <w:jc w:val="both"/>
      </w:pPr>
      <w:r w:rsidRPr="00E17202">
        <w:t xml:space="preserve">Loan sales are structured as either assignments or participations. In an assignment, the assignee becomes a direct signatory and receives interest and principal payments directly from the </w:t>
      </w:r>
      <w:r>
        <w:t>a</w:t>
      </w:r>
      <w:r w:rsidRPr="00E17202">
        <w:t>gent. This type of trade requires the consent of the borrower and or agent.</w:t>
      </w:r>
      <w:r>
        <w:t xml:space="preserve"> </w:t>
      </w:r>
      <w:proofErr w:type="gramStart"/>
      <w:r>
        <w:t>A p</w:t>
      </w:r>
      <w:r w:rsidRPr="00E17202">
        <w:t>articipation</w:t>
      </w:r>
      <w:proofErr w:type="gramEnd"/>
      <w:r w:rsidRPr="00E17202">
        <w:t xml:space="preserve"> is an agreement between an existing lender (syndicate member) and a </w:t>
      </w:r>
      <w:r>
        <w:t>p</w:t>
      </w:r>
      <w:r w:rsidRPr="00E17202">
        <w:t xml:space="preserve">articipant. The buyer is taking a participating interest in the existing lenders commitment; however the original syndicate member lender remains the official holder of the loan. No input is required from the borrower or the agent. Most lending today is done via assignments and not participations.  </w:t>
      </w:r>
    </w:p>
    <w:p w:rsidR="004547A2" w:rsidRDefault="004547A2" w:rsidP="004547A2">
      <w:pPr>
        <w:ind w:left="0" w:right="60"/>
        <w:jc w:val="both"/>
      </w:pPr>
    </w:p>
    <w:p w:rsidR="00091848" w:rsidRDefault="000E706E">
      <w:pPr>
        <w:pStyle w:val="Heading2"/>
        <w:numPr>
          <w:ilvl w:val="1"/>
          <w:numId w:val="4"/>
        </w:numPr>
        <w:tabs>
          <w:tab w:val="num" w:pos="780"/>
        </w:tabs>
        <w:spacing w:before="300" w:after="60"/>
        <w:ind w:left="780" w:right="0" w:hanging="720"/>
      </w:pPr>
      <w:bookmarkStart w:id="53" w:name="_Toc340670966"/>
      <w:r>
        <w:t>High-level</w:t>
      </w:r>
      <w:r w:rsidR="008F7250">
        <w:t xml:space="preserve"> standards landscape</w:t>
      </w:r>
      <w:bookmarkEnd w:id="53"/>
    </w:p>
    <w:p w:rsidR="00D27ACD" w:rsidRPr="00D27ACD" w:rsidRDefault="00682FED" w:rsidP="00D27ACD">
      <w:r>
        <w:rPr>
          <w:noProof/>
          <w:lang w:eastAsia="en-GB"/>
        </w:rPr>
        <w:drawing>
          <wp:anchor distT="0" distB="0" distL="114300" distR="114300" simplePos="0" relativeHeight="251700736" behindDoc="1" locked="0" layoutInCell="1" allowOverlap="1" wp14:anchorId="18A5C344" wp14:editId="2A40CBF7">
            <wp:simplePos x="0" y="0"/>
            <wp:positionH relativeFrom="column">
              <wp:align>center</wp:align>
            </wp:positionH>
            <wp:positionV relativeFrom="page">
              <wp:posOffset>2461260</wp:posOffset>
            </wp:positionV>
            <wp:extent cx="7378065" cy="1805305"/>
            <wp:effectExtent l="19050" t="0" r="0" b="0"/>
            <wp:wrapTopAndBottom/>
            <wp:docPr id="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7378065" cy="1805305"/>
                    </a:xfrm>
                    <a:prstGeom prst="rect">
                      <a:avLst/>
                    </a:prstGeom>
                    <a:noFill/>
                    <a:ln w="9525">
                      <a:noFill/>
                      <a:miter lim="800000"/>
                      <a:headEnd/>
                      <a:tailEnd/>
                    </a:ln>
                  </pic:spPr>
                </pic:pic>
              </a:graphicData>
            </a:graphic>
          </wp:anchor>
        </w:drawing>
      </w:r>
    </w:p>
    <w:p w:rsidR="008F7250" w:rsidRDefault="008F7250" w:rsidP="00D27ACD">
      <w:pPr>
        <w:ind w:left="142"/>
        <w:jc w:val="center"/>
      </w:pPr>
    </w:p>
    <w:p w:rsidR="004547A2" w:rsidRDefault="004547A2">
      <w:pPr>
        <w:spacing w:before="0"/>
        <w:ind w:left="0" w:right="0"/>
        <w:rPr>
          <w:b/>
        </w:rPr>
      </w:pPr>
      <w:r>
        <w:br w:type="page"/>
      </w:r>
    </w:p>
    <w:p w:rsidR="00091848" w:rsidRDefault="008F7250">
      <w:pPr>
        <w:pStyle w:val="Heading2"/>
        <w:numPr>
          <w:ilvl w:val="1"/>
          <w:numId w:val="4"/>
        </w:numPr>
        <w:tabs>
          <w:tab w:val="num" w:pos="780"/>
        </w:tabs>
        <w:spacing w:before="300" w:after="60"/>
        <w:ind w:left="780" w:right="0" w:hanging="720"/>
      </w:pPr>
      <w:bookmarkStart w:id="54" w:name="_Toc340670967"/>
      <w:r>
        <w:lastRenderedPageBreak/>
        <w:t>Detailed standards landscape</w:t>
      </w:r>
      <w:bookmarkEnd w:id="54"/>
    </w:p>
    <w:p w:rsidR="008F7250" w:rsidRPr="00E17202" w:rsidRDefault="008F7250" w:rsidP="003F4E5E">
      <w:pPr>
        <w:ind w:left="142"/>
      </w:pP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591"/>
        <w:gridCol w:w="3591"/>
        <w:gridCol w:w="3591"/>
      </w:tblGrid>
      <w:tr w:rsidR="008F7250" w:rsidRPr="00555624" w:rsidTr="003F4E5E">
        <w:trPr>
          <w:cantSplit/>
          <w:tblHeader/>
        </w:trPr>
        <w:tc>
          <w:tcPr>
            <w:tcW w:w="1701" w:type="dxa"/>
          </w:tcPr>
          <w:p w:rsidR="008F7250" w:rsidRPr="00BF737F" w:rsidRDefault="008F7250" w:rsidP="003F4E5E">
            <w:pPr>
              <w:ind w:left="0" w:right="0"/>
              <w:rPr>
                <w:b/>
              </w:rPr>
            </w:pPr>
            <w:r>
              <w:rPr>
                <w:b/>
              </w:rPr>
              <w:t>Process Area</w:t>
            </w:r>
          </w:p>
        </w:tc>
        <w:tc>
          <w:tcPr>
            <w:tcW w:w="3591" w:type="dxa"/>
          </w:tcPr>
          <w:p w:rsidR="008F7250" w:rsidRPr="00BF737F" w:rsidRDefault="008F7250" w:rsidP="003F4E5E">
            <w:pPr>
              <w:ind w:left="0" w:right="0"/>
              <w:rPr>
                <w:b/>
              </w:rPr>
            </w:pPr>
            <w:r w:rsidRPr="00BF737F">
              <w:rPr>
                <w:b/>
              </w:rPr>
              <w:t>Availability of MT, ISO 15022 and ISO 20022</w:t>
            </w:r>
          </w:p>
        </w:tc>
        <w:tc>
          <w:tcPr>
            <w:tcW w:w="3591" w:type="dxa"/>
          </w:tcPr>
          <w:p w:rsidR="008F7250" w:rsidRPr="00BF737F" w:rsidRDefault="008F7250" w:rsidP="003F4E5E">
            <w:pPr>
              <w:ind w:left="0" w:right="0"/>
              <w:rPr>
                <w:b/>
              </w:rPr>
            </w:pPr>
            <w:r w:rsidRPr="00BF737F">
              <w:rPr>
                <w:b/>
              </w:rPr>
              <w:t>Availability of other standards</w:t>
            </w:r>
          </w:p>
        </w:tc>
        <w:tc>
          <w:tcPr>
            <w:tcW w:w="3591" w:type="dxa"/>
          </w:tcPr>
          <w:p w:rsidR="008F7250" w:rsidRPr="00BF737F" w:rsidRDefault="008F7250" w:rsidP="003F4E5E">
            <w:pPr>
              <w:ind w:left="0" w:right="0"/>
              <w:rPr>
                <w:b/>
              </w:rPr>
            </w:pPr>
            <w:proofErr w:type="spellStart"/>
            <w:r w:rsidRPr="00BF737F">
              <w:rPr>
                <w:b/>
              </w:rPr>
              <w:t>Ongoing</w:t>
            </w:r>
            <w:proofErr w:type="spellEnd"/>
            <w:r w:rsidRPr="00BF737F">
              <w:rPr>
                <w:b/>
              </w:rPr>
              <w:t xml:space="preserve"> &amp; planned activities Opportunities</w:t>
            </w:r>
          </w:p>
        </w:tc>
      </w:tr>
      <w:tr w:rsidR="008F7250" w:rsidRPr="001D5EB7" w:rsidTr="003F4E5E">
        <w:trPr>
          <w:cantSplit/>
        </w:trPr>
        <w:tc>
          <w:tcPr>
            <w:tcW w:w="1701" w:type="dxa"/>
          </w:tcPr>
          <w:p w:rsidR="008F7250" w:rsidRPr="00BF737F" w:rsidRDefault="008F7250" w:rsidP="003F4E5E">
            <w:pPr>
              <w:ind w:left="0" w:right="0"/>
              <w:rPr>
                <w:b/>
              </w:rPr>
            </w:pPr>
            <w:r w:rsidRPr="00BF737F">
              <w:rPr>
                <w:b/>
              </w:rPr>
              <w:t>Origination</w:t>
            </w:r>
          </w:p>
        </w:tc>
        <w:tc>
          <w:tcPr>
            <w:tcW w:w="3591" w:type="dxa"/>
          </w:tcPr>
          <w:p w:rsidR="008F7250" w:rsidRPr="00BF737F" w:rsidRDefault="008F7250" w:rsidP="003F4E5E">
            <w:pPr>
              <w:ind w:left="0" w:right="0"/>
            </w:pPr>
            <w:r w:rsidRPr="00BF737F">
              <w:t>None</w:t>
            </w:r>
          </w:p>
        </w:tc>
        <w:tc>
          <w:tcPr>
            <w:tcW w:w="3591" w:type="dxa"/>
          </w:tcPr>
          <w:p w:rsidR="008F7250" w:rsidRPr="00BF737F" w:rsidRDefault="008F7250" w:rsidP="003F4E5E">
            <w:pPr>
              <w:ind w:left="0" w:right="0"/>
            </w:pPr>
            <w:r w:rsidRPr="00BF737F">
              <w:t>None</w:t>
            </w:r>
          </w:p>
        </w:tc>
        <w:tc>
          <w:tcPr>
            <w:tcW w:w="3591" w:type="dxa"/>
          </w:tcPr>
          <w:p w:rsidR="008F7250" w:rsidRPr="00BF737F" w:rsidRDefault="008F7250" w:rsidP="003F4E5E">
            <w:pPr>
              <w:ind w:left="0" w:right="0"/>
            </w:pPr>
            <w:proofErr w:type="spellStart"/>
            <w:r w:rsidRPr="00BF737F">
              <w:t>FpML</w:t>
            </w:r>
            <w:proofErr w:type="spellEnd"/>
            <w:r w:rsidRPr="00BF737F">
              <w:t xml:space="preserve"> plans to cover the Credit Agreement and Conditions Precedent Notice in a later phase of development.</w:t>
            </w:r>
          </w:p>
        </w:tc>
      </w:tr>
      <w:tr w:rsidR="008F7250" w:rsidRPr="001D5EB7" w:rsidTr="003F4E5E">
        <w:trPr>
          <w:cantSplit/>
        </w:trPr>
        <w:tc>
          <w:tcPr>
            <w:tcW w:w="1701" w:type="dxa"/>
          </w:tcPr>
          <w:p w:rsidR="008F7250" w:rsidRPr="00BF737F" w:rsidRDefault="008F7250" w:rsidP="003F4E5E">
            <w:pPr>
              <w:ind w:left="0" w:right="0"/>
              <w:rPr>
                <w:b/>
              </w:rPr>
            </w:pPr>
            <w:r w:rsidRPr="00BF737F">
              <w:rPr>
                <w:b/>
              </w:rPr>
              <w:t>Syndication</w:t>
            </w:r>
          </w:p>
        </w:tc>
        <w:tc>
          <w:tcPr>
            <w:tcW w:w="3591" w:type="dxa"/>
          </w:tcPr>
          <w:p w:rsidR="008F7250" w:rsidRPr="00BF737F" w:rsidRDefault="008F7250" w:rsidP="003F4E5E">
            <w:pPr>
              <w:ind w:left="0" w:right="0"/>
            </w:pPr>
            <w:r w:rsidRPr="00BF737F">
              <w:t>None</w:t>
            </w:r>
          </w:p>
        </w:tc>
        <w:tc>
          <w:tcPr>
            <w:tcW w:w="3591" w:type="dxa"/>
          </w:tcPr>
          <w:p w:rsidR="008F7250" w:rsidRPr="00BF737F" w:rsidRDefault="008F7250" w:rsidP="003F4E5E">
            <w:pPr>
              <w:ind w:left="0" w:right="0"/>
            </w:pPr>
            <w:r w:rsidRPr="00BF737F">
              <w:t>None</w:t>
            </w:r>
          </w:p>
        </w:tc>
        <w:tc>
          <w:tcPr>
            <w:tcW w:w="3591" w:type="dxa"/>
          </w:tcPr>
          <w:p w:rsidR="008F7250" w:rsidRPr="00BF737F" w:rsidRDefault="008F7250" w:rsidP="003F4E5E">
            <w:pPr>
              <w:ind w:left="0" w:right="0"/>
            </w:pPr>
            <w:proofErr w:type="spellStart"/>
            <w:r w:rsidRPr="00BF737F">
              <w:t>FpML</w:t>
            </w:r>
            <w:proofErr w:type="spellEnd"/>
            <w:r w:rsidRPr="00BF737F">
              <w:t xml:space="preserve"> will cover the Position Allocation and Upfront Fee payment in future.  </w:t>
            </w:r>
          </w:p>
        </w:tc>
      </w:tr>
      <w:tr w:rsidR="008F7250" w:rsidRPr="001D5EB7" w:rsidTr="003F4E5E">
        <w:trPr>
          <w:cantSplit/>
        </w:trPr>
        <w:tc>
          <w:tcPr>
            <w:tcW w:w="1701" w:type="dxa"/>
          </w:tcPr>
          <w:p w:rsidR="008F7250" w:rsidRPr="00BF737F" w:rsidRDefault="008F7250" w:rsidP="003F4E5E">
            <w:pPr>
              <w:ind w:left="0" w:right="0"/>
              <w:rPr>
                <w:b/>
              </w:rPr>
            </w:pPr>
            <w:r w:rsidRPr="00BF737F">
              <w:rPr>
                <w:b/>
              </w:rPr>
              <w:t>Loan Administration</w:t>
            </w:r>
          </w:p>
        </w:tc>
        <w:tc>
          <w:tcPr>
            <w:tcW w:w="3591" w:type="dxa"/>
          </w:tcPr>
          <w:p w:rsidR="008F7250" w:rsidRPr="00BF737F" w:rsidRDefault="008F7250" w:rsidP="003F4E5E">
            <w:pPr>
              <w:ind w:left="0" w:right="0"/>
            </w:pPr>
            <w:r w:rsidRPr="00BF737F">
              <w:t>Some coverage is available for the Loan Administration process using category 64x messages.</w:t>
            </w:r>
          </w:p>
        </w:tc>
        <w:tc>
          <w:tcPr>
            <w:tcW w:w="3591" w:type="dxa"/>
          </w:tcPr>
          <w:p w:rsidR="008F7250" w:rsidRPr="00BF737F" w:rsidRDefault="008F7250" w:rsidP="003F4E5E">
            <w:pPr>
              <w:ind w:left="0" w:right="0"/>
            </w:pPr>
            <w:proofErr w:type="spellStart"/>
            <w:r w:rsidRPr="00BF737F">
              <w:t>FpML</w:t>
            </w:r>
            <w:proofErr w:type="spellEnd"/>
            <w:r w:rsidRPr="00BF737F">
              <w:t xml:space="preserve"> has some coverage in the Loan Administration area, concentrating on the message flows between the Agent Bank and Lenders.</w:t>
            </w:r>
          </w:p>
        </w:tc>
        <w:tc>
          <w:tcPr>
            <w:tcW w:w="3591" w:type="dxa"/>
          </w:tcPr>
          <w:p w:rsidR="008F7250" w:rsidRPr="00BF737F" w:rsidRDefault="008F7250" w:rsidP="003F4E5E">
            <w:pPr>
              <w:ind w:left="0" w:right="0"/>
            </w:pPr>
            <w:proofErr w:type="spellStart"/>
            <w:r w:rsidRPr="00BF737F">
              <w:t>FpML</w:t>
            </w:r>
            <w:proofErr w:type="spellEnd"/>
            <w:r w:rsidRPr="00BF737F">
              <w:t xml:space="preserve"> is currently developing messages to cover Simple and Complex Rollovers, Letter of Credit Events and Price Changes and will in future development cover Commitment Adjustment and Payment in Kind (PIK).</w:t>
            </w:r>
          </w:p>
        </w:tc>
      </w:tr>
      <w:tr w:rsidR="008F7250" w:rsidRPr="001D5EB7" w:rsidTr="003F4E5E">
        <w:trPr>
          <w:cantSplit/>
        </w:trPr>
        <w:tc>
          <w:tcPr>
            <w:tcW w:w="1701" w:type="dxa"/>
          </w:tcPr>
          <w:p w:rsidR="008F7250" w:rsidRPr="00BF737F" w:rsidRDefault="008F7250" w:rsidP="003F4E5E">
            <w:pPr>
              <w:ind w:left="0" w:right="0"/>
              <w:rPr>
                <w:b/>
              </w:rPr>
            </w:pPr>
            <w:r w:rsidRPr="00BF737F">
              <w:rPr>
                <w:b/>
              </w:rPr>
              <w:t>Secondary Trading</w:t>
            </w:r>
          </w:p>
        </w:tc>
        <w:tc>
          <w:tcPr>
            <w:tcW w:w="3591" w:type="dxa"/>
          </w:tcPr>
          <w:p w:rsidR="008F7250" w:rsidRPr="00BF737F" w:rsidRDefault="008F7250" w:rsidP="003F4E5E">
            <w:pPr>
              <w:ind w:left="0" w:right="0"/>
            </w:pPr>
            <w:r w:rsidRPr="00BF737F">
              <w:t>None</w:t>
            </w:r>
          </w:p>
        </w:tc>
        <w:tc>
          <w:tcPr>
            <w:tcW w:w="3591" w:type="dxa"/>
          </w:tcPr>
          <w:p w:rsidR="008F7250" w:rsidRPr="00BF737F" w:rsidRDefault="008F7250" w:rsidP="003F4E5E">
            <w:pPr>
              <w:ind w:left="0" w:right="0"/>
            </w:pPr>
            <w:r w:rsidRPr="00BF737F">
              <w:t>None</w:t>
            </w:r>
          </w:p>
        </w:tc>
        <w:tc>
          <w:tcPr>
            <w:tcW w:w="3591" w:type="dxa"/>
          </w:tcPr>
          <w:p w:rsidR="008F7250" w:rsidRPr="00BF737F" w:rsidRDefault="008F7250" w:rsidP="003F4E5E">
            <w:pPr>
              <w:ind w:left="0" w:right="0"/>
            </w:pPr>
            <w:proofErr w:type="spellStart"/>
            <w:r w:rsidRPr="00BF737F">
              <w:t>FpML</w:t>
            </w:r>
            <w:proofErr w:type="spellEnd"/>
            <w:r w:rsidRPr="00BF737F">
              <w:t xml:space="preserve"> is currently developing a Lender position snapshot and a Lender Position History and will cover Trade Confirmation, Funding Memo, Trade Settlement Payment and Assignment Agreement in future development.</w:t>
            </w:r>
          </w:p>
        </w:tc>
      </w:tr>
    </w:tbl>
    <w:p w:rsidR="00FA35FD" w:rsidRDefault="00FA35FD" w:rsidP="00FA35FD">
      <w:pPr>
        <w:pStyle w:val="Heading2"/>
        <w:tabs>
          <w:tab w:val="clear" w:pos="360"/>
          <w:tab w:val="num" w:pos="1296"/>
        </w:tabs>
        <w:spacing w:before="300" w:after="60"/>
        <w:ind w:left="780" w:right="0" w:firstLine="0"/>
      </w:pPr>
    </w:p>
    <w:p w:rsidR="00091848" w:rsidRDefault="008F7250">
      <w:pPr>
        <w:pStyle w:val="Heading2"/>
        <w:numPr>
          <w:ilvl w:val="1"/>
          <w:numId w:val="4"/>
        </w:numPr>
        <w:tabs>
          <w:tab w:val="num" w:pos="780"/>
        </w:tabs>
        <w:spacing w:before="300" w:after="60"/>
        <w:ind w:left="780" w:right="0" w:hanging="720"/>
      </w:pPr>
      <w:bookmarkStart w:id="55" w:name="_Toc340670968"/>
      <w:r>
        <w:t>Additional opportunities</w:t>
      </w:r>
      <w:bookmarkEnd w:id="55"/>
    </w:p>
    <w:p w:rsidR="008F7250" w:rsidRPr="0010432D" w:rsidRDefault="008F7250" w:rsidP="003F4E5E">
      <w:pPr>
        <w:ind w:left="142" w:right="60"/>
        <w:jc w:val="both"/>
      </w:pPr>
      <w:r>
        <w:t xml:space="preserve">This market currently lacks automation. </w:t>
      </w:r>
      <w:proofErr w:type="spellStart"/>
      <w:r>
        <w:t>FpML</w:t>
      </w:r>
      <w:proofErr w:type="spellEnd"/>
      <w:r>
        <w:t xml:space="preserve">, with the assistance of LSTA and ISITC in the US and the LMA in Europe, is in the process of addressing this need. </w:t>
      </w:r>
      <w:proofErr w:type="spellStart"/>
      <w:r>
        <w:t>FpML</w:t>
      </w:r>
      <w:proofErr w:type="spellEnd"/>
      <w:r>
        <w:t xml:space="preserve"> has also indicated a need to create </w:t>
      </w:r>
      <w:proofErr w:type="spellStart"/>
      <w:r>
        <w:t>FpML</w:t>
      </w:r>
      <w:proofErr w:type="spellEnd"/>
      <w:r>
        <w:t xml:space="preserve"> payments messages. The market and SWIFT have responded and recommended that the cash settlement function utilise existing ISO and MT messages.</w:t>
      </w:r>
    </w:p>
    <w:p w:rsidR="008F7250" w:rsidRPr="00BB4238" w:rsidRDefault="008F7250" w:rsidP="003F4E5E">
      <w:r w:rsidRPr="00463B22">
        <w:rPr>
          <w:rFonts w:ascii="Times New Roman" w:hAnsi="Times New Roman"/>
          <w:b/>
        </w:rPr>
        <w:br w:type="page"/>
      </w:r>
    </w:p>
    <w:p w:rsidR="008F7250" w:rsidRPr="008D47CA" w:rsidRDefault="008F7250" w:rsidP="00555624">
      <w:pPr>
        <w:ind w:left="720"/>
      </w:pPr>
    </w:p>
    <w:p w:rsidR="00091848" w:rsidRDefault="008F7250">
      <w:pPr>
        <w:pStyle w:val="Heading1"/>
        <w:numPr>
          <w:ilvl w:val="0"/>
          <w:numId w:val="4"/>
        </w:numPr>
        <w:tabs>
          <w:tab w:val="num" w:pos="360"/>
        </w:tabs>
        <w:spacing w:before="300" w:after="60"/>
        <w:ind w:left="360" w:right="0" w:hanging="360"/>
      </w:pPr>
      <w:bookmarkStart w:id="56" w:name="_Toc340670969"/>
      <w:r w:rsidRPr="00E17202">
        <w:t>Commodities</w:t>
      </w:r>
      <w:bookmarkEnd w:id="56"/>
    </w:p>
    <w:p w:rsidR="00091848" w:rsidRDefault="00FA35FD">
      <w:pPr>
        <w:pStyle w:val="Heading2"/>
        <w:numPr>
          <w:ilvl w:val="1"/>
          <w:numId w:val="4"/>
        </w:numPr>
        <w:tabs>
          <w:tab w:val="num" w:pos="780"/>
        </w:tabs>
        <w:spacing w:before="300" w:after="60"/>
        <w:ind w:left="780" w:right="0" w:hanging="720"/>
      </w:pPr>
      <w:bookmarkStart w:id="57" w:name="_Toc340670970"/>
      <w:r>
        <w:rPr>
          <w:noProof/>
          <w:lang w:eastAsia="en-GB"/>
        </w:rPr>
        <w:drawing>
          <wp:anchor distT="0" distB="0" distL="114300" distR="114300" simplePos="0" relativeHeight="251702784" behindDoc="1" locked="0" layoutInCell="1" allowOverlap="1" wp14:anchorId="12DD886B" wp14:editId="57C72180">
            <wp:simplePos x="0" y="0"/>
            <wp:positionH relativeFrom="column">
              <wp:align>center</wp:align>
            </wp:positionH>
            <wp:positionV relativeFrom="paragraph">
              <wp:posOffset>504825</wp:posOffset>
            </wp:positionV>
            <wp:extent cx="7378065" cy="1546860"/>
            <wp:effectExtent l="19050" t="0" r="0" b="0"/>
            <wp:wrapTopAndBottom/>
            <wp:docPr id="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7378065" cy="1546860"/>
                    </a:xfrm>
                    <a:prstGeom prst="rect">
                      <a:avLst/>
                    </a:prstGeom>
                    <a:noFill/>
                    <a:ln w="9525">
                      <a:noFill/>
                      <a:miter lim="800000"/>
                      <a:headEnd/>
                      <a:tailEnd/>
                    </a:ln>
                  </pic:spPr>
                </pic:pic>
              </a:graphicData>
            </a:graphic>
          </wp:anchor>
        </w:drawing>
      </w:r>
      <w:r w:rsidR="008F7250">
        <w:t>Business overview</w:t>
      </w:r>
      <w:bookmarkEnd w:id="57"/>
    </w:p>
    <w:p w:rsidR="00FA35FD" w:rsidRPr="00FA35FD" w:rsidRDefault="00FA35FD" w:rsidP="00FA35FD"/>
    <w:p w:rsidR="00676572" w:rsidRPr="009A53A9" w:rsidRDefault="00676572" w:rsidP="009A53A9">
      <w:pPr>
        <w:ind w:left="0"/>
      </w:pPr>
    </w:p>
    <w:p w:rsidR="008F7250" w:rsidRPr="00144952" w:rsidRDefault="008F7250" w:rsidP="002A2E82">
      <w:pPr>
        <w:ind w:left="142" w:right="60"/>
        <w:jc w:val="both"/>
        <w:rPr>
          <w:b/>
        </w:rPr>
      </w:pPr>
      <w:r w:rsidRPr="00144952">
        <w:rPr>
          <w:b/>
        </w:rPr>
        <w:t>Pre-trade</w:t>
      </w:r>
    </w:p>
    <w:p w:rsidR="008F7250" w:rsidRPr="00E17202" w:rsidRDefault="008F7250" w:rsidP="002A2E82">
      <w:pPr>
        <w:ind w:left="142" w:right="60"/>
        <w:jc w:val="both"/>
      </w:pPr>
      <w:r>
        <w:t>T</w:t>
      </w:r>
      <w:r w:rsidRPr="00E17202">
        <w:t xml:space="preserve">he </w:t>
      </w:r>
      <w:r>
        <w:t xml:space="preserve">pre-trade space covers </w:t>
      </w:r>
      <w:r w:rsidRPr="00E17202">
        <w:t>business flows prior to the placement of an order</w:t>
      </w:r>
      <w:r>
        <w:t xml:space="preserve"> (advertisements, i</w:t>
      </w:r>
      <w:r w:rsidRPr="00E17202">
        <w:t xml:space="preserve">ndication of interest </w:t>
      </w:r>
      <w:r>
        <w:t xml:space="preserve">and quote) where a financial institution is </w:t>
      </w:r>
      <w:r w:rsidRPr="00E17202">
        <w:t>lookin</w:t>
      </w:r>
      <w:r>
        <w:t xml:space="preserve">g to buy a physical commodity or futures/option contract (synthetic) on a commodity. </w:t>
      </w:r>
    </w:p>
    <w:p w:rsidR="004547A2" w:rsidRDefault="004547A2" w:rsidP="002A2E82">
      <w:pPr>
        <w:ind w:left="142" w:right="60"/>
        <w:jc w:val="both"/>
        <w:rPr>
          <w:b/>
        </w:rPr>
      </w:pPr>
    </w:p>
    <w:p w:rsidR="008F7250" w:rsidRPr="00144952" w:rsidRDefault="008F7250" w:rsidP="002A2E82">
      <w:pPr>
        <w:ind w:left="142" w:right="60"/>
        <w:jc w:val="both"/>
        <w:rPr>
          <w:b/>
        </w:rPr>
      </w:pPr>
      <w:r w:rsidRPr="00144952">
        <w:rPr>
          <w:b/>
        </w:rPr>
        <w:t>Trade</w:t>
      </w:r>
    </w:p>
    <w:p w:rsidR="008F7250" w:rsidRDefault="008F7250" w:rsidP="002A2E82">
      <w:pPr>
        <w:ind w:left="142" w:right="60"/>
        <w:jc w:val="both"/>
      </w:pPr>
      <w:r>
        <w:t xml:space="preserve">The trade area of commodities includes the agreement of trade or contract, based on acceptance of a previously provided quote for a physical or synthetic commodity. The trade area also includes the order process for the agreed trade. </w:t>
      </w:r>
    </w:p>
    <w:p w:rsidR="004547A2" w:rsidRDefault="004547A2" w:rsidP="002A2E82">
      <w:pPr>
        <w:ind w:left="142" w:right="60"/>
        <w:jc w:val="both"/>
      </w:pPr>
    </w:p>
    <w:p w:rsidR="008F7250" w:rsidRPr="00A83ADD" w:rsidRDefault="008F7250" w:rsidP="002A2E82">
      <w:pPr>
        <w:ind w:left="142" w:right="60"/>
        <w:jc w:val="both"/>
        <w:rPr>
          <w:b/>
        </w:rPr>
      </w:pPr>
      <w:r w:rsidRPr="00A83ADD">
        <w:rPr>
          <w:b/>
        </w:rPr>
        <w:t>Post-trade</w:t>
      </w:r>
    </w:p>
    <w:p w:rsidR="008F7250" w:rsidRDefault="008F7250" w:rsidP="002A2E82">
      <w:pPr>
        <w:ind w:left="142" w:right="60"/>
        <w:jc w:val="both"/>
      </w:pPr>
      <w:r w:rsidRPr="00E17202">
        <w:t xml:space="preserve">The </w:t>
      </w:r>
      <w:r>
        <w:t>p</w:t>
      </w:r>
      <w:r w:rsidRPr="00E17202">
        <w:t xml:space="preserve">ost-trade </w:t>
      </w:r>
      <w:r>
        <w:t xml:space="preserve">area </w:t>
      </w:r>
      <w:r w:rsidRPr="00E17202">
        <w:t xml:space="preserve">covers activities performed </w:t>
      </w:r>
      <w:r>
        <w:t xml:space="preserve">once a trade </w:t>
      </w:r>
      <w:r w:rsidRPr="00E17202">
        <w:t>has been executed</w:t>
      </w:r>
      <w:r>
        <w:t>, such as matching and confirmation of the trade.</w:t>
      </w:r>
    </w:p>
    <w:p w:rsidR="004547A2" w:rsidRDefault="004547A2" w:rsidP="002A2E82">
      <w:pPr>
        <w:ind w:left="142" w:right="60"/>
        <w:jc w:val="both"/>
        <w:rPr>
          <w:b/>
        </w:rPr>
      </w:pPr>
    </w:p>
    <w:p w:rsidR="008F7250" w:rsidRPr="00144952" w:rsidRDefault="008F7250" w:rsidP="002A2E82">
      <w:pPr>
        <w:ind w:left="142" w:right="60"/>
        <w:jc w:val="both"/>
        <w:rPr>
          <w:b/>
        </w:rPr>
      </w:pPr>
      <w:r w:rsidRPr="00144952">
        <w:rPr>
          <w:b/>
        </w:rPr>
        <w:t>Settlement</w:t>
      </w:r>
    </w:p>
    <w:p w:rsidR="008F7250" w:rsidRDefault="008F7250" w:rsidP="002A2E82">
      <w:pPr>
        <w:ind w:left="142" w:right="60"/>
        <w:jc w:val="both"/>
      </w:pPr>
      <w:r>
        <w:t xml:space="preserve">Settlement of commodities may be either in physical form or via cash settlement. The trading parties will initiate transfer of funds or physical delivery with their counterparty and advise their account servicing institutions of the delivery or receipt transaction. Upon settlement, the account servicing institution(s) will provide debit and credit advices for cash accounts as well as commodities accounts as necessary. Statements are also sent between account servicing institutions and clients to reconcile positions and outstanding contracts. </w:t>
      </w:r>
    </w:p>
    <w:p w:rsidR="00D27ACD" w:rsidRDefault="00D27ACD" w:rsidP="002A2E82">
      <w:pPr>
        <w:ind w:left="142" w:right="60"/>
        <w:jc w:val="both"/>
      </w:pPr>
    </w:p>
    <w:p w:rsidR="00D27ACD" w:rsidRDefault="00D27ACD" w:rsidP="002A2E82">
      <w:pPr>
        <w:ind w:left="142" w:right="60"/>
        <w:jc w:val="both"/>
      </w:pPr>
    </w:p>
    <w:p w:rsidR="00D27ACD" w:rsidRDefault="00D27ACD" w:rsidP="002A2E82">
      <w:pPr>
        <w:ind w:left="142" w:right="60"/>
        <w:jc w:val="both"/>
      </w:pPr>
    </w:p>
    <w:p w:rsidR="008611DC" w:rsidRDefault="000E706E" w:rsidP="00D27ACD">
      <w:pPr>
        <w:pStyle w:val="Heading2"/>
        <w:numPr>
          <w:ilvl w:val="1"/>
          <w:numId w:val="4"/>
        </w:numPr>
        <w:tabs>
          <w:tab w:val="num" w:pos="780"/>
        </w:tabs>
        <w:spacing w:before="300" w:after="60"/>
        <w:ind w:left="780" w:right="0" w:hanging="720"/>
      </w:pPr>
      <w:bookmarkStart w:id="58" w:name="_Toc340670971"/>
      <w:r>
        <w:t>High-level</w:t>
      </w:r>
      <w:r w:rsidR="008F7250">
        <w:t xml:space="preserve"> standards landscape</w:t>
      </w:r>
      <w:bookmarkEnd w:id="58"/>
    </w:p>
    <w:p w:rsidR="00D27ACD" w:rsidRPr="00D27ACD" w:rsidRDefault="009A53A9" w:rsidP="00D27ACD">
      <w:r>
        <w:rPr>
          <w:noProof/>
          <w:lang w:eastAsia="en-GB"/>
        </w:rPr>
        <w:drawing>
          <wp:anchor distT="0" distB="0" distL="114300" distR="114300" simplePos="0" relativeHeight="251704832" behindDoc="1" locked="0" layoutInCell="1" allowOverlap="1" wp14:anchorId="0D5D00EC" wp14:editId="43F913E8">
            <wp:simplePos x="0" y="0"/>
            <wp:positionH relativeFrom="column">
              <wp:align>center</wp:align>
            </wp:positionH>
            <wp:positionV relativeFrom="paragraph">
              <wp:posOffset>219710</wp:posOffset>
            </wp:positionV>
            <wp:extent cx="7378065" cy="2203450"/>
            <wp:effectExtent l="19050" t="0" r="0" b="0"/>
            <wp:wrapTopAndBottom/>
            <wp:docPr id="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7378065" cy="2203450"/>
                    </a:xfrm>
                    <a:prstGeom prst="rect">
                      <a:avLst/>
                    </a:prstGeom>
                    <a:noFill/>
                    <a:ln w="9525">
                      <a:noFill/>
                      <a:miter lim="800000"/>
                      <a:headEnd/>
                      <a:tailEnd/>
                    </a:ln>
                  </pic:spPr>
                </pic:pic>
              </a:graphicData>
            </a:graphic>
          </wp:anchor>
        </w:drawing>
      </w:r>
    </w:p>
    <w:p w:rsidR="008611DC" w:rsidRDefault="008611DC" w:rsidP="00D27ACD">
      <w:pPr>
        <w:jc w:val="center"/>
      </w:pPr>
    </w:p>
    <w:p w:rsidR="008611DC" w:rsidRPr="008611DC" w:rsidRDefault="008611DC" w:rsidP="008611DC"/>
    <w:p w:rsidR="008F7250" w:rsidRDefault="008F7250" w:rsidP="00555624">
      <w:pPr>
        <w:ind w:left="851"/>
      </w:pPr>
    </w:p>
    <w:p w:rsidR="008611DC" w:rsidRDefault="008611DC" w:rsidP="00555624">
      <w:pPr>
        <w:ind w:left="851"/>
      </w:pPr>
    </w:p>
    <w:p w:rsidR="008611DC" w:rsidRPr="00E17202" w:rsidRDefault="008611DC" w:rsidP="00555624">
      <w:pPr>
        <w:ind w:left="851"/>
      </w:pPr>
    </w:p>
    <w:p w:rsidR="00091848" w:rsidRDefault="008F7250">
      <w:pPr>
        <w:pStyle w:val="Heading2"/>
        <w:pageBreakBefore/>
        <w:numPr>
          <w:ilvl w:val="1"/>
          <w:numId w:val="4"/>
        </w:numPr>
        <w:tabs>
          <w:tab w:val="num" w:pos="780"/>
        </w:tabs>
        <w:spacing w:before="300" w:after="60"/>
        <w:ind w:left="782" w:right="0" w:hanging="720"/>
      </w:pPr>
      <w:bookmarkStart w:id="59" w:name="_Toc340670972"/>
      <w:r>
        <w:lastRenderedPageBreak/>
        <w:t>Detailed standards landscape</w:t>
      </w:r>
      <w:bookmarkEnd w:id="59"/>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80"/>
        <w:gridCol w:w="3780"/>
        <w:gridCol w:w="3780"/>
      </w:tblGrid>
      <w:tr w:rsidR="008F7250" w:rsidRPr="00EE2E88" w:rsidTr="00F84134">
        <w:tc>
          <w:tcPr>
            <w:tcW w:w="1418" w:type="dxa"/>
          </w:tcPr>
          <w:p w:rsidR="008F7250" w:rsidRPr="00EE2E88" w:rsidRDefault="008F7250" w:rsidP="002A2E82">
            <w:pPr>
              <w:ind w:left="0" w:right="53"/>
              <w:rPr>
                <w:b/>
              </w:rPr>
            </w:pPr>
            <w:r>
              <w:rPr>
                <w:b/>
              </w:rPr>
              <w:t>Process Area</w:t>
            </w:r>
          </w:p>
        </w:tc>
        <w:tc>
          <w:tcPr>
            <w:tcW w:w="3780" w:type="dxa"/>
          </w:tcPr>
          <w:p w:rsidR="008F7250" w:rsidRPr="00EE2E88" w:rsidRDefault="008F7250" w:rsidP="002A2E82">
            <w:pPr>
              <w:ind w:left="0" w:right="53"/>
              <w:rPr>
                <w:b/>
              </w:rPr>
            </w:pPr>
            <w:r>
              <w:rPr>
                <w:b/>
              </w:rPr>
              <w:t>Availability of MT, ISO 15022 and ISO 20022</w:t>
            </w:r>
          </w:p>
        </w:tc>
        <w:tc>
          <w:tcPr>
            <w:tcW w:w="3780" w:type="dxa"/>
          </w:tcPr>
          <w:p w:rsidR="008F7250" w:rsidRPr="00EE2E88" w:rsidRDefault="008F7250" w:rsidP="002A2E82">
            <w:pPr>
              <w:ind w:left="0" w:right="53"/>
              <w:rPr>
                <w:b/>
              </w:rPr>
            </w:pPr>
            <w:r w:rsidRPr="00EE2E88">
              <w:rPr>
                <w:b/>
              </w:rPr>
              <w:t>Availability of other standards</w:t>
            </w:r>
          </w:p>
        </w:tc>
        <w:tc>
          <w:tcPr>
            <w:tcW w:w="3780" w:type="dxa"/>
          </w:tcPr>
          <w:p w:rsidR="008F7250" w:rsidRPr="00EE2E88" w:rsidRDefault="008F7250" w:rsidP="002A2E82">
            <w:pPr>
              <w:ind w:left="0" w:right="53"/>
              <w:rPr>
                <w:b/>
              </w:rPr>
            </w:pPr>
            <w:proofErr w:type="spellStart"/>
            <w:r w:rsidRPr="00EE2E88">
              <w:rPr>
                <w:b/>
              </w:rPr>
              <w:t>Ongoing</w:t>
            </w:r>
            <w:proofErr w:type="spellEnd"/>
            <w:r w:rsidRPr="00EE2E88">
              <w:rPr>
                <w:b/>
              </w:rPr>
              <w:t xml:space="preserve"> &amp; planned activities Opportunities</w:t>
            </w:r>
          </w:p>
        </w:tc>
      </w:tr>
      <w:tr w:rsidR="008F7250" w:rsidRPr="001D5EB7" w:rsidTr="00F84134">
        <w:tc>
          <w:tcPr>
            <w:tcW w:w="1418" w:type="dxa"/>
          </w:tcPr>
          <w:p w:rsidR="008F7250" w:rsidRPr="00EE2E88" w:rsidRDefault="008F7250" w:rsidP="002A2E82">
            <w:pPr>
              <w:ind w:left="0" w:right="53"/>
              <w:rPr>
                <w:b/>
              </w:rPr>
            </w:pPr>
            <w:r w:rsidRPr="00EE2E88">
              <w:rPr>
                <w:b/>
              </w:rPr>
              <w:t>Pre-trade</w:t>
            </w:r>
          </w:p>
        </w:tc>
        <w:tc>
          <w:tcPr>
            <w:tcW w:w="3780" w:type="dxa"/>
          </w:tcPr>
          <w:p w:rsidR="008F7250" w:rsidRPr="00EE2E88" w:rsidRDefault="008F7250" w:rsidP="002A2E82">
            <w:pPr>
              <w:ind w:left="0" w:right="53"/>
            </w:pPr>
            <w:r w:rsidRPr="00EE2E88">
              <w:t>None</w:t>
            </w:r>
          </w:p>
        </w:tc>
        <w:tc>
          <w:tcPr>
            <w:tcW w:w="3780" w:type="dxa"/>
          </w:tcPr>
          <w:p w:rsidR="008F7250" w:rsidRPr="00EE2E88" w:rsidRDefault="008F7250" w:rsidP="002A2E82">
            <w:pPr>
              <w:ind w:left="0" w:right="53"/>
            </w:pPr>
            <w:r w:rsidRPr="00EE2E88">
              <w:t xml:space="preserve">Limited coverage of pre-trade activities is provided in FIX for synthetic commodities. </w:t>
            </w:r>
          </w:p>
          <w:p w:rsidR="008F7250" w:rsidRPr="00EE2E88" w:rsidRDefault="008F7250" w:rsidP="002A2E82">
            <w:pPr>
              <w:ind w:left="0" w:right="53"/>
            </w:pPr>
            <w:r w:rsidRPr="00EE2E88">
              <w:t xml:space="preserve">No standards for physical commodities are available at present.  </w:t>
            </w:r>
          </w:p>
        </w:tc>
        <w:tc>
          <w:tcPr>
            <w:tcW w:w="3780" w:type="dxa"/>
          </w:tcPr>
          <w:p w:rsidR="008F7250" w:rsidRPr="00EE2E88" w:rsidRDefault="008F7250" w:rsidP="002A2E82">
            <w:pPr>
              <w:ind w:left="0" w:right="53"/>
            </w:pPr>
            <w:r w:rsidRPr="00EE2E88">
              <w:t xml:space="preserve">Working with FIX on pre-trade standards. Scope should be expanded to include synthetic commodities in the ISO 20022 business model. </w:t>
            </w:r>
          </w:p>
        </w:tc>
      </w:tr>
      <w:tr w:rsidR="008F7250" w:rsidRPr="001D5EB7" w:rsidTr="00F84134">
        <w:tc>
          <w:tcPr>
            <w:tcW w:w="1418" w:type="dxa"/>
          </w:tcPr>
          <w:p w:rsidR="008F7250" w:rsidRPr="00EE2E88" w:rsidRDefault="008F7250" w:rsidP="002A2E82">
            <w:pPr>
              <w:ind w:left="0" w:right="53"/>
              <w:rPr>
                <w:b/>
              </w:rPr>
            </w:pPr>
            <w:r w:rsidRPr="00EE2E88">
              <w:rPr>
                <w:b/>
              </w:rPr>
              <w:t>Trade</w:t>
            </w:r>
          </w:p>
        </w:tc>
        <w:tc>
          <w:tcPr>
            <w:tcW w:w="3780" w:type="dxa"/>
          </w:tcPr>
          <w:p w:rsidR="008F7250" w:rsidRDefault="008F7250" w:rsidP="002A2E82">
            <w:pPr>
              <w:ind w:left="0" w:right="53"/>
            </w:pPr>
            <w:r w:rsidRPr="00EE2E88">
              <w:t>Limited coverage with MT messages for post-trade on precious and base metals</w:t>
            </w:r>
            <w:r w:rsidR="00007565">
              <w:t xml:space="preserve"> and commodities</w:t>
            </w:r>
            <w:r w:rsidRPr="00EE2E88">
              <w:t xml:space="preserve">. </w:t>
            </w:r>
          </w:p>
          <w:p w:rsidR="008F7250" w:rsidRPr="00EE2E88" w:rsidRDefault="008F7250" w:rsidP="002A2E82">
            <w:pPr>
              <w:ind w:left="0" w:right="53"/>
            </w:pPr>
            <w:r w:rsidRPr="00EE2E88">
              <w:t>ISO 15022 for carbon emissions settlement using the category 5 messages has been documented.</w:t>
            </w:r>
          </w:p>
        </w:tc>
        <w:tc>
          <w:tcPr>
            <w:tcW w:w="3780" w:type="dxa"/>
          </w:tcPr>
          <w:p w:rsidR="008F7250" w:rsidRDefault="008F7250" w:rsidP="002A2E82">
            <w:pPr>
              <w:ind w:left="0" w:right="53"/>
            </w:pPr>
            <w:r w:rsidRPr="00EE2E88">
              <w:t>Limited coverage for synthetic commodities exists in the FIX standard.</w:t>
            </w:r>
          </w:p>
          <w:p w:rsidR="008F7250" w:rsidRPr="00EE2E88" w:rsidRDefault="008F7250" w:rsidP="00F84134">
            <w:pPr>
              <w:ind w:left="0" w:right="53"/>
            </w:pPr>
            <w:proofErr w:type="spellStart"/>
            <w:r w:rsidRPr="00EE2E88">
              <w:t>FpML</w:t>
            </w:r>
            <w:proofErr w:type="spellEnd"/>
            <w:r w:rsidRPr="00EE2E88">
              <w:t xml:space="preserve"> </w:t>
            </w:r>
            <w:r>
              <w:t>for</w:t>
            </w:r>
            <w:r w:rsidRPr="00EE2E88">
              <w:t xml:space="preserve"> physical commodities and OTC derivatives of commodities trading. </w:t>
            </w:r>
          </w:p>
        </w:tc>
        <w:tc>
          <w:tcPr>
            <w:tcW w:w="3780" w:type="dxa"/>
          </w:tcPr>
          <w:p w:rsidR="008F7250" w:rsidRPr="00EE2E88" w:rsidRDefault="008F7250" w:rsidP="002A2E82">
            <w:pPr>
              <w:ind w:left="0" w:right="53"/>
            </w:pPr>
            <w:r w:rsidRPr="00EE2E88">
              <w:t xml:space="preserve">Awaiting business case from Markets on ISO 20022 solution for commodities trade, post-trade and settlement. </w:t>
            </w:r>
          </w:p>
        </w:tc>
      </w:tr>
      <w:tr w:rsidR="008F7250" w:rsidRPr="001D5EB7" w:rsidTr="00F84134">
        <w:tc>
          <w:tcPr>
            <w:tcW w:w="1418" w:type="dxa"/>
          </w:tcPr>
          <w:p w:rsidR="008F7250" w:rsidRPr="00EE2E88" w:rsidRDefault="008F7250" w:rsidP="00F24D90">
            <w:pPr>
              <w:ind w:left="0" w:right="53"/>
              <w:rPr>
                <w:b/>
              </w:rPr>
            </w:pPr>
            <w:r>
              <w:rPr>
                <w:b/>
              </w:rPr>
              <w:t>Post-trade</w:t>
            </w:r>
          </w:p>
        </w:tc>
        <w:tc>
          <w:tcPr>
            <w:tcW w:w="3780" w:type="dxa"/>
          </w:tcPr>
          <w:p w:rsidR="008F7250" w:rsidRDefault="008F7250" w:rsidP="00F24D90">
            <w:pPr>
              <w:ind w:left="0" w:right="53"/>
            </w:pPr>
            <w:r w:rsidRPr="00EE2E88">
              <w:t>Limited coverage with MT messages for post-trade on precious and base metals</w:t>
            </w:r>
            <w:r w:rsidR="00007565">
              <w:t xml:space="preserve"> and commodities</w:t>
            </w:r>
            <w:r w:rsidRPr="00EE2E88">
              <w:t xml:space="preserve">. </w:t>
            </w:r>
          </w:p>
          <w:p w:rsidR="008F7250" w:rsidRPr="00EE2E88" w:rsidRDefault="008F7250" w:rsidP="00F24D90">
            <w:pPr>
              <w:ind w:left="0" w:right="53"/>
            </w:pPr>
            <w:r w:rsidRPr="00EE2E88">
              <w:t>ISO 15022 for carbon emissions settlement using the category 5 messages has been documented.</w:t>
            </w:r>
          </w:p>
        </w:tc>
        <w:tc>
          <w:tcPr>
            <w:tcW w:w="3780" w:type="dxa"/>
          </w:tcPr>
          <w:p w:rsidR="008F7250" w:rsidRDefault="008F7250" w:rsidP="00F84134">
            <w:pPr>
              <w:ind w:left="0" w:right="53"/>
            </w:pPr>
            <w:r w:rsidRPr="00EE2E88">
              <w:t>Limited coverage for synthetic commodities exists in the FIX standard.</w:t>
            </w:r>
          </w:p>
          <w:p w:rsidR="008F7250" w:rsidRPr="00EE2E88" w:rsidRDefault="008F7250" w:rsidP="00F84134">
            <w:pPr>
              <w:ind w:left="0" w:right="53"/>
            </w:pPr>
            <w:proofErr w:type="spellStart"/>
            <w:r w:rsidRPr="00EE2E88">
              <w:t>FpML</w:t>
            </w:r>
            <w:proofErr w:type="spellEnd"/>
            <w:r w:rsidRPr="00EE2E88">
              <w:t xml:space="preserve"> </w:t>
            </w:r>
            <w:r>
              <w:t>for</w:t>
            </w:r>
            <w:r w:rsidRPr="00EE2E88">
              <w:t xml:space="preserve"> physical commodities and OTC derivatives of commodities trading.</w:t>
            </w:r>
          </w:p>
        </w:tc>
        <w:tc>
          <w:tcPr>
            <w:tcW w:w="3780" w:type="dxa"/>
          </w:tcPr>
          <w:p w:rsidR="008F7250" w:rsidRPr="00EE2E88" w:rsidRDefault="008F7250" w:rsidP="00F24D90">
            <w:pPr>
              <w:ind w:left="0" w:right="53"/>
            </w:pPr>
            <w:r w:rsidRPr="00EE2E88">
              <w:t xml:space="preserve">Awaiting business case from Markets on ISO 20022 solution for commodities trade, post-trade and settlement. </w:t>
            </w:r>
          </w:p>
        </w:tc>
      </w:tr>
      <w:tr w:rsidR="008F7250" w:rsidRPr="001D5EB7" w:rsidTr="00F84134">
        <w:tc>
          <w:tcPr>
            <w:tcW w:w="1418" w:type="dxa"/>
          </w:tcPr>
          <w:p w:rsidR="008F7250" w:rsidRPr="00EE2E88" w:rsidRDefault="008F7250" w:rsidP="002A2E82">
            <w:pPr>
              <w:ind w:left="0" w:right="53"/>
              <w:rPr>
                <w:b/>
              </w:rPr>
            </w:pPr>
            <w:r w:rsidRPr="00EE2E88">
              <w:rPr>
                <w:b/>
              </w:rPr>
              <w:t>Settlement</w:t>
            </w:r>
          </w:p>
        </w:tc>
        <w:tc>
          <w:tcPr>
            <w:tcW w:w="3780" w:type="dxa"/>
          </w:tcPr>
          <w:p w:rsidR="008F7250" w:rsidRPr="00EE2E88" w:rsidRDefault="008F7250" w:rsidP="002A2E82">
            <w:pPr>
              <w:ind w:left="0" w:right="53"/>
            </w:pPr>
            <w:r w:rsidRPr="00EE2E88">
              <w:t xml:space="preserve">ISO 15022 and </w:t>
            </w:r>
            <w:r w:rsidR="004230B0">
              <w:t xml:space="preserve">ISO </w:t>
            </w:r>
            <w:r w:rsidRPr="00EE2E88">
              <w:t>20022 messages support cash settlement.</w:t>
            </w:r>
          </w:p>
          <w:p w:rsidR="008F7250" w:rsidRPr="00EE2E88" w:rsidRDefault="008F7250" w:rsidP="002A2E82">
            <w:pPr>
              <w:ind w:left="0" w:right="53"/>
            </w:pPr>
            <w:r w:rsidRPr="00EE2E88">
              <w:t>ISO 15022 for carbon emissions settlement using the category 5 messages has been documented.</w:t>
            </w:r>
          </w:p>
        </w:tc>
        <w:tc>
          <w:tcPr>
            <w:tcW w:w="3780" w:type="dxa"/>
          </w:tcPr>
          <w:p w:rsidR="008F7250" w:rsidRPr="00EE2E88" w:rsidRDefault="008F7250" w:rsidP="002A2E82">
            <w:pPr>
              <w:ind w:left="0" w:right="53"/>
            </w:pPr>
            <w:r w:rsidRPr="00EE2E88">
              <w:t>None</w:t>
            </w:r>
          </w:p>
        </w:tc>
        <w:tc>
          <w:tcPr>
            <w:tcW w:w="3780" w:type="dxa"/>
          </w:tcPr>
          <w:p w:rsidR="008F7250" w:rsidRPr="00EE2E88" w:rsidRDefault="008F7250" w:rsidP="002A2E82">
            <w:pPr>
              <w:ind w:left="0" w:right="53"/>
            </w:pPr>
            <w:r w:rsidRPr="00EE2E88">
              <w:t>Awaiting business case from Markets on ISO 20022 solution for commodities trade, post-trade and settlement.</w:t>
            </w:r>
          </w:p>
        </w:tc>
      </w:tr>
    </w:tbl>
    <w:p w:rsidR="005251CB" w:rsidRDefault="005251CB" w:rsidP="005251CB">
      <w:pPr>
        <w:pStyle w:val="Heading2"/>
        <w:tabs>
          <w:tab w:val="clear" w:pos="360"/>
          <w:tab w:val="num" w:pos="1296"/>
        </w:tabs>
        <w:spacing w:before="300" w:after="60"/>
        <w:ind w:left="780" w:right="0" w:firstLine="0"/>
      </w:pPr>
    </w:p>
    <w:p w:rsidR="00091848" w:rsidRDefault="008F7250">
      <w:pPr>
        <w:pStyle w:val="Heading2"/>
        <w:numPr>
          <w:ilvl w:val="1"/>
          <w:numId w:val="4"/>
        </w:numPr>
        <w:tabs>
          <w:tab w:val="num" w:pos="780"/>
        </w:tabs>
        <w:spacing w:before="300" w:after="60"/>
        <w:ind w:left="780" w:right="0" w:hanging="720"/>
      </w:pPr>
      <w:bookmarkStart w:id="60" w:name="_Toc340670973"/>
      <w:r>
        <w:t>Additional opportunities</w:t>
      </w:r>
      <w:bookmarkEnd w:id="60"/>
    </w:p>
    <w:p w:rsidR="008F7250" w:rsidRDefault="008F7250" w:rsidP="002A2E82">
      <w:pPr>
        <w:ind w:left="142" w:right="60"/>
        <w:jc w:val="both"/>
      </w:pPr>
      <w:r>
        <w:t xml:space="preserve">Additional opportunities exist with commodities </w:t>
      </w:r>
      <w:r w:rsidR="00E62FC1">
        <w:t>corporations</w:t>
      </w:r>
      <w:r>
        <w:t xml:space="preserve">, such as mining </w:t>
      </w:r>
      <w:r w:rsidR="00E62FC1">
        <w:t>corporations</w:t>
      </w:r>
      <w:r>
        <w:t xml:space="preserve"> etc.</w:t>
      </w:r>
      <w:r w:rsidR="00A148F7">
        <w:t>,</w:t>
      </w:r>
      <w:r>
        <w:t xml:space="preserve"> in communication with their banks, which is a completely un-tapped and fully manual market. Both banks and </w:t>
      </w:r>
      <w:r w:rsidR="00E62FC1">
        <w:t>corporations</w:t>
      </w:r>
      <w:r>
        <w:t xml:space="preserve"> have indicated a need for Alliance </w:t>
      </w:r>
      <w:proofErr w:type="spellStart"/>
      <w:r>
        <w:t>Lite</w:t>
      </w:r>
      <w:proofErr w:type="spellEnd"/>
      <w:r>
        <w:t xml:space="preserve"> in this space as well as standards development to automate a fully manual process. </w:t>
      </w:r>
    </w:p>
    <w:p w:rsidR="00E05E93" w:rsidRDefault="008F7250" w:rsidP="005251CB">
      <w:pPr>
        <w:ind w:left="142" w:right="60"/>
        <w:jc w:val="both"/>
      </w:pPr>
      <w:r>
        <w:lastRenderedPageBreak/>
        <w:t xml:space="preserve">The </w:t>
      </w:r>
      <w:proofErr w:type="spellStart"/>
      <w:r>
        <w:t>FpML</w:t>
      </w:r>
      <w:proofErr w:type="spellEnd"/>
      <w:r>
        <w:t xml:space="preserve"> Commodities working group has recently initiated discussions on providing coverage for physical delivery and settlement of commodities, specifically oil and gas via pipeline and barge. SWIFT Markets business case should provide clarification on whether the market wants standardisation efforts to continue in </w:t>
      </w:r>
      <w:proofErr w:type="spellStart"/>
      <w:r>
        <w:t>FpML</w:t>
      </w:r>
      <w:proofErr w:type="spellEnd"/>
      <w:r>
        <w:t xml:space="preserve"> or ISO 20022. </w:t>
      </w:r>
      <w:r w:rsidR="00E05E93">
        <w:br w:type="page"/>
      </w:r>
    </w:p>
    <w:p w:rsidR="00392BF9" w:rsidRPr="00D76516" w:rsidRDefault="000B35B5">
      <w:pPr>
        <w:pStyle w:val="Heading1"/>
        <w:numPr>
          <w:ilvl w:val="0"/>
          <w:numId w:val="4"/>
        </w:numPr>
        <w:tabs>
          <w:tab w:val="num" w:pos="360"/>
        </w:tabs>
        <w:spacing w:before="300" w:after="60"/>
        <w:ind w:left="360" w:right="0" w:hanging="360"/>
        <w:rPr>
          <w:color w:val="auto"/>
        </w:rPr>
      </w:pPr>
      <w:bookmarkStart w:id="61" w:name="_Toc340670974"/>
      <w:bookmarkStart w:id="62" w:name="_Toc284849369"/>
      <w:r w:rsidRPr="00D76516">
        <w:rPr>
          <w:color w:val="auto"/>
        </w:rPr>
        <w:lastRenderedPageBreak/>
        <w:t xml:space="preserve">Trade and </w:t>
      </w:r>
      <w:r w:rsidR="00BA3AB4" w:rsidRPr="00D76516">
        <w:rPr>
          <w:color w:val="auto"/>
        </w:rPr>
        <w:t>Supply Chain</w:t>
      </w:r>
      <w:bookmarkEnd w:id="61"/>
    </w:p>
    <w:p w:rsidR="0020348B" w:rsidRDefault="0020348B" w:rsidP="0020348B">
      <w:pPr>
        <w:pStyle w:val="Heading1"/>
        <w:numPr>
          <w:ilvl w:val="1"/>
          <w:numId w:val="4"/>
        </w:numPr>
        <w:tabs>
          <w:tab w:val="left" w:pos="1134"/>
        </w:tabs>
        <w:spacing w:before="300" w:after="60"/>
        <w:ind w:right="0"/>
      </w:pPr>
      <w:bookmarkStart w:id="63" w:name="_Toc340670975"/>
      <w:r>
        <w:t>Supply Chain</w:t>
      </w:r>
      <w:r w:rsidR="00D76516">
        <w:t xml:space="preserve"> Overview</w:t>
      </w:r>
      <w:bookmarkEnd w:id="63"/>
    </w:p>
    <w:p w:rsidR="0020348B" w:rsidRDefault="0020348B" w:rsidP="0020348B">
      <w:pPr>
        <w:pStyle w:val="Heading2"/>
        <w:numPr>
          <w:ilvl w:val="2"/>
          <w:numId w:val="4"/>
        </w:numPr>
        <w:tabs>
          <w:tab w:val="num" w:pos="1134"/>
        </w:tabs>
        <w:spacing w:before="300" w:after="60"/>
        <w:ind w:left="1134" w:right="0" w:hanging="992"/>
      </w:pPr>
      <w:bookmarkStart w:id="64" w:name="_Toc340670976"/>
      <w:r>
        <w:t>Business overview</w:t>
      </w:r>
      <w:bookmarkEnd w:id="64"/>
    </w:p>
    <w:p w:rsidR="00812020" w:rsidRDefault="00812020" w:rsidP="001D1B57">
      <w:pPr>
        <w:ind w:left="851" w:hanging="142"/>
      </w:pPr>
    </w:p>
    <w:p w:rsidR="007A5CFD" w:rsidRDefault="007A5CFD" w:rsidP="001D1B57">
      <w:pPr>
        <w:ind w:left="851" w:hanging="142"/>
      </w:pPr>
      <w:r>
        <w:rPr>
          <w:noProof/>
          <w:lang w:eastAsia="en-GB"/>
        </w:rPr>
        <w:drawing>
          <wp:inline distT="0" distB="0" distL="0" distR="0" wp14:anchorId="457D91A2" wp14:editId="7D48D255">
            <wp:extent cx="7852410" cy="3756660"/>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7852410" cy="3756660"/>
                    </a:xfrm>
                    <a:prstGeom prst="rect">
                      <a:avLst/>
                    </a:prstGeom>
                    <a:noFill/>
                  </pic:spPr>
                </pic:pic>
              </a:graphicData>
            </a:graphic>
          </wp:inline>
        </w:drawing>
      </w:r>
    </w:p>
    <w:p w:rsidR="004D5F07" w:rsidRDefault="004D5F07" w:rsidP="001D1B57">
      <w:pPr>
        <w:ind w:left="851" w:hanging="142"/>
      </w:pPr>
    </w:p>
    <w:p w:rsidR="00812020" w:rsidRPr="00676572" w:rsidRDefault="00812020" w:rsidP="001D1B57">
      <w:pPr>
        <w:ind w:left="851" w:hanging="142"/>
      </w:pPr>
    </w:p>
    <w:p w:rsidR="0020348B" w:rsidRPr="00E17202" w:rsidRDefault="0020348B" w:rsidP="0020348B">
      <w:pPr>
        <w:ind w:left="142" w:right="60"/>
        <w:jc w:val="both"/>
      </w:pPr>
      <w:r w:rsidRPr="00E17202">
        <w:t xml:space="preserve">Over recent years large strides have been made to improve efficiencies in the commercial supply chain (movement of goods or services between buyer and seller) - reduced lead times, lower inventories, more responsiveness, increased variety, more collaboration on planning and forecasting, and improved customer service. Along with this trend has been a move from traditional financing instruments such as documentary credits to open account settlement. </w:t>
      </w:r>
    </w:p>
    <w:p w:rsidR="0020348B" w:rsidRDefault="0020348B" w:rsidP="0020348B">
      <w:pPr>
        <w:ind w:left="142" w:right="60"/>
        <w:jc w:val="both"/>
      </w:pPr>
      <w:r w:rsidRPr="00E17202">
        <w:lastRenderedPageBreak/>
        <w:t>Open account settlement agreements rely more on the stable trading relationship between the buyer and seller and typically have a less rigorous compliance regime. Such agreements are giving rise to the development by banks of a range of supply chain finance products, for pre-</w:t>
      </w:r>
      <w:r>
        <w:t xml:space="preserve"> and</w:t>
      </w:r>
      <w:r w:rsidRPr="00E17202">
        <w:t xml:space="preserve"> post-shipment financing. For exam</w:t>
      </w:r>
      <w:r>
        <w:t>ple, buyers seeking to extend</w:t>
      </w:r>
      <w:r w:rsidRPr="00E17202">
        <w:t xml:space="preserve"> their payment terms by requesting their banks to cooperate in financing designated suppliers and to collaborate in the supply chain process by contributing to the provision of information relating to the status of the documentation and finance process.</w:t>
      </w:r>
    </w:p>
    <w:p w:rsidR="0020348B" w:rsidRDefault="0020348B" w:rsidP="0020348B">
      <w:pPr>
        <w:ind w:left="142" w:right="60"/>
        <w:jc w:val="both"/>
      </w:pPr>
      <w:r w:rsidRPr="00E17202">
        <w:t xml:space="preserve">The </w:t>
      </w:r>
      <w:proofErr w:type="spellStart"/>
      <w:r w:rsidRPr="00E17202">
        <w:t>SWIFTNet</w:t>
      </w:r>
      <w:proofErr w:type="spellEnd"/>
      <w:r w:rsidRPr="00E17202">
        <w:t xml:space="preserve"> Trade Services </w:t>
      </w:r>
      <w:r w:rsidRPr="00D76516">
        <w:t>Utility</w:t>
      </w:r>
      <w:r w:rsidR="0097061D" w:rsidRPr="00D76516">
        <w:t xml:space="preserve"> (TSU) </w:t>
      </w:r>
      <w:r w:rsidRPr="00D76516">
        <w:t>is a collaborative</w:t>
      </w:r>
      <w:r w:rsidRPr="00E17202">
        <w:t xml:space="preserve"> centralised matching utility</w:t>
      </w:r>
      <w:r>
        <w:t>,</w:t>
      </w:r>
      <w:r w:rsidRPr="00E17202">
        <w:t xml:space="preserve"> designed to address supply chain financing.  Banks can build individually on the core functionality of the TSU to offer competitive services that will be complementary to their existing offerings to their corporate customers</w:t>
      </w:r>
      <w:r>
        <w:t>.</w:t>
      </w:r>
    </w:p>
    <w:p w:rsidR="0020348B" w:rsidRDefault="0020348B" w:rsidP="0020348B">
      <w:pPr>
        <w:ind w:left="142" w:right="60"/>
        <w:jc w:val="both"/>
        <w:rPr>
          <w:b/>
        </w:rPr>
      </w:pPr>
    </w:p>
    <w:p w:rsidR="0020348B" w:rsidRPr="00324EE3" w:rsidRDefault="0020348B" w:rsidP="0020348B">
      <w:pPr>
        <w:ind w:left="142" w:right="60"/>
        <w:jc w:val="both"/>
        <w:rPr>
          <w:b/>
        </w:rPr>
      </w:pPr>
      <w:r w:rsidRPr="00324EE3">
        <w:rPr>
          <w:b/>
        </w:rPr>
        <w:t>Procurement</w:t>
      </w:r>
    </w:p>
    <w:p w:rsidR="0020348B" w:rsidRDefault="0020348B" w:rsidP="0020348B">
      <w:pPr>
        <w:ind w:left="142" w:right="60"/>
        <w:jc w:val="both"/>
        <w:rPr>
          <w:noProof/>
        </w:rPr>
      </w:pPr>
      <w:r>
        <w:rPr>
          <w:noProof/>
        </w:rPr>
        <w:t>Importer (buyer) and exporter (seller) negotiate a sales contract and the importer issues a purchase order to the exporter.</w:t>
      </w:r>
      <w:r w:rsidR="007256ED">
        <w:rPr>
          <w:noProof/>
        </w:rPr>
        <w:t xml:space="preserve"> Depending on the purchase agreement, the exporter may issue a pro-forma invoice.</w:t>
      </w:r>
    </w:p>
    <w:p w:rsidR="0020348B" w:rsidRDefault="0020348B" w:rsidP="0020348B">
      <w:pPr>
        <w:ind w:left="142" w:right="60"/>
        <w:jc w:val="both"/>
        <w:rPr>
          <w:b/>
        </w:rPr>
      </w:pPr>
    </w:p>
    <w:p w:rsidR="0020348B" w:rsidRPr="00324EE3" w:rsidRDefault="0020348B" w:rsidP="0020348B">
      <w:pPr>
        <w:ind w:left="142" w:right="60"/>
        <w:jc w:val="both"/>
        <w:rPr>
          <w:b/>
        </w:rPr>
      </w:pPr>
      <w:r w:rsidRPr="00324EE3">
        <w:rPr>
          <w:b/>
        </w:rPr>
        <w:t>Pre-shipment Financing</w:t>
      </w:r>
    </w:p>
    <w:p w:rsidR="0020348B" w:rsidRPr="00D76516" w:rsidRDefault="0020348B" w:rsidP="0020348B">
      <w:pPr>
        <w:ind w:left="142" w:right="60"/>
        <w:jc w:val="both"/>
      </w:pPr>
      <w:r>
        <w:t xml:space="preserve">The exporter requests financing from the financing bank, which </w:t>
      </w:r>
      <w:r w:rsidRPr="00D76516">
        <w:t>authenticates the purchase order</w:t>
      </w:r>
      <w:r w:rsidR="00B66ED6" w:rsidRPr="00D76516">
        <w:t xml:space="preserve"> or export letter of credit</w:t>
      </w:r>
      <w:r w:rsidRPr="00D76516">
        <w:t xml:space="preserve">, confirms the creditworthiness of the importer </w:t>
      </w:r>
      <w:r w:rsidR="007256ED">
        <w:t xml:space="preserve">and/or exporter, </w:t>
      </w:r>
      <w:r w:rsidRPr="00D76516">
        <w:t>and provides advance financing to the exporter.</w:t>
      </w:r>
    </w:p>
    <w:p w:rsidR="0020348B" w:rsidRPr="00D76516" w:rsidRDefault="0020348B" w:rsidP="0020348B">
      <w:pPr>
        <w:ind w:left="142" w:right="60"/>
        <w:jc w:val="both"/>
        <w:rPr>
          <w:b/>
        </w:rPr>
      </w:pPr>
    </w:p>
    <w:p w:rsidR="0020348B" w:rsidRPr="00D76516" w:rsidRDefault="0020348B" w:rsidP="0020348B">
      <w:pPr>
        <w:ind w:left="142" w:right="60"/>
        <w:jc w:val="both"/>
        <w:rPr>
          <w:b/>
        </w:rPr>
      </w:pPr>
      <w:r w:rsidRPr="00D76516">
        <w:rPr>
          <w:b/>
        </w:rPr>
        <w:t>Matching</w:t>
      </w:r>
    </w:p>
    <w:p w:rsidR="0020348B" w:rsidRPr="00D76516" w:rsidRDefault="0020348B" w:rsidP="0020348B">
      <w:pPr>
        <w:ind w:left="142" w:right="60"/>
        <w:jc w:val="both"/>
      </w:pPr>
      <w:r w:rsidRPr="00D76516">
        <w:t>The exporter ships the goods, issues an invoice and presents the documents to the financing bank. The importer confirms his intention to pay.  In collaboration with its bank, the importer matches the documents and undertakes the obligation to pay.</w:t>
      </w:r>
      <w:r w:rsidR="001D1B57" w:rsidRPr="00D76516">
        <w:t xml:space="preserve"> The exporter may contract a third party </w:t>
      </w:r>
      <w:r w:rsidR="0080567F" w:rsidRPr="00D76516">
        <w:t xml:space="preserve">for invoicing and receivables services including finance through </w:t>
      </w:r>
      <w:r w:rsidR="001D1B57" w:rsidRPr="00D76516">
        <w:t>factoring of its invoices.</w:t>
      </w:r>
    </w:p>
    <w:p w:rsidR="0020348B" w:rsidRPr="00D76516" w:rsidRDefault="0020348B" w:rsidP="0020348B">
      <w:pPr>
        <w:ind w:left="142" w:right="60"/>
        <w:jc w:val="both"/>
        <w:rPr>
          <w:b/>
        </w:rPr>
      </w:pPr>
    </w:p>
    <w:p w:rsidR="0020348B" w:rsidRPr="00D76516" w:rsidRDefault="0020348B" w:rsidP="0020348B">
      <w:pPr>
        <w:ind w:left="142" w:right="60"/>
        <w:jc w:val="both"/>
        <w:rPr>
          <w:b/>
        </w:rPr>
      </w:pPr>
      <w:r w:rsidRPr="00D76516">
        <w:rPr>
          <w:b/>
        </w:rPr>
        <w:t>Post-shipment Financing</w:t>
      </w:r>
    </w:p>
    <w:p w:rsidR="0020348B" w:rsidRPr="00D76516" w:rsidRDefault="0020348B" w:rsidP="0020348B">
      <w:pPr>
        <w:ind w:left="142" w:right="60"/>
        <w:jc w:val="both"/>
      </w:pPr>
      <w:r w:rsidRPr="00D76516">
        <w:t xml:space="preserve">The exporter requests financing from the financing bank, which authenticates the invoice, confirms the creditworthiness of the importer </w:t>
      </w:r>
      <w:r w:rsidR="007256ED">
        <w:t xml:space="preserve">and/or exporter, </w:t>
      </w:r>
      <w:r w:rsidRPr="00D76516">
        <w:t>and provides advance financing to the exporter.</w:t>
      </w:r>
      <w:r w:rsidR="00812020" w:rsidRPr="00D76516">
        <w:t xml:space="preserve"> The exporter may seek finance through factoring </w:t>
      </w:r>
      <w:r w:rsidR="001D1B57" w:rsidRPr="00D76516">
        <w:t xml:space="preserve">or discounting </w:t>
      </w:r>
      <w:r w:rsidR="00812020" w:rsidRPr="00D76516">
        <w:t>of its invoices.</w:t>
      </w:r>
    </w:p>
    <w:p w:rsidR="0020348B" w:rsidRPr="00D76516" w:rsidRDefault="0020348B" w:rsidP="0020348B">
      <w:pPr>
        <w:ind w:left="142" w:right="60"/>
        <w:jc w:val="both"/>
        <w:rPr>
          <w:b/>
        </w:rPr>
      </w:pPr>
    </w:p>
    <w:p w:rsidR="0020348B" w:rsidRPr="00D76516" w:rsidRDefault="0020348B" w:rsidP="0020348B">
      <w:pPr>
        <w:ind w:left="142" w:right="60"/>
        <w:jc w:val="both"/>
        <w:rPr>
          <w:b/>
        </w:rPr>
      </w:pPr>
      <w:r w:rsidRPr="00D76516">
        <w:rPr>
          <w:b/>
        </w:rPr>
        <w:t>Settlement</w:t>
      </w:r>
    </w:p>
    <w:p w:rsidR="0020348B" w:rsidRPr="00D76516" w:rsidRDefault="0020348B" w:rsidP="0020348B">
      <w:pPr>
        <w:ind w:left="142" w:right="60"/>
        <w:jc w:val="both"/>
      </w:pPr>
      <w:r w:rsidRPr="00D76516">
        <w:t xml:space="preserve">The importer receives the goods and pays the exporter </w:t>
      </w:r>
      <w:r w:rsidR="00812020" w:rsidRPr="00D76516">
        <w:t xml:space="preserve">(or factor in the case of factoring) </w:t>
      </w:r>
      <w:r w:rsidRPr="00D76516">
        <w:t xml:space="preserve">who </w:t>
      </w:r>
      <w:r w:rsidR="00B6454E" w:rsidRPr="00D76516">
        <w:t xml:space="preserve">in turn then </w:t>
      </w:r>
      <w:r w:rsidRPr="00D76516">
        <w:t xml:space="preserve">repays </w:t>
      </w:r>
      <w:r w:rsidR="00B6454E" w:rsidRPr="00D76516">
        <w:t>any</w:t>
      </w:r>
      <w:r w:rsidRPr="00D76516">
        <w:t xml:space="preserve"> advance financing to the financing bank.</w:t>
      </w:r>
      <w:r w:rsidR="00B6454E" w:rsidRPr="00D76516">
        <w:t xml:space="preserve"> Under open account settlement, the goods are typically shipped and delivered before payment is due, </w:t>
      </w:r>
      <w:r w:rsidR="00305D1C" w:rsidRPr="00D76516">
        <w:t>for example</w:t>
      </w:r>
      <w:r w:rsidR="00B6454E" w:rsidRPr="00D76516">
        <w:t xml:space="preserve"> 30</w:t>
      </w:r>
      <w:r w:rsidR="00305D1C" w:rsidRPr="00D76516">
        <w:t>, 60, or</w:t>
      </w:r>
      <w:r w:rsidR="00B6454E" w:rsidRPr="00D76516">
        <w:t xml:space="preserve"> 90 day</w:t>
      </w:r>
      <w:r w:rsidR="00305D1C" w:rsidRPr="00D76516">
        <w:t xml:space="preserve"> term</w:t>
      </w:r>
      <w:r w:rsidR="00B6454E" w:rsidRPr="00D76516">
        <w:t xml:space="preserve">s </w:t>
      </w:r>
      <w:r w:rsidR="00305D1C" w:rsidRPr="00D76516">
        <w:t>after invoice or bill of lading date</w:t>
      </w:r>
      <w:r w:rsidR="00B6454E" w:rsidRPr="00D76516">
        <w:t>.</w:t>
      </w:r>
    </w:p>
    <w:p w:rsidR="0020348B" w:rsidRPr="00D76516" w:rsidRDefault="0020348B" w:rsidP="0020348B">
      <w:pPr>
        <w:ind w:left="142" w:right="60"/>
        <w:jc w:val="both"/>
      </w:pPr>
    </w:p>
    <w:p w:rsidR="0020348B" w:rsidRDefault="0020348B" w:rsidP="0020348B">
      <w:pPr>
        <w:ind w:left="142" w:right="60"/>
        <w:jc w:val="both"/>
      </w:pPr>
    </w:p>
    <w:p w:rsidR="0020348B" w:rsidRDefault="0020348B" w:rsidP="0020348B">
      <w:pPr>
        <w:ind w:left="142" w:right="60"/>
        <w:jc w:val="both"/>
      </w:pPr>
    </w:p>
    <w:p w:rsidR="0020348B" w:rsidRDefault="0020348B" w:rsidP="0020348B">
      <w:pPr>
        <w:ind w:left="142" w:right="60"/>
        <w:jc w:val="both"/>
      </w:pPr>
    </w:p>
    <w:p w:rsidR="0020348B" w:rsidRDefault="0020348B" w:rsidP="0020348B">
      <w:pPr>
        <w:pStyle w:val="Heading2"/>
        <w:numPr>
          <w:ilvl w:val="2"/>
          <w:numId w:val="4"/>
        </w:numPr>
        <w:tabs>
          <w:tab w:val="num" w:pos="780"/>
          <w:tab w:val="num" w:pos="1134"/>
        </w:tabs>
        <w:spacing w:before="300" w:after="60"/>
        <w:ind w:left="1134" w:right="0" w:hanging="992"/>
      </w:pPr>
      <w:bookmarkStart w:id="65" w:name="_Toc284849386"/>
      <w:bookmarkStart w:id="66" w:name="_Toc340670977"/>
      <w:r>
        <w:t>High-level standards landscape</w:t>
      </w:r>
      <w:bookmarkEnd w:id="65"/>
      <w:bookmarkEnd w:id="66"/>
    </w:p>
    <w:p w:rsidR="000C49BB" w:rsidRDefault="000C49BB" w:rsidP="000C49BB">
      <w:pPr>
        <w:ind w:left="851"/>
      </w:pPr>
    </w:p>
    <w:p w:rsidR="00755EB0" w:rsidRPr="000C49BB" w:rsidRDefault="00755EB0" w:rsidP="000C49BB">
      <w:pPr>
        <w:ind w:left="851"/>
      </w:pPr>
      <w:r w:rsidRPr="00755EB0">
        <w:rPr>
          <w:noProof/>
          <w:lang w:eastAsia="en-GB"/>
        </w:rPr>
        <w:drawing>
          <wp:inline distT="0" distB="0" distL="0" distR="0" wp14:anchorId="6DBA08F4" wp14:editId="14F65F12">
            <wp:extent cx="7700010" cy="289560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7700010" cy="2895600"/>
                    </a:xfrm>
                    <a:prstGeom prst="rect">
                      <a:avLst/>
                    </a:prstGeom>
                    <a:noFill/>
                    <a:ln w="9525">
                      <a:noFill/>
                      <a:miter lim="800000"/>
                      <a:headEnd/>
                      <a:tailEnd/>
                    </a:ln>
                  </pic:spPr>
                </pic:pic>
              </a:graphicData>
            </a:graphic>
          </wp:inline>
        </w:drawing>
      </w:r>
    </w:p>
    <w:p w:rsidR="0020348B" w:rsidRPr="00A84E3A" w:rsidRDefault="0020348B" w:rsidP="000C49BB">
      <w:pPr>
        <w:ind w:left="851"/>
        <w:jc w:val="center"/>
      </w:pPr>
    </w:p>
    <w:p w:rsidR="005251CB" w:rsidRDefault="005251CB">
      <w:pPr>
        <w:spacing w:before="0"/>
        <w:ind w:left="0" w:right="0"/>
        <w:rPr>
          <w:b/>
        </w:rPr>
      </w:pPr>
      <w:bookmarkStart w:id="67" w:name="_Toc284849387"/>
      <w:r>
        <w:br w:type="page"/>
      </w:r>
    </w:p>
    <w:p w:rsidR="0020348B" w:rsidRDefault="0020348B" w:rsidP="0020348B">
      <w:pPr>
        <w:pStyle w:val="Heading2"/>
        <w:numPr>
          <w:ilvl w:val="2"/>
          <w:numId w:val="4"/>
        </w:numPr>
        <w:tabs>
          <w:tab w:val="num" w:pos="780"/>
          <w:tab w:val="num" w:pos="1134"/>
        </w:tabs>
        <w:spacing w:before="300" w:after="60"/>
        <w:ind w:left="1134" w:right="0" w:hanging="992"/>
      </w:pPr>
      <w:bookmarkStart w:id="68" w:name="_Toc340670978"/>
      <w:r w:rsidRPr="008A54F9">
        <w:lastRenderedPageBreak/>
        <w:t>Detailed standards landscape</w:t>
      </w:r>
      <w:bookmarkEnd w:id="67"/>
      <w:bookmarkEnd w:id="68"/>
    </w:p>
    <w:p w:rsidR="0020348B" w:rsidRPr="00984443" w:rsidRDefault="0020348B" w:rsidP="0020348B"/>
    <w:tbl>
      <w:tblPr>
        <w:tblW w:w="120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496"/>
        <w:gridCol w:w="3497"/>
        <w:gridCol w:w="3497"/>
      </w:tblGrid>
      <w:tr w:rsidR="0020348B" w:rsidRPr="00EE2E88" w:rsidTr="0020348B">
        <w:trPr>
          <w:cantSplit/>
          <w:tblHeader/>
        </w:trPr>
        <w:tc>
          <w:tcPr>
            <w:tcW w:w="1559" w:type="dxa"/>
          </w:tcPr>
          <w:p w:rsidR="0020348B" w:rsidRPr="00EE2E88" w:rsidRDefault="0020348B" w:rsidP="0020348B">
            <w:pPr>
              <w:ind w:left="0" w:right="53"/>
              <w:rPr>
                <w:b/>
              </w:rPr>
            </w:pPr>
            <w:r>
              <w:rPr>
                <w:b/>
              </w:rPr>
              <w:t>Process Area</w:t>
            </w:r>
          </w:p>
        </w:tc>
        <w:tc>
          <w:tcPr>
            <w:tcW w:w="3496" w:type="dxa"/>
          </w:tcPr>
          <w:p w:rsidR="0020348B" w:rsidRPr="00EE2E88" w:rsidRDefault="0020348B" w:rsidP="0020348B">
            <w:pPr>
              <w:ind w:left="0" w:right="53"/>
              <w:rPr>
                <w:b/>
              </w:rPr>
            </w:pPr>
            <w:r>
              <w:rPr>
                <w:b/>
              </w:rPr>
              <w:t>Availability of MT, ISO 15022 and ISO 20022</w:t>
            </w:r>
          </w:p>
        </w:tc>
        <w:tc>
          <w:tcPr>
            <w:tcW w:w="3497" w:type="dxa"/>
          </w:tcPr>
          <w:p w:rsidR="0020348B" w:rsidRPr="00EE2E88" w:rsidRDefault="0020348B" w:rsidP="0020348B">
            <w:pPr>
              <w:ind w:left="0" w:right="53"/>
              <w:rPr>
                <w:b/>
              </w:rPr>
            </w:pPr>
            <w:r w:rsidRPr="00EE2E88">
              <w:rPr>
                <w:b/>
              </w:rPr>
              <w:t>Availability of other standards</w:t>
            </w:r>
          </w:p>
        </w:tc>
        <w:tc>
          <w:tcPr>
            <w:tcW w:w="3497" w:type="dxa"/>
          </w:tcPr>
          <w:p w:rsidR="0020348B" w:rsidRPr="00EE2E88" w:rsidRDefault="0020348B" w:rsidP="0020348B">
            <w:pPr>
              <w:ind w:left="0" w:right="53"/>
              <w:rPr>
                <w:b/>
              </w:rPr>
            </w:pPr>
            <w:proofErr w:type="spellStart"/>
            <w:r w:rsidRPr="00EE2E88">
              <w:rPr>
                <w:b/>
              </w:rPr>
              <w:t>Ongoing</w:t>
            </w:r>
            <w:proofErr w:type="spellEnd"/>
            <w:r w:rsidRPr="00EE2E88">
              <w:rPr>
                <w:b/>
              </w:rPr>
              <w:t xml:space="preserve"> &amp; planned activities Opportunities</w:t>
            </w:r>
          </w:p>
        </w:tc>
      </w:tr>
      <w:tr w:rsidR="0020348B" w:rsidRPr="00994697" w:rsidTr="0020348B">
        <w:trPr>
          <w:cantSplit/>
        </w:trPr>
        <w:tc>
          <w:tcPr>
            <w:tcW w:w="1559" w:type="dxa"/>
          </w:tcPr>
          <w:p w:rsidR="0020348B" w:rsidRPr="00EE2E88" w:rsidRDefault="0020348B" w:rsidP="0020348B">
            <w:pPr>
              <w:ind w:left="0" w:right="53"/>
              <w:rPr>
                <w:b/>
              </w:rPr>
            </w:pPr>
            <w:r w:rsidRPr="00EE2E88">
              <w:rPr>
                <w:b/>
              </w:rPr>
              <w:t>Procurement</w:t>
            </w:r>
          </w:p>
        </w:tc>
        <w:tc>
          <w:tcPr>
            <w:tcW w:w="3496" w:type="dxa"/>
          </w:tcPr>
          <w:p w:rsidR="0020348B" w:rsidRPr="00EE2E88" w:rsidRDefault="0020348B" w:rsidP="0020348B">
            <w:pPr>
              <w:ind w:left="0" w:right="53"/>
            </w:pPr>
            <w:r w:rsidRPr="00EE2E88">
              <w:t>None</w:t>
            </w:r>
          </w:p>
        </w:tc>
        <w:tc>
          <w:tcPr>
            <w:tcW w:w="3497" w:type="dxa"/>
          </w:tcPr>
          <w:p w:rsidR="0020348B" w:rsidRPr="00BF737F" w:rsidRDefault="0020348B" w:rsidP="0020348B">
            <w:pPr>
              <w:ind w:left="0" w:right="53"/>
              <w:rPr>
                <w:lang w:val="fr-BE"/>
              </w:rPr>
            </w:pPr>
            <w:r w:rsidRPr="00BF737F">
              <w:rPr>
                <w:lang w:val="fr-BE"/>
              </w:rPr>
              <w:t xml:space="preserve">UN/CEFACT, ANSI X12, UBL, </w:t>
            </w:r>
            <w:proofErr w:type="spellStart"/>
            <w:r w:rsidRPr="00BF737F">
              <w:rPr>
                <w:lang w:val="fr-BE"/>
              </w:rPr>
              <w:t>RosettaNet</w:t>
            </w:r>
            <w:proofErr w:type="spellEnd"/>
            <w:r w:rsidRPr="00BF737F">
              <w:rPr>
                <w:lang w:val="fr-BE"/>
              </w:rPr>
              <w:t>, TWIST, etc</w:t>
            </w:r>
            <w:r w:rsidR="00994697">
              <w:rPr>
                <w:lang w:val="fr-BE"/>
              </w:rPr>
              <w:t>.</w:t>
            </w:r>
          </w:p>
        </w:tc>
        <w:tc>
          <w:tcPr>
            <w:tcW w:w="3497" w:type="dxa"/>
          </w:tcPr>
          <w:p w:rsidR="0020348B" w:rsidRPr="00D44A2D" w:rsidRDefault="0020348B" w:rsidP="0020348B">
            <w:pPr>
              <w:ind w:left="0" w:right="53"/>
              <w:rPr>
                <w:lang w:val="fr-BE"/>
              </w:rPr>
            </w:pPr>
          </w:p>
        </w:tc>
      </w:tr>
      <w:tr w:rsidR="0020348B" w:rsidRPr="001D5EB7" w:rsidTr="00D62F07">
        <w:trPr>
          <w:cantSplit/>
        </w:trPr>
        <w:tc>
          <w:tcPr>
            <w:tcW w:w="1559" w:type="dxa"/>
          </w:tcPr>
          <w:p w:rsidR="0020348B" w:rsidRPr="00EE2E88" w:rsidRDefault="0020348B" w:rsidP="0020348B">
            <w:pPr>
              <w:ind w:left="0" w:right="53"/>
              <w:rPr>
                <w:b/>
              </w:rPr>
            </w:pPr>
            <w:r w:rsidRPr="00EE2E88">
              <w:rPr>
                <w:b/>
              </w:rPr>
              <w:t>Pre-Shipment Financing</w:t>
            </w:r>
          </w:p>
        </w:tc>
        <w:tc>
          <w:tcPr>
            <w:tcW w:w="3496" w:type="dxa"/>
          </w:tcPr>
          <w:p w:rsidR="0020348B" w:rsidRPr="00EE2E88" w:rsidRDefault="0020348B" w:rsidP="0020348B">
            <w:pPr>
              <w:ind w:left="0" w:right="53"/>
            </w:pPr>
            <w:r w:rsidRPr="00EE2E88">
              <w:t xml:space="preserve">1 </w:t>
            </w:r>
            <w:r>
              <w:t xml:space="preserve">ISO 20022 </w:t>
            </w:r>
            <w:r w:rsidRPr="00EE2E88">
              <w:t>message for Invoice Financing:</w:t>
            </w:r>
          </w:p>
          <w:p w:rsidR="0020348B" w:rsidRPr="00EE2E88" w:rsidRDefault="0020348B" w:rsidP="0020348B">
            <w:pPr>
              <w:spacing w:before="0"/>
              <w:ind w:left="0" w:right="53"/>
            </w:pPr>
            <w:r w:rsidRPr="00EE2E88">
              <w:t>Trade Services Initiation</w:t>
            </w:r>
          </w:p>
          <w:p w:rsidR="00D62F07" w:rsidRDefault="0020348B" w:rsidP="00D62F07">
            <w:pPr>
              <w:numPr>
                <w:ilvl w:val="0"/>
                <w:numId w:val="10"/>
              </w:numPr>
              <w:spacing w:before="0"/>
              <w:ind w:left="176" w:right="53" w:hanging="176"/>
            </w:pPr>
            <w:r w:rsidRPr="00EE2E88">
              <w:t>tsin.004.001.01 (Financial Invoice)</w:t>
            </w:r>
          </w:p>
          <w:p w:rsidR="00D62F07" w:rsidRDefault="00D62F07" w:rsidP="00D62F07">
            <w:pPr>
              <w:spacing w:before="0"/>
              <w:ind w:left="34" w:right="51"/>
            </w:pPr>
          </w:p>
          <w:p w:rsidR="0020348B" w:rsidRPr="00EE2E88" w:rsidRDefault="006B5DBB" w:rsidP="00D62F07">
            <w:pPr>
              <w:spacing w:before="0"/>
              <w:ind w:left="34" w:right="51"/>
            </w:pPr>
            <w:r w:rsidRPr="00D76516">
              <w:t>50 ISO 20022 messages for the Trade Services Management business area in support of the TSU Phase 1 &amp; 2)</w:t>
            </w:r>
            <w:r>
              <w:t>, tsmt.001 – tsmt.052</w:t>
            </w:r>
          </w:p>
        </w:tc>
        <w:tc>
          <w:tcPr>
            <w:tcW w:w="3497" w:type="dxa"/>
          </w:tcPr>
          <w:p w:rsidR="0020348B" w:rsidRPr="00D76516" w:rsidRDefault="008B75DA" w:rsidP="0020348B">
            <w:pPr>
              <w:ind w:left="0" w:right="53"/>
              <w:rPr>
                <w:lang w:val="fr-BE"/>
              </w:rPr>
            </w:pPr>
            <w:r w:rsidRPr="00D76516">
              <w:rPr>
                <w:lang w:val="fr-BE"/>
              </w:rPr>
              <w:t xml:space="preserve">UN/CEFACT, ANSI X12, UBL, </w:t>
            </w:r>
            <w:proofErr w:type="spellStart"/>
            <w:r w:rsidRPr="00D76516">
              <w:rPr>
                <w:lang w:val="fr-BE"/>
              </w:rPr>
              <w:t>RosettaNet</w:t>
            </w:r>
            <w:proofErr w:type="spellEnd"/>
            <w:r w:rsidRPr="00D76516">
              <w:rPr>
                <w:lang w:val="fr-BE"/>
              </w:rPr>
              <w:t>, TWIST, etc</w:t>
            </w:r>
            <w:r w:rsidR="00994697">
              <w:rPr>
                <w:lang w:val="fr-BE"/>
              </w:rPr>
              <w:t>.</w:t>
            </w:r>
          </w:p>
          <w:p w:rsidR="008B75DA" w:rsidRPr="00D76516" w:rsidRDefault="008B75DA" w:rsidP="008B75DA">
            <w:pPr>
              <w:ind w:left="0" w:right="53"/>
            </w:pPr>
            <w:r w:rsidRPr="00D76516">
              <w:t>Bolero DC Advice</w:t>
            </w:r>
          </w:p>
        </w:tc>
        <w:tc>
          <w:tcPr>
            <w:tcW w:w="3497" w:type="dxa"/>
          </w:tcPr>
          <w:p w:rsidR="0020348B" w:rsidRPr="00EE2E88" w:rsidRDefault="0020348B" w:rsidP="0020348B">
            <w:pPr>
              <w:ind w:left="0" w:right="53"/>
            </w:pPr>
          </w:p>
        </w:tc>
      </w:tr>
      <w:tr w:rsidR="0020348B" w:rsidRPr="00D76516" w:rsidTr="0020348B">
        <w:trPr>
          <w:cantSplit/>
        </w:trPr>
        <w:tc>
          <w:tcPr>
            <w:tcW w:w="1559" w:type="dxa"/>
          </w:tcPr>
          <w:p w:rsidR="0020348B" w:rsidRPr="00D76516" w:rsidRDefault="0020348B" w:rsidP="0020348B">
            <w:pPr>
              <w:ind w:left="0" w:right="53"/>
              <w:rPr>
                <w:b/>
              </w:rPr>
            </w:pPr>
            <w:r w:rsidRPr="00D76516">
              <w:rPr>
                <w:b/>
              </w:rPr>
              <w:t>Matching</w:t>
            </w:r>
          </w:p>
        </w:tc>
        <w:tc>
          <w:tcPr>
            <w:tcW w:w="3496" w:type="dxa"/>
          </w:tcPr>
          <w:p w:rsidR="0020348B" w:rsidRPr="00D76516" w:rsidRDefault="0020348B" w:rsidP="0020348B">
            <w:pPr>
              <w:ind w:left="0" w:right="53"/>
            </w:pPr>
            <w:r w:rsidRPr="00D76516">
              <w:t>50 ISO 20022 messages for the Trade Services Management business area in support of the TSU Phase 1 &amp; 2)</w:t>
            </w:r>
            <w:r w:rsidR="00650303">
              <w:t>, tsmt.001 – tsmt.052</w:t>
            </w:r>
            <w:r w:rsidRPr="00D76516">
              <w:t xml:space="preserve">. </w:t>
            </w:r>
          </w:p>
          <w:p w:rsidR="008B75DA" w:rsidRPr="00D76516" w:rsidRDefault="008B75DA" w:rsidP="008B75DA">
            <w:pPr>
              <w:ind w:left="0" w:right="53"/>
            </w:pPr>
            <w:r w:rsidRPr="00D76516">
              <w:t>1 ISO 20022 message for Invoice Financing:</w:t>
            </w:r>
          </w:p>
          <w:p w:rsidR="008B75DA" w:rsidRPr="00D76516" w:rsidRDefault="008B75DA" w:rsidP="008B75DA">
            <w:pPr>
              <w:spacing w:before="0"/>
              <w:ind w:left="0" w:right="53"/>
            </w:pPr>
            <w:r w:rsidRPr="00D76516">
              <w:t>Trade Services Initiation</w:t>
            </w:r>
          </w:p>
          <w:p w:rsidR="0020348B" w:rsidRPr="00D76516" w:rsidRDefault="008B75DA" w:rsidP="008D6FE3">
            <w:pPr>
              <w:numPr>
                <w:ilvl w:val="0"/>
                <w:numId w:val="10"/>
              </w:numPr>
              <w:spacing w:before="0"/>
              <w:ind w:left="176" w:right="53" w:hanging="176"/>
            </w:pPr>
            <w:r w:rsidRPr="00D76516">
              <w:t>tsin.004.001.01 (Financial Invoice)</w:t>
            </w:r>
          </w:p>
        </w:tc>
        <w:tc>
          <w:tcPr>
            <w:tcW w:w="3497" w:type="dxa"/>
          </w:tcPr>
          <w:p w:rsidR="008B75DA" w:rsidRPr="00D76516" w:rsidRDefault="008B75DA" w:rsidP="008B75DA">
            <w:pPr>
              <w:ind w:left="0" w:right="53"/>
              <w:rPr>
                <w:lang w:val="fr-BE"/>
              </w:rPr>
            </w:pPr>
            <w:r w:rsidRPr="00D76516">
              <w:rPr>
                <w:lang w:val="fr-BE"/>
              </w:rPr>
              <w:t xml:space="preserve">UN/CEFACT, ANSI X12, UBL, </w:t>
            </w:r>
            <w:proofErr w:type="spellStart"/>
            <w:r w:rsidRPr="00D76516">
              <w:rPr>
                <w:lang w:val="fr-BE"/>
              </w:rPr>
              <w:t>RosettaNet</w:t>
            </w:r>
            <w:proofErr w:type="spellEnd"/>
            <w:r w:rsidRPr="00D76516">
              <w:rPr>
                <w:lang w:val="fr-BE"/>
              </w:rPr>
              <w:t>, TWIST, etc</w:t>
            </w:r>
            <w:r w:rsidR="00994697">
              <w:rPr>
                <w:lang w:val="fr-BE"/>
              </w:rPr>
              <w:t>.</w:t>
            </w:r>
          </w:p>
          <w:p w:rsidR="0020348B" w:rsidRPr="00D76516" w:rsidRDefault="008B75DA" w:rsidP="008B75DA">
            <w:pPr>
              <w:ind w:left="0" w:right="53"/>
            </w:pPr>
            <w:r w:rsidRPr="00D76516">
              <w:rPr>
                <w:lang w:val="en-US"/>
              </w:rPr>
              <w:t>Proprietary</w:t>
            </w:r>
            <w:r w:rsidRPr="00D76516">
              <w:rPr>
                <w:lang w:val="fr-BE"/>
              </w:rPr>
              <w:t xml:space="preserve"> factoring standards</w:t>
            </w:r>
          </w:p>
        </w:tc>
        <w:tc>
          <w:tcPr>
            <w:tcW w:w="3497" w:type="dxa"/>
          </w:tcPr>
          <w:p w:rsidR="0020348B" w:rsidRPr="00D76516" w:rsidRDefault="0020348B" w:rsidP="0020348B">
            <w:pPr>
              <w:ind w:left="0" w:right="53"/>
            </w:pPr>
            <w:r w:rsidRPr="00D76516">
              <w:t>Development of corporate-to-bank and bank-to-corporate ISO 20022 messages in support of the TSU planned for 2011.</w:t>
            </w:r>
          </w:p>
        </w:tc>
      </w:tr>
      <w:tr w:rsidR="0020348B" w:rsidRPr="00D76516" w:rsidTr="0020348B">
        <w:trPr>
          <w:cantSplit/>
        </w:trPr>
        <w:tc>
          <w:tcPr>
            <w:tcW w:w="1559" w:type="dxa"/>
          </w:tcPr>
          <w:p w:rsidR="0020348B" w:rsidRPr="00D76516" w:rsidRDefault="0020348B" w:rsidP="0020348B">
            <w:pPr>
              <w:ind w:left="0" w:right="53"/>
              <w:rPr>
                <w:b/>
              </w:rPr>
            </w:pPr>
            <w:r w:rsidRPr="00D76516">
              <w:rPr>
                <w:b/>
              </w:rPr>
              <w:lastRenderedPageBreak/>
              <w:t>Post-Shipment Financing</w:t>
            </w:r>
          </w:p>
        </w:tc>
        <w:tc>
          <w:tcPr>
            <w:tcW w:w="3496" w:type="dxa"/>
          </w:tcPr>
          <w:p w:rsidR="0020348B" w:rsidRPr="00D76516" w:rsidRDefault="0020348B" w:rsidP="0020348B">
            <w:pPr>
              <w:ind w:left="0" w:right="53"/>
            </w:pPr>
            <w:r w:rsidRPr="00D76516">
              <w:t>5 ISO 20022 messages for Invoice Financing:</w:t>
            </w:r>
          </w:p>
          <w:p w:rsidR="0020348B" w:rsidRPr="00D76516" w:rsidRDefault="0020348B" w:rsidP="0020348B">
            <w:pPr>
              <w:spacing w:before="0"/>
              <w:ind w:left="0" w:right="53"/>
            </w:pPr>
            <w:r w:rsidRPr="00D76516">
              <w:t>Trade Services Initiation</w:t>
            </w:r>
          </w:p>
          <w:p w:rsidR="0020348B" w:rsidRPr="00D76516" w:rsidRDefault="0020348B" w:rsidP="0020348B">
            <w:pPr>
              <w:numPr>
                <w:ilvl w:val="0"/>
                <w:numId w:val="10"/>
              </w:numPr>
              <w:spacing w:before="0"/>
              <w:ind w:left="176" w:right="53" w:hanging="176"/>
            </w:pPr>
            <w:r w:rsidRPr="00D76516">
              <w:t>tsin.001.001.01 (Invoice Financing Request)</w:t>
            </w:r>
          </w:p>
          <w:p w:rsidR="0020348B" w:rsidRPr="00D76516" w:rsidRDefault="0020348B" w:rsidP="0020348B">
            <w:pPr>
              <w:numPr>
                <w:ilvl w:val="0"/>
                <w:numId w:val="10"/>
              </w:numPr>
              <w:spacing w:before="0"/>
              <w:ind w:left="176" w:right="53" w:hanging="176"/>
            </w:pPr>
            <w:r w:rsidRPr="00D76516">
              <w:t>tsin.002.001.01 (Invoice Financing Request Status)</w:t>
            </w:r>
          </w:p>
          <w:p w:rsidR="0020348B" w:rsidRPr="00D76516" w:rsidRDefault="0020348B" w:rsidP="0020348B">
            <w:pPr>
              <w:numPr>
                <w:ilvl w:val="0"/>
                <w:numId w:val="10"/>
              </w:numPr>
              <w:spacing w:before="0"/>
              <w:ind w:left="176" w:right="53" w:hanging="176"/>
            </w:pPr>
            <w:r w:rsidRPr="00D76516">
              <w:t>tsin.003.001.01 (Invoice Financing Cancellation Request)</w:t>
            </w:r>
          </w:p>
          <w:p w:rsidR="0020348B" w:rsidRPr="00D76516" w:rsidRDefault="0020348B" w:rsidP="0020348B">
            <w:pPr>
              <w:numPr>
                <w:ilvl w:val="0"/>
                <w:numId w:val="10"/>
              </w:numPr>
              <w:spacing w:before="0"/>
              <w:ind w:left="176" w:right="53" w:hanging="176"/>
            </w:pPr>
            <w:r w:rsidRPr="00D76516">
              <w:t>tsmt.044.001.01 (Intent To Pay Notification)</w:t>
            </w:r>
          </w:p>
          <w:p w:rsidR="0020348B" w:rsidRDefault="0020348B" w:rsidP="0020348B">
            <w:pPr>
              <w:numPr>
                <w:ilvl w:val="0"/>
                <w:numId w:val="10"/>
              </w:numPr>
              <w:spacing w:before="0"/>
              <w:ind w:left="176" w:right="53" w:hanging="176"/>
            </w:pPr>
            <w:r w:rsidRPr="00D76516">
              <w:t>tsin.004.001.01 (Financial Invoice)</w:t>
            </w:r>
          </w:p>
          <w:p w:rsidR="00D62F07" w:rsidRDefault="00D62F07" w:rsidP="00D62F07">
            <w:pPr>
              <w:spacing w:before="0"/>
              <w:ind w:left="34" w:right="51"/>
            </w:pPr>
          </w:p>
          <w:p w:rsidR="00D62F07" w:rsidRPr="00D76516" w:rsidRDefault="006B5DBB" w:rsidP="00D62F07">
            <w:pPr>
              <w:spacing w:before="0"/>
              <w:ind w:left="0" w:right="53"/>
            </w:pPr>
            <w:r w:rsidRPr="00D76516">
              <w:t>50 ISO 20022 messages for the Trade Services Management business area in support of the TSU Phase 1 &amp; 2)</w:t>
            </w:r>
            <w:r>
              <w:t>, tsmt.001 – tsmt.052</w:t>
            </w:r>
          </w:p>
          <w:p w:rsidR="0020348B" w:rsidRPr="00D76516" w:rsidRDefault="0020348B" w:rsidP="0020348B">
            <w:pPr>
              <w:spacing w:before="0"/>
              <w:ind w:left="0" w:right="53" w:hanging="156"/>
            </w:pPr>
          </w:p>
        </w:tc>
        <w:tc>
          <w:tcPr>
            <w:tcW w:w="3497" w:type="dxa"/>
          </w:tcPr>
          <w:p w:rsidR="0020348B" w:rsidRPr="00D76516" w:rsidRDefault="008B75DA" w:rsidP="0020348B">
            <w:pPr>
              <w:ind w:left="0" w:right="53"/>
              <w:rPr>
                <w:lang w:val="fr-BE"/>
              </w:rPr>
            </w:pPr>
            <w:r w:rsidRPr="00D76516">
              <w:rPr>
                <w:lang w:val="fr-BE"/>
              </w:rPr>
              <w:t xml:space="preserve">UN/CEFACT, ANSI X12, UBL, </w:t>
            </w:r>
            <w:proofErr w:type="spellStart"/>
            <w:r w:rsidRPr="00D76516">
              <w:rPr>
                <w:lang w:val="fr-BE"/>
              </w:rPr>
              <w:t>RosettaNet</w:t>
            </w:r>
            <w:proofErr w:type="spellEnd"/>
            <w:r w:rsidRPr="00D76516">
              <w:rPr>
                <w:lang w:val="fr-BE"/>
              </w:rPr>
              <w:t xml:space="preserve">, </w:t>
            </w:r>
            <w:r w:rsidR="0020348B" w:rsidRPr="00D76516">
              <w:rPr>
                <w:lang w:val="fr-BE"/>
              </w:rPr>
              <w:t>TWIST</w:t>
            </w:r>
            <w:r w:rsidRPr="00D76516">
              <w:rPr>
                <w:lang w:val="fr-BE"/>
              </w:rPr>
              <w:t>, etc</w:t>
            </w:r>
            <w:r w:rsidR="00994697">
              <w:rPr>
                <w:lang w:val="fr-BE"/>
              </w:rPr>
              <w:t>.</w:t>
            </w:r>
          </w:p>
          <w:p w:rsidR="008B75DA" w:rsidRPr="00D76516" w:rsidRDefault="008B75DA" w:rsidP="008B75DA">
            <w:pPr>
              <w:ind w:left="0" w:right="53"/>
            </w:pPr>
            <w:r w:rsidRPr="00D76516">
              <w:rPr>
                <w:lang w:val="en-US"/>
              </w:rPr>
              <w:t>Proprietary</w:t>
            </w:r>
            <w:r w:rsidRPr="00D76516">
              <w:rPr>
                <w:lang w:val="fr-BE"/>
              </w:rPr>
              <w:t xml:space="preserve"> factoring standards</w:t>
            </w:r>
          </w:p>
        </w:tc>
        <w:tc>
          <w:tcPr>
            <w:tcW w:w="3497" w:type="dxa"/>
          </w:tcPr>
          <w:p w:rsidR="0020348B" w:rsidRPr="00D76516" w:rsidRDefault="0020348B" w:rsidP="0020348B">
            <w:pPr>
              <w:ind w:left="0" w:right="53"/>
            </w:pPr>
          </w:p>
        </w:tc>
      </w:tr>
      <w:tr w:rsidR="0020348B" w:rsidRPr="001D5EB7" w:rsidTr="0020348B">
        <w:trPr>
          <w:cantSplit/>
        </w:trPr>
        <w:tc>
          <w:tcPr>
            <w:tcW w:w="1559" w:type="dxa"/>
          </w:tcPr>
          <w:p w:rsidR="0020348B" w:rsidRPr="00EE2E88" w:rsidRDefault="0020348B" w:rsidP="0020348B">
            <w:pPr>
              <w:ind w:left="0" w:right="53"/>
              <w:rPr>
                <w:b/>
              </w:rPr>
            </w:pPr>
            <w:r w:rsidRPr="00EE2E88">
              <w:rPr>
                <w:b/>
              </w:rPr>
              <w:t>Settlement</w:t>
            </w:r>
          </w:p>
        </w:tc>
        <w:tc>
          <w:tcPr>
            <w:tcW w:w="3496" w:type="dxa"/>
          </w:tcPr>
          <w:p w:rsidR="0020348B" w:rsidRDefault="0020348B" w:rsidP="0020348B">
            <w:pPr>
              <w:ind w:left="0" w:right="53"/>
            </w:pPr>
            <w:r w:rsidRPr="00EE2E88">
              <w:t xml:space="preserve">Existing MT and </w:t>
            </w:r>
            <w:r>
              <w:t xml:space="preserve">ISO 20022 </w:t>
            </w:r>
            <w:r w:rsidRPr="00EE2E88">
              <w:t>payment initiation messages and payment reporting messages</w:t>
            </w:r>
            <w:r>
              <w:t>. Please refer to Payments.</w:t>
            </w:r>
          </w:p>
          <w:p w:rsidR="006B5DBB" w:rsidRDefault="006B5DBB" w:rsidP="006B5DBB">
            <w:pPr>
              <w:spacing w:before="0"/>
              <w:ind w:left="34" w:right="51"/>
            </w:pPr>
          </w:p>
          <w:p w:rsidR="006B5DBB" w:rsidRPr="00EE2E88" w:rsidRDefault="006B5DBB" w:rsidP="006B5DBB">
            <w:pPr>
              <w:ind w:left="0" w:right="53"/>
            </w:pPr>
            <w:r w:rsidRPr="00D76516">
              <w:t>50 ISO 20022 messages for the Trade Services Management business area in support of the TSU Phase 1 &amp; 2)</w:t>
            </w:r>
            <w:r>
              <w:t>, tsmt.001 – tsmt.052 in support of the Bank Payment Obligation (BPO)</w:t>
            </w:r>
          </w:p>
        </w:tc>
        <w:tc>
          <w:tcPr>
            <w:tcW w:w="3497" w:type="dxa"/>
          </w:tcPr>
          <w:p w:rsidR="0020348B" w:rsidRPr="00EE2E88" w:rsidRDefault="0020348B" w:rsidP="0020348B">
            <w:pPr>
              <w:ind w:left="0" w:right="53"/>
            </w:pPr>
          </w:p>
        </w:tc>
        <w:tc>
          <w:tcPr>
            <w:tcW w:w="3497" w:type="dxa"/>
          </w:tcPr>
          <w:p w:rsidR="0020348B" w:rsidRPr="00EE2E88" w:rsidRDefault="0020348B" w:rsidP="0020348B">
            <w:pPr>
              <w:ind w:left="0" w:right="53"/>
            </w:pPr>
          </w:p>
        </w:tc>
      </w:tr>
    </w:tbl>
    <w:p w:rsidR="0020348B" w:rsidRDefault="0020348B" w:rsidP="0020348B">
      <w:pPr>
        <w:pStyle w:val="Heading2"/>
        <w:tabs>
          <w:tab w:val="clear" w:pos="360"/>
          <w:tab w:val="num" w:pos="780"/>
          <w:tab w:val="num" w:pos="1134"/>
        </w:tabs>
        <w:spacing w:before="300" w:after="60"/>
        <w:ind w:right="0"/>
      </w:pPr>
      <w:bookmarkStart w:id="69" w:name="_Toc284849388"/>
    </w:p>
    <w:p w:rsidR="0020348B" w:rsidRDefault="0020348B" w:rsidP="0020348B">
      <w:pPr>
        <w:pStyle w:val="Heading2"/>
        <w:numPr>
          <w:ilvl w:val="2"/>
          <w:numId w:val="4"/>
        </w:numPr>
        <w:tabs>
          <w:tab w:val="num" w:pos="780"/>
          <w:tab w:val="num" w:pos="1134"/>
        </w:tabs>
        <w:spacing w:before="300" w:after="60"/>
        <w:ind w:right="0"/>
      </w:pPr>
      <w:bookmarkStart w:id="70" w:name="_Toc340670979"/>
      <w:r>
        <w:t>Additional opportunities</w:t>
      </w:r>
      <w:bookmarkEnd w:id="69"/>
      <w:bookmarkEnd w:id="70"/>
    </w:p>
    <w:p w:rsidR="0020348B" w:rsidRDefault="0020348B" w:rsidP="0020348B">
      <w:pPr>
        <w:ind w:left="284" w:right="60"/>
      </w:pPr>
      <w:r>
        <w:t xml:space="preserve">Development of further Corporate-to-Bank and Bank-to-Corporate messages, particularly in support of existing and new supply chain finance models. </w:t>
      </w:r>
      <w:r w:rsidR="0096233F" w:rsidRPr="0096233F">
        <w:t xml:space="preserve">As the TSU offering expands and is further rolled out, there is likely to be further development on the trade </w:t>
      </w:r>
      <w:r w:rsidR="0096233F">
        <w:t>services (</w:t>
      </w:r>
      <w:proofErr w:type="spellStart"/>
      <w:r w:rsidR="0096233F">
        <w:t>tsmt</w:t>
      </w:r>
      <w:proofErr w:type="spellEnd"/>
      <w:r w:rsidR="0096233F">
        <w:t xml:space="preserve">) </w:t>
      </w:r>
      <w:r w:rsidR="0096233F" w:rsidRPr="0096233F">
        <w:t>messages.</w:t>
      </w:r>
    </w:p>
    <w:p w:rsidR="0020348B" w:rsidRDefault="0020348B" w:rsidP="0020348B">
      <w:pPr>
        <w:spacing w:before="0"/>
        <w:ind w:left="0" w:right="0"/>
      </w:pPr>
      <w:r>
        <w:br w:type="page"/>
      </w:r>
    </w:p>
    <w:p w:rsidR="002C5A96" w:rsidRDefault="00E05E93" w:rsidP="00625C3F">
      <w:pPr>
        <w:pStyle w:val="Heading1"/>
        <w:numPr>
          <w:ilvl w:val="1"/>
          <w:numId w:val="4"/>
        </w:numPr>
        <w:tabs>
          <w:tab w:val="clear" w:pos="1296"/>
          <w:tab w:val="num" w:pos="142"/>
          <w:tab w:val="left" w:pos="1134"/>
        </w:tabs>
        <w:spacing w:before="300" w:after="60"/>
        <w:ind w:left="142" w:right="0" w:firstLine="0"/>
      </w:pPr>
      <w:bookmarkStart w:id="71" w:name="_Toc340670980"/>
      <w:r w:rsidRPr="00E17202">
        <w:lastRenderedPageBreak/>
        <w:t>Documentary Collections</w:t>
      </w:r>
      <w:bookmarkEnd w:id="62"/>
      <w:r w:rsidR="00D76516">
        <w:t xml:space="preserve"> (Payment Instrument)</w:t>
      </w:r>
      <w:bookmarkEnd w:id="71"/>
    </w:p>
    <w:p w:rsidR="00392BF9" w:rsidRDefault="00E05E93">
      <w:pPr>
        <w:pStyle w:val="Heading2"/>
        <w:numPr>
          <w:ilvl w:val="2"/>
          <w:numId w:val="4"/>
        </w:numPr>
        <w:tabs>
          <w:tab w:val="clear" w:pos="720"/>
          <w:tab w:val="num" w:pos="142"/>
          <w:tab w:val="num" w:pos="1134"/>
        </w:tabs>
        <w:spacing w:before="300" w:after="60"/>
        <w:ind w:left="142" w:right="0" w:firstLine="0"/>
      </w:pPr>
      <w:bookmarkStart w:id="72" w:name="_Toc340670981"/>
      <w:bookmarkStart w:id="73" w:name="_Toc284849370"/>
      <w:r>
        <w:t>Business overview</w:t>
      </w:r>
      <w:bookmarkEnd w:id="72"/>
    </w:p>
    <w:p w:rsidR="00676572" w:rsidRPr="00676572" w:rsidRDefault="009A53A9" w:rsidP="00676572">
      <w:r>
        <w:rPr>
          <w:noProof/>
          <w:lang w:eastAsia="en-GB"/>
        </w:rPr>
        <w:drawing>
          <wp:anchor distT="0" distB="0" distL="114300" distR="114300" simplePos="0" relativeHeight="251706880" behindDoc="1" locked="0" layoutInCell="1" allowOverlap="1" wp14:anchorId="6DC80440" wp14:editId="2D57EE62">
            <wp:simplePos x="0" y="0"/>
            <wp:positionH relativeFrom="column">
              <wp:align>center</wp:align>
            </wp:positionH>
            <wp:positionV relativeFrom="paragraph">
              <wp:posOffset>162560</wp:posOffset>
            </wp:positionV>
            <wp:extent cx="7379970" cy="1511300"/>
            <wp:effectExtent l="19050" t="0" r="0" b="0"/>
            <wp:wrapTopAndBottom/>
            <wp:docPr id="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7379970" cy="1511300"/>
                    </a:xfrm>
                    <a:prstGeom prst="rect">
                      <a:avLst/>
                    </a:prstGeom>
                    <a:noFill/>
                    <a:ln w="9525">
                      <a:noFill/>
                      <a:miter lim="800000"/>
                      <a:headEnd/>
                      <a:tailEnd/>
                    </a:ln>
                  </pic:spPr>
                </pic:pic>
              </a:graphicData>
            </a:graphic>
          </wp:anchor>
        </w:drawing>
      </w:r>
    </w:p>
    <w:p w:rsidR="00676572" w:rsidRPr="00676572" w:rsidRDefault="00676572" w:rsidP="009A53A9">
      <w:pPr>
        <w:ind w:left="0"/>
      </w:pPr>
    </w:p>
    <w:bookmarkEnd w:id="73"/>
    <w:p w:rsidR="00E05E93" w:rsidRDefault="00E05E93" w:rsidP="00E05E93">
      <w:pPr>
        <w:ind w:left="142" w:right="60"/>
        <w:jc w:val="both"/>
        <w:rPr>
          <w:noProof/>
        </w:rPr>
      </w:pPr>
      <w:r w:rsidRPr="00144952">
        <w:rPr>
          <w:noProof/>
        </w:rPr>
        <w:t xml:space="preserve">A documentary collection can be defined as the collection of a sum of money due from a buyer by a bank against delivery of certain documents. The bank acting as trustee and intermediary between exporter and importer presents documents – by order of the exporter – which are proof of the actual delivery of a product or service rendered and in exchange receives payment of the amount owed or obtains acceptance of a </w:t>
      </w:r>
      <w:hyperlink r:id="rId41" w:history="1">
        <w:r w:rsidRPr="00435F80">
          <w:rPr>
            <w:rStyle w:val="Hyperlink"/>
            <w:noProof/>
          </w:rPr>
          <w:t>bill of exchange</w:t>
        </w:r>
      </w:hyperlink>
      <w:r w:rsidR="00435F80">
        <w:rPr>
          <w:noProof/>
        </w:rPr>
        <w:t xml:space="preserve"> or receives a signed </w:t>
      </w:r>
      <w:hyperlink r:id="rId42" w:history="1">
        <w:r w:rsidR="00435F80" w:rsidRPr="00435F80">
          <w:rPr>
            <w:rStyle w:val="Hyperlink"/>
            <w:noProof/>
          </w:rPr>
          <w:t>promissory note</w:t>
        </w:r>
      </w:hyperlink>
      <w:r w:rsidRPr="00144952">
        <w:rPr>
          <w:noProof/>
        </w:rPr>
        <w:t xml:space="preserve">. </w:t>
      </w:r>
    </w:p>
    <w:p w:rsidR="00392BF9" w:rsidRDefault="00E05E93" w:rsidP="00676572">
      <w:pPr>
        <w:ind w:left="142"/>
        <w:rPr>
          <w:noProof/>
        </w:rPr>
      </w:pPr>
      <w:r w:rsidRPr="00144952">
        <w:rPr>
          <w:noProof/>
        </w:rPr>
        <w:t>The documentary collection offers, in comparison with open account</w:t>
      </w:r>
      <w:r w:rsidR="00625C3F">
        <w:rPr>
          <w:noProof/>
        </w:rPr>
        <w:t xml:space="preserve"> terms (</w:t>
      </w:r>
      <w:hyperlink r:id="rId43" w:history="1">
        <w:r w:rsidR="00625C3F">
          <w:rPr>
            <w:rStyle w:val="Hyperlink"/>
          </w:rPr>
          <w:t>buyer</w:t>
        </w:r>
      </w:hyperlink>
      <w:r w:rsidR="00625C3F">
        <w:t xml:space="preserve"> </w:t>
      </w:r>
      <w:hyperlink r:id="rId44" w:history="1">
        <w:r w:rsidR="00625C3F">
          <w:rPr>
            <w:rStyle w:val="Hyperlink"/>
          </w:rPr>
          <w:t>pays</w:t>
        </w:r>
      </w:hyperlink>
      <w:r w:rsidR="00625C3F">
        <w:t xml:space="preserve"> upon the </w:t>
      </w:r>
      <w:hyperlink r:id="rId45" w:history="1">
        <w:r w:rsidR="00625C3F">
          <w:rPr>
            <w:rStyle w:val="Hyperlink"/>
          </w:rPr>
          <w:t>receipt</w:t>
        </w:r>
      </w:hyperlink>
      <w:r w:rsidR="00625C3F">
        <w:t xml:space="preserve"> of </w:t>
      </w:r>
      <w:hyperlink r:id="rId46" w:history="1">
        <w:r w:rsidR="00625C3F">
          <w:rPr>
            <w:rStyle w:val="Hyperlink"/>
          </w:rPr>
          <w:t>goods</w:t>
        </w:r>
      </w:hyperlink>
      <w:r w:rsidR="00625C3F">
        <w:t xml:space="preserve">, or </w:t>
      </w:r>
      <w:hyperlink r:id="rId47" w:history="1">
        <w:r w:rsidR="00625C3F">
          <w:rPr>
            <w:rStyle w:val="Hyperlink"/>
          </w:rPr>
          <w:t>on</w:t>
        </w:r>
      </w:hyperlink>
      <w:r w:rsidR="00625C3F">
        <w:t xml:space="preserve"> </w:t>
      </w:r>
      <w:hyperlink r:id="rId48" w:history="1">
        <w:r w:rsidR="00625C3F">
          <w:rPr>
            <w:rStyle w:val="Hyperlink"/>
          </w:rPr>
          <w:t>deferred payment</w:t>
        </w:r>
      </w:hyperlink>
      <w:r w:rsidR="00625C3F">
        <w:t xml:space="preserve"> basis)</w:t>
      </w:r>
      <w:r w:rsidRPr="00144952">
        <w:rPr>
          <w:noProof/>
        </w:rPr>
        <w:t>, considerably more security for the seller, but not to the same extent as a documentary credit. The basis for the execution of documentary collections is provided by the “</w:t>
      </w:r>
      <w:hyperlink r:id="rId49" w:history="1">
        <w:r w:rsidRPr="007114F3">
          <w:rPr>
            <w:rStyle w:val="Hyperlink"/>
            <w:noProof/>
          </w:rPr>
          <w:t>Uniform Rules for Collections</w:t>
        </w:r>
      </w:hyperlink>
      <w:r w:rsidRPr="00144952">
        <w:rPr>
          <w:noProof/>
        </w:rPr>
        <w:t>” (URC)</w:t>
      </w:r>
      <w:r w:rsidR="007114F3">
        <w:rPr>
          <w:noProof/>
        </w:rPr>
        <w:t>.</w:t>
      </w:r>
    </w:p>
    <w:p w:rsidR="004547A2" w:rsidRDefault="004547A2" w:rsidP="00E05E93">
      <w:pPr>
        <w:ind w:left="142" w:right="60"/>
        <w:jc w:val="both"/>
        <w:rPr>
          <w:b/>
          <w:noProof/>
        </w:rPr>
      </w:pPr>
    </w:p>
    <w:p w:rsidR="00E05E93" w:rsidRPr="005C4A79" w:rsidRDefault="00E05E93" w:rsidP="00E05E93">
      <w:pPr>
        <w:ind w:left="142" w:right="60"/>
        <w:jc w:val="both"/>
        <w:rPr>
          <w:b/>
          <w:noProof/>
        </w:rPr>
      </w:pPr>
      <w:r w:rsidRPr="005C4A79">
        <w:rPr>
          <w:b/>
          <w:noProof/>
        </w:rPr>
        <w:t>Request</w:t>
      </w:r>
    </w:p>
    <w:p w:rsidR="00E05E93" w:rsidRDefault="00E05E93" w:rsidP="00E05E93">
      <w:pPr>
        <w:ind w:left="142" w:right="60"/>
        <w:jc w:val="both"/>
        <w:rPr>
          <w:noProof/>
        </w:rPr>
      </w:pPr>
      <w:r>
        <w:rPr>
          <w:noProof/>
        </w:rPr>
        <w:t>Importer (buyer) and exporter (seller) will negotiate a sales contract. The exporter will then compile the required documents, prepare the collection request and lodge the cover letter and documents with the remitting bank.</w:t>
      </w:r>
    </w:p>
    <w:p w:rsidR="004547A2" w:rsidRDefault="004547A2" w:rsidP="00E05E93">
      <w:pPr>
        <w:ind w:left="142" w:right="60"/>
        <w:jc w:val="both"/>
        <w:rPr>
          <w:b/>
          <w:noProof/>
        </w:rPr>
      </w:pPr>
    </w:p>
    <w:p w:rsidR="00E05E93" w:rsidRPr="005C4A79" w:rsidRDefault="00E05E93" w:rsidP="00E05E93">
      <w:pPr>
        <w:ind w:left="142" w:right="60"/>
        <w:jc w:val="both"/>
        <w:rPr>
          <w:b/>
          <w:noProof/>
        </w:rPr>
      </w:pPr>
      <w:r w:rsidRPr="005C4A79">
        <w:rPr>
          <w:b/>
          <w:noProof/>
        </w:rPr>
        <w:t>Presentation</w:t>
      </w:r>
    </w:p>
    <w:p w:rsidR="00E05E93" w:rsidRPr="00272309" w:rsidRDefault="00E05E93" w:rsidP="00E05E93">
      <w:pPr>
        <w:ind w:left="142" w:right="60"/>
        <w:jc w:val="both"/>
        <w:rPr>
          <w:noProof/>
        </w:rPr>
      </w:pPr>
      <w:r w:rsidRPr="00272309">
        <w:rPr>
          <w:noProof/>
        </w:rPr>
        <w:t>The remitting bank will prepare the collection instruction, endorse the bill of exchange and dispatch the collection instruction and documents to the presenting bank, which in turn will present the collection documentation to the importer</w:t>
      </w:r>
      <w:r w:rsidR="00435F80">
        <w:rPr>
          <w:noProof/>
        </w:rPr>
        <w:t xml:space="preserve"> in exchange </w:t>
      </w:r>
      <w:r w:rsidR="00435F80">
        <w:rPr>
          <w:color w:val="000080"/>
          <w:lang w:val="en-US"/>
        </w:rPr>
        <w:t>for the importer accepting the bill of exchange / making out the promissory note or paying for the proceeds of the collection</w:t>
      </w:r>
      <w:r w:rsidRPr="00272309">
        <w:rPr>
          <w:noProof/>
        </w:rPr>
        <w:t>.</w:t>
      </w:r>
    </w:p>
    <w:p w:rsidR="004547A2" w:rsidRDefault="004547A2" w:rsidP="00E05E93">
      <w:pPr>
        <w:ind w:left="142" w:right="60"/>
        <w:jc w:val="both"/>
        <w:rPr>
          <w:b/>
          <w:noProof/>
        </w:rPr>
      </w:pPr>
    </w:p>
    <w:p w:rsidR="00E05E93" w:rsidRPr="005C4A79" w:rsidRDefault="00E05E93" w:rsidP="00E05E93">
      <w:pPr>
        <w:ind w:left="142" w:right="60"/>
        <w:jc w:val="both"/>
        <w:rPr>
          <w:b/>
          <w:noProof/>
        </w:rPr>
      </w:pPr>
      <w:r w:rsidRPr="005C4A79">
        <w:rPr>
          <w:b/>
          <w:noProof/>
        </w:rPr>
        <w:t>Settlement</w:t>
      </w:r>
    </w:p>
    <w:p w:rsidR="00E05E93" w:rsidRDefault="00E05E93" w:rsidP="00E05E93">
      <w:pPr>
        <w:ind w:left="142" w:right="60"/>
        <w:jc w:val="both"/>
        <w:rPr>
          <w:lang w:eastAsia="en-GB"/>
        </w:rPr>
      </w:pPr>
      <w:r>
        <w:rPr>
          <w:lang w:eastAsia="en-GB"/>
        </w:rPr>
        <w:t>The importer will examine the documents and confirm the payment to the presenting bank, which will release the documents and transfer the funds to the remitting bank. Finally, the remitting bank will pay the exporter.</w:t>
      </w:r>
    </w:p>
    <w:p w:rsidR="00D27ACD" w:rsidRDefault="00D27ACD" w:rsidP="00E05E93">
      <w:pPr>
        <w:ind w:left="142" w:right="60"/>
        <w:jc w:val="both"/>
        <w:rPr>
          <w:lang w:eastAsia="en-GB"/>
        </w:rPr>
      </w:pPr>
    </w:p>
    <w:p w:rsidR="00392BF9" w:rsidRDefault="000E706E">
      <w:pPr>
        <w:pStyle w:val="Heading2"/>
        <w:numPr>
          <w:ilvl w:val="2"/>
          <w:numId w:val="4"/>
        </w:numPr>
        <w:tabs>
          <w:tab w:val="clear" w:pos="720"/>
          <w:tab w:val="num" w:pos="1134"/>
        </w:tabs>
        <w:spacing w:before="300" w:after="60"/>
        <w:ind w:left="1134" w:right="0" w:hanging="992"/>
      </w:pPr>
      <w:bookmarkStart w:id="74" w:name="_Toc340670982"/>
      <w:bookmarkStart w:id="75" w:name="_Toc284849371"/>
      <w:r>
        <w:t>High-level</w:t>
      </w:r>
      <w:r w:rsidR="00E05E93">
        <w:t xml:space="preserve"> standards landscape</w:t>
      </w:r>
      <w:bookmarkEnd w:id="74"/>
    </w:p>
    <w:p w:rsidR="00D27ACD" w:rsidRPr="00D27ACD" w:rsidRDefault="009A53A9" w:rsidP="00D27ACD">
      <w:r>
        <w:rPr>
          <w:noProof/>
          <w:lang w:eastAsia="en-GB"/>
        </w:rPr>
        <w:drawing>
          <wp:anchor distT="0" distB="0" distL="114300" distR="114300" simplePos="0" relativeHeight="251708928" behindDoc="1" locked="0" layoutInCell="1" allowOverlap="1" wp14:anchorId="2160E511" wp14:editId="1D40913F">
            <wp:simplePos x="0" y="0"/>
            <wp:positionH relativeFrom="column">
              <wp:align>center</wp:align>
            </wp:positionH>
            <wp:positionV relativeFrom="paragraph">
              <wp:posOffset>162560</wp:posOffset>
            </wp:positionV>
            <wp:extent cx="7379970" cy="2348230"/>
            <wp:effectExtent l="19050" t="0" r="0" b="0"/>
            <wp:wrapTopAndBottom/>
            <wp:docPr id="7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srcRect/>
                    <a:stretch>
                      <a:fillRect/>
                    </a:stretch>
                  </pic:blipFill>
                  <pic:spPr bwMode="auto">
                    <a:xfrm>
                      <a:off x="0" y="0"/>
                      <a:ext cx="7379970" cy="2348230"/>
                    </a:xfrm>
                    <a:prstGeom prst="rect">
                      <a:avLst/>
                    </a:prstGeom>
                    <a:noFill/>
                    <a:ln w="9525">
                      <a:noFill/>
                      <a:miter lim="800000"/>
                      <a:headEnd/>
                      <a:tailEnd/>
                    </a:ln>
                  </pic:spPr>
                </pic:pic>
              </a:graphicData>
            </a:graphic>
          </wp:anchor>
        </w:drawing>
      </w:r>
    </w:p>
    <w:bookmarkEnd w:id="75"/>
    <w:p w:rsidR="002E2968" w:rsidRDefault="002E2968" w:rsidP="00D27ACD">
      <w:pPr>
        <w:ind w:left="0"/>
        <w:jc w:val="center"/>
      </w:pPr>
    </w:p>
    <w:p w:rsidR="005251CB" w:rsidRDefault="005251CB">
      <w:pPr>
        <w:spacing w:before="0"/>
        <w:ind w:left="0" w:right="0"/>
        <w:rPr>
          <w:b/>
        </w:rPr>
      </w:pPr>
      <w:bookmarkStart w:id="76" w:name="_Toc284849372"/>
      <w:r>
        <w:br w:type="page"/>
      </w:r>
    </w:p>
    <w:p w:rsidR="00392BF9" w:rsidRDefault="00E05E93">
      <w:pPr>
        <w:pStyle w:val="Heading2"/>
        <w:numPr>
          <w:ilvl w:val="2"/>
          <w:numId w:val="4"/>
        </w:numPr>
        <w:tabs>
          <w:tab w:val="clear" w:pos="720"/>
          <w:tab w:val="num" w:pos="1134"/>
        </w:tabs>
        <w:spacing w:before="300" w:after="60"/>
        <w:ind w:left="1134" w:right="0" w:hanging="992"/>
      </w:pPr>
      <w:bookmarkStart w:id="77" w:name="_Toc340670983"/>
      <w:r>
        <w:lastRenderedPageBreak/>
        <w:t>Detailed standards landscape</w:t>
      </w:r>
      <w:bookmarkEnd w:id="77"/>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39"/>
        <w:gridCol w:w="3780"/>
        <w:gridCol w:w="3780"/>
      </w:tblGrid>
      <w:tr w:rsidR="00E05E93" w:rsidRPr="00EE2E88" w:rsidTr="00392BF9">
        <w:tc>
          <w:tcPr>
            <w:tcW w:w="1559" w:type="dxa"/>
          </w:tcPr>
          <w:bookmarkEnd w:id="76"/>
          <w:p w:rsidR="00E05E93" w:rsidRPr="00EE2E88" w:rsidRDefault="00E05E93" w:rsidP="00300E70">
            <w:pPr>
              <w:ind w:left="0" w:right="0"/>
              <w:rPr>
                <w:b/>
              </w:rPr>
            </w:pPr>
            <w:r>
              <w:rPr>
                <w:b/>
              </w:rPr>
              <w:t>Process Area</w:t>
            </w:r>
          </w:p>
        </w:tc>
        <w:tc>
          <w:tcPr>
            <w:tcW w:w="3639" w:type="dxa"/>
          </w:tcPr>
          <w:p w:rsidR="00E05E93" w:rsidRPr="00EE2E88" w:rsidRDefault="00E05E93" w:rsidP="00300E70">
            <w:pPr>
              <w:ind w:left="0" w:right="0"/>
              <w:rPr>
                <w:b/>
              </w:rPr>
            </w:pPr>
            <w:r>
              <w:rPr>
                <w:b/>
              </w:rPr>
              <w:t>Availability of MT, ISO 15022 and ISO 20022</w:t>
            </w:r>
          </w:p>
        </w:tc>
        <w:tc>
          <w:tcPr>
            <w:tcW w:w="3780" w:type="dxa"/>
          </w:tcPr>
          <w:p w:rsidR="00E05E93" w:rsidRPr="00EE2E88" w:rsidRDefault="00E05E93" w:rsidP="00300E70">
            <w:pPr>
              <w:ind w:left="0" w:right="0"/>
              <w:rPr>
                <w:b/>
              </w:rPr>
            </w:pPr>
            <w:r w:rsidRPr="00EE2E88">
              <w:rPr>
                <w:b/>
              </w:rPr>
              <w:t>Availability of other standards</w:t>
            </w:r>
          </w:p>
        </w:tc>
        <w:tc>
          <w:tcPr>
            <w:tcW w:w="3780" w:type="dxa"/>
          </w:tcPr>
          <w:p w:rsidR="00E05E93" w:rsidRPr="00EE2E88" w:rsidRDefault="00E05E93" w:rsidP="00300E70">
            <w:pPr>
              <w:ind w:left="0" w:right="0"/>
              <w:rPr>
                <w:b/>
              </w:rPr>
            </w:pPr>
            <w:proofErr w:type="spellStart"/>
            <w:r w:rsidRPr="00EE2E88">
              <w:rPr>
                <w:b/>
              </w:rPr>
              <w:t>Ongoing</w:t>
            </w:r>
            <w:proofErr w:type="spellEnd"/>
            <w:r w:rsidRPr="00EE2E88">
              <w:rPr>
                <w:b/>
              </w:rPr>
              <w:t xml:space="preserve"> &amp; planned activities Opportunities</w:t>
            </w:r>
          </w:p>
        </w:tc>
      </w:tr>
      <w:tr w:rsidR="00E05E93" w:rsidRPr="001D5EB7" w:rsidTr="00392BF9">
        <w:tc>
          <w:tcPr>
            <w:tcW w:w="1559" w:type="dxa"/>
          </w:tcPr>
          <w:p w:rsidR="00E05E93" w:rsidRPr="00EE2E88" w:rsidRDefault="00E05E93" w:rsidP="00300E70">
            <w:pPr>
              <w:ind w:left="0" w:right="0"/>
              <w:rPr>
                <w:b/>
              </w:rPr>
            </w:pPr>
            <w:r w:rsidRPr="00EE2E88">
              <w:rPr>
                <w:b/>
              </w:rPr>
              <w:t>Request</w:t>
            </w:r>
          </w:p>
        </w:tc>
        <w:tc>
          <w:tcPr>
            <w:tcW w:w="3639" w:type="dxa"/>
          </w:tcPr>
          <w:p w:rsidR="00E05E93" w:rsidRPr="00EE2E88" w:rsidRDefault="00E05E93" w:rsidP="00300E70">
            <w:pPr>
              <w:ind w:left="0" w:right="0"/>
            </w:pPr>
            <w:r w:rsidRPr="00EE2E88">
              <w:t>None</w:t>
            </w:r>
          </w:p>
        </w:tc>
        <w:tc>
          <w:tcPr>
            <w:tcW w:w="3780" w:type="dxa"/>
          </w:tcPr>
          <w:p w:rsidR="00E05E93" w:rsidRPr="00EE2E88" w:rsidRDefault="00E05E93" w:rsidP="00300E70">
            <w:pPr>
              <w:spacing w:before="0"/>
              <w:ind w:left="0" w:right="0"/>
            </w:pPr>
            <w:r w:rsidRPr="00EE2E88">
              <w:t>Bolero XML (Corporate-to-Bank):</w:t>
            </w:r>
          </w:p>
          <w:p w:rsidR="00392BF9" w:rsidRDefault="00E05E93">
            <w:pPr>
              <w:numPr>
                <w:ilvl w:val="0"/>
                <w:numId w:val="5"/>
              </w:numPr>
              <w:spacing w:before="0"/>
              <w:ind w:left="0" w:right="0"/>
            </w:pPr>
            <w:r w:rsidRPr="00EE2E88">
              <w:t xml:space="preserve">Remitting Banks Collection Instruction </w:t>
            </w:r>
          </w:p>
          <w:p w:rsidR="00392BF9" w:rsidRDefault="00E05E93">
            <w:pPr>
              <w:numPr>
                <w:ilvl w:val="0"/>
                <w:numId w:val="5"/>
              </w:numPr>
              <w:spacing w:before="0"/>
              <w:ind w:left="0" w:right="0"/>
            </w:pPr>
            <w:r w:rsidRPr="00EE2E88">
              <w:t>Collection Amendment Request</w:t>
            </w:r>
          </w:p>
          <w:p w:rsidR="00E05E93" w:rsidRPr="00EE2E88" w:rsidRDefault="00E05E93" w:rsidP="00300E70">
            <w:pPr>
              <w:spacing w:before="0"/>
              <w:ind w:left="0" w:right="0"/>
            </w:pPr>
          </w:p>
        </w:tc>
        <w:tc>
          <w:tcPr>
            <w:tcW w:w="3780" w:type="dxa"/>
          </w:tcPr>
          <w:p w:rsidR="00E05E93" w:rsidRPr="00EE2E88" w:rsidRDefault="00E05E93" w:rsidP="007114F3">
            <w:pPr>
              <w:ind w:left="0" w:right="0"/>
            </w:pPr>
          </w:p>
        </w:tc>
      </w:tr>
      <w:tr w:rsidR="00E05E93" w:rsidRPr="001D5EB7" w:rsidTr="00392BF9">
        <w:tc>
          <w:tcPr>
            <w:tcW w:w="1559" w:type="dxa"/>
          </w:tcPr>
          <w:p w:rsidR="00E05E93" w:rsidRPr="00EE2E88" w:rsidRDefault="00E05E93" w:rsidP="00300E70">
            <w:pPr>
              <w:ind w:left="0" w:right="0"/>
              <w:rPr>
                <w:b/>
              </w:rPr>
            </w:pPr>
            <w:r w:rsidRPr="00EE2E88">
              <w:rPr>
                <w:b/>
              </w:rPr>
              <w:t>Presentation</w:t>
            </w:r>
          </w:p>
        </w:tc>
        <w:tc>
          <w:tcPr>
            <w:tcW w:w="3639" w:type="dxa"/>
          </w:tcPr>
          <w:p w:rsidR="00E05E93" w:rsidRPr="00EE2E88" w:rsidRDefault="00E05E93" w:rsidP="00300E70">
            <w:pPr>
              <w:ind w:left="0" w:right="0"/>
            </w:pPr>
            <w:r w:rsidRPr="00EE2E88">
              <w:t>3 MT messages (plus 7 common group message types) for use in the Bank-to-Bank exchanges:</w:t>
            </w:r>
          </w:p>
          <w:p w:rsidR="00392BF9" w:rsidRDefault="00E05E93">
            <w:pPr>
              <w:numPr>
                <w:ilvl w:val="0"/>
                <w:numId w:val="5"/>
              </w:numPr>
              <w:spacing w:before="0"/>
              <w:ind w:left="0" w:right="0"/>
            </w:pPr>
            <w:r w:rsidRPr="00EE2E88">
              <w:t>MT 405 Clean Collection</w:t>
            </w:r>
          </w:p>
          <w:p w:rsidR="00392BF9" w:rsidRDefault="00E05E93">
            <w:pPr>
              <w:numPr>
                <w:ilvl w:val="0"/>
                <w:numId w:val="5"/>
              </w:numPr>
              <w:spacing w:before="0"/>
              <w:ind w:left="0" w:right="0"/>
            </w:pPr>
            <w:r w:rsidRPr="00EE2E88">
              <w:t>MT 410 Acknowledgement</w:t>
            </w:r>
          </w:p>
          <w:p w:rsidR="00392BF9" w:rsidRDefault="00E05E93">
            <w:pPr>
              <w:numPr>
                <w:ilvl w:val="0"/>
                <w:numId w:val="5"/>
              </w:numPr>
              <w:spacing w:before="0"/>
              <w:ind w:left="0" w:right="0"/>
            </w:pPr>
            <w:r w:rsidRPr="00EE2E88">
              <w:t>MT 430 Amendment of Instructions</w:t>
            </w:r>
          </w:p>
          <w:p w:rsidR="00E05E93" w:rsidRPr="00EE2E88" w:rsidRDefault="00E05E93" w:rsidP="00300E70">
            <w:pPr>
              <w:spacing w:before="0"/>
              <w:ind w:left="0" w:right="0"/>
            </w:pPr>
          </w:p>
        </w:tc>
        <w:tc>
          <w:tcPr>
            <w:tcW w:w="3780" w:type="dxa"/>
          </w:tcPr>
          <w:p w:rsidR="00E05E93" w:rsidRPr="00EE2E88" w:rsidRDefault="00E05E93" w:rsidP="00300E70">
            <w:pPr>
              <w:spacing w:before="0"/>
              <w:ind w:left="0" w:right="0"/>
            </w:pPr>
            <w:r w:rsidRPr="00EE2E88">
              <w:t>Bolero XML:</w:t>
            </w:r>
          </w:p>
          <w:p w:rsidR="00392BF9" w:rsidRDefault="00E05E93">
            <w:pPr>
              <w:numPr>
                <w:ilvl w:val="0"/>
                <w:numId w:val="5"/>
              </w:numPr>
              <w:spacing w:before="0"/>
              <w:ind w:left="0" w:right="0"/>
            </w:pPr>
            <w:r w:rsidRPr="00EE2E88">
              <w:t>Collecting Banks Collection Instruction</w:t>
            </w:r>
          </w:p>
          <w:p w:rsidR="00392BF9" w:rsidRDefault="00E05E93">
            <w:pPr>
              <w:numPr>
                <w:ilvl w:val="0"/>
                <w:numId w:val="5"/>
              </w:numPr>
              <w:spacing w:before="0"/>
              <w:ind w:left="0" w:right="0"/>
            </w:pPr>
            <w:r w:rsidRPr="00EE2E88">
              <w:t>Collection Amendment Advice</w:t>
            </w:r>
          </w:p>
        </w:tc>
        <w:tc>
          <w:tcPr>
            <w:tcW w:w="3780" w:type="dxa"/>
          </w:tcPr>
          <w:p w:rsidR="00E05E93" w:rsidRPr="00EE2E88" w:rsidRDefault="00E05E93" w:rsidP="00300E70">
            <w:pPr>
              <w:ind w:left="0" w:right="0"/>
            </w:pPr>
          </w:p>
        </w:tc>
      </w:tr>
      <w:tr w:rsidR="00E05E93" w:rsidRPr="001D5EB7" w:rsidTr="00392BF9">
        <w:tc>
          <w:tcPr>
            <w:tcW w:w="1559" w:type="dxa"/>
          </w:tcPr>
          <w:p w:rsidR="00E05E93" w:rsidRPr="00EE2E88" w:rsidRDefault="00E05E93" w:rsidP="00300E70">
            <w:pPr>
              <w:ind w:left="0" w:right="0"/>
              <w:rPr>
                <w:b/>
              </w:rPr>
            </w:pPr>
            <w:r w:rsidRPr="00EE2E88">
              <w:rPr>
                <w:b/>
              </w:rPr>
              <w:t>Settlement</w:t>
            </w:r>
          </w:p>
        </w:tc>
        <w:tc>
          <w:tcPr>
            <w:tcW w:w="3639" w:type="dxa"/>
          </w:tcPr>
          <w:p w:rsidR="00E05E93" w:rsidRPr="00EE2E88" w:rsidRDefault="00E05E93" w:rsidP="00300E70">
            <w:pPr>
              <w:ind w:left="0" w:right="0"/>
            </w:pPr>
            <w:r w:rsidRPr="00EE2E88">
              <w:t>5 MT messages for use in the Bank-to-Bank exchanges (excluding payment messages):</w:t>
            </w:r>
          </w:p>
          <w:p w:rsidR="00392BF9" w:rsidRDefault="00E05E93">
            <w:pPr>
              <w:numPr>
                <w:ilvl w:val="0"/>
                <w:numId w:val="5"/>
              </w:numPr>
              <w:spacing w:before="0"/>
              <w:ind w:left="0" w:right="0"/>
            </w:pPr>
            <w:r w:rsidRPr="00EE2E88">
              <w:t>MT 400 Advice of Payment</w:t>
            </w:r>
          </w:p>
          <w:p w:rsidR="00392BF9" w:rsidRDefault="00E05E93">
            <w:pPr>
              <w:numPr>
                <w:ilvl w:val="0"/>
                <w:numId w:val="5"/>
              </w:numPr>
              <w:spacing w:before="0"/>
              <w:ind w:left="0" w:right="0"/>
            </w:pPr>
            <w:r w:rsidRPr="00EE2E88">
              <w:t>MT 412 Advice of Acceptance</w:t>
            </w:r>
          </w:p>
          <w:p w:rsidR="00392BF9" w:rsidRDefault="00E05E93">
            <w:pPr>
              <w:numPr>
                <w:ilvl w:val="0"/>
                <w:numId w:val="5"/>
              </w:numPr>
              <w:spacing w:before="0"/>
              <w:ind w:left="0" w:right="0"/>
            </w:pPr>
            <w:r w:rsidRPr="00EE2E88">
              <w:t>MT 416 Advice of Non-Payment / Non-Acceptance</w:t>
            </w:r>
          </w:p>
          <w:p w:rsidR="00392BF9" w:rsidRDefault="00E05E93">
            <w:pPr>
              <w:numPr>
                <w:ilvl w:val="0"/>
                <w:numId w:val="5"/>
              </w:numPr>
              <w:spacing w:before="0"/>
              <w:ind w:left="0" w:right="0"/>
            </w:pPr>
            <w:r w:rsidRPr="00EE2E88">
              <w:t>MT 420 Tracer</w:t>
            </w:r>
          </w:p>
          <w:p w:rsidR="00392BF9" w:rsidRDefault="00E05E93">
            <w:pPr>
              <w:numPr>
                <w:ilvl w:val="0"/>
                <w:numId w:val="5"/>
              </w:numPr>
              <w:spacing w:before="0"/>
              <w:ind w:left="0" w:right="0"/>
            </w:pPr>
            <w:r w:rsidRPr="00EE2E88">
              <w:t>MT 422 Advice of Fate and Request for Instructions</w:t>
            </w:r>
          </w:p>
        </w:tc>
        <w:tc>
          <w:tcPr>
            <w:tcW w:w="3780" w:type="dxa"/>
          </w:tcPr>
          <w:p w:rsidR="00E05E93" w:rsidRPr="00EE2E88" w:rsidRDefault="00E05E93" w:rsidP="00300E70">
            <w:pPr>
              <w:spacing w:before="0"/>
              <w:ind w:left="0" w:right="0"/>
            </w:pPr>
            <w:r w:rsidRPr="00EE2E88">
              <w:t>Bolero XML:</w:t>
            </w:r>
          </w:p>
          <w:p w:rsidR="00392BF9" w:rsidRDefault="00E05E93">
            <w:pPr>
              <w:numPr>
                <w:ilvl w:val="0"/>
                <w:numId w:val="5"/>
              </w:numPr>
              <w:spacing w:before="0"/>
              <w:ind w:left="0" w:right="0"/>
            </w:pPr>
            <w:r w:rsidRPr="00EE2E88">
              <w:t>Collection Advice of Non -Payment or Non Acceptance</w:t>
            </w:r>
          </w:p>
          <w:p w:rsidR="00392BF9" w:rsidRDefault="00E05E93">
            <w:pPr>
              <w:numPr>
                <w:ilvl w:val="0"/>
                <w:numId w:val="5"/>
              </w:numPr>
              <w:spacing w:before="0"/>
              <w:ind w:left="0" w:right="0"/>
            </w:pPr>
            <w:r w:rsidRPr="00EE2E88">
              <w:t>Collection Status Request</w:t>
            </w:r>
          </w:p>
          <w:p w:rsidR="00392BF9" w:rsidRDefault="00E05E93">
            <w:pPr>
              <w:numPr>
                <w:ilvl w:val="0"/>
                <w:numId w:val="5"/>
              </w:numPr>
              <w:spacing w:before="0"/>
              <w:ind w:left="0" w:right="0"/>
            </w:pPr>
            <w:r w:rsidRPr="00EE2E88">
              <w:t>Collection Status Advice</w:t>
            </w:r>
          </w:p>
          <w:p w:rsidR="00E05E93" w:rsidRPr="00EE2E88" w:rsidRDefault="00E05E93" w:rsidP="00300E70">
            <w:pPr>
              <w:ind w:left="0" w:right="0"/>
            </w:pPr>
          </w:p>
        </w:tc>
        <w:tc>
          <w:tcPr>
            <w:tcW w:w="3780" w:type="dxa"/>
          </w:tcPr>
          <w:p w:rsidR="00E05E93" w:rsidRPr="00EE2E88" w:rsidRDefault="00E05E93" w:rsidP="00300E70">
            <w:pPr>
              <w:ind w:left="0" w:right="0"/>
            </w:pPr>
          </w:p>
        </w:tc>
      </w:tr>
    </w:tbl>
    <w:p w:rsidR="004547A2" w:rsidRDefault="004547A2" w:rsidP="004547A2">
      <w:pPr>
        <w:pStyle w:val="Heading2"/>
        <w:tabs>
          <w:tab w:val="clear" w:pos="360"/>
        </w:tabs>
        <w:spacing w:before="300" w:after="60"/>
        <w:ind w:left="1134" w:right="0" w:firstLine="0"/>
      </w:pPr>
      <w:bookmarkStart w:id="78" w:name="_Toc284849373"/>
    </w:p>
    <w:p w:rsidR="00392BF9" w:rsidRDefault="00E05E93">
      <w:pPr>
        <w:pStyle w:val="Heading2"/>
        <w:numPr>
          <w:ilvl w:val="2"/>
          <w:numId w:val="4"/>
        </w:numPr>
        <w:tabs>
          <w:tab w:val="num" w:pos="1134"/>
        </w:tabs>
        <w:spacing w:before="300" w:after="60"/>
        <w:ind w:left="1134" w:right="0" w:hanging="992"/>
      </w:pPr>
      <w:bookmarkStart w:id="79" w:name="_Toc340670984"/>
      <w:r>
        <w:t>Additional opportunities</w:t>
      </w:r>
      <w:bookmarkEnd w:id="79"/>
    </w:p>
    <w:bookmarkEnd w:id="78"/>
    <w:p w:rsidR="00E05E93" w:rsidRDefault="00E05E93" w:rsidP="00E05E93">
      <w:pPr>
        <w:ind w:left="142" w:right="60"/>
        <w:jc w:val="both"/>
      </w:pPr>
      <w:r>
        <w:t xml:space="preserve">ISO 20022 Documentary Collection messages </w:t>
      </w:r>
      <w:r w:rsidR="008140E7">
        <w:t xml:space="preserve">could </w:t>
      </w:r>
      <w:r>
        <w:t xml:space="preserve">leverage ISO 20022 developments for Documentary Credits and Guarantees, in particular the support for inclusion of functionality to support the electronic submission and exchange of electronic documents (instead of paper). </w:t>
      </w:r>
    </w:p>
    <w:p w:rsidR="00392BF9" w:rsidRDefault="00E05E93">
      <w:pPr>
        <w:pStyle w:val="Heading1"/>
        <w:numPr>
          <w:ilvl w:val="1"/>
          <w:numId w:val="4"/>
        </w:numPr>
        <w:tabs>
          <w:tab w:val="clear" w:pos="1296"/>
          <w:tab w:val="num" w:pos="142"/>
          <w:tab w:val="left" w:pos="1134"/>
        </w:tabs>
        <w:spacing w:before="300" w:after="60"/>
        <w:ind w:left="142" w:right="0" w:firstLine="0"/>
      </w:pPr>
      <w:r>
        <w:br w:type="page"/>
      </w:r>
      <w:bookmarkStart w:id="80" w:name="_Toc284849374"/>
      <w:bookmarkStart w:id="81" w:name="_Toc340670985"/>
      <w:r w:rsidRPr="00D75B9D">
        <w:lastRenderedPageBreak/>
        <w:t>Documentary Credits</w:t>
      </w:r>
      <w:bookmarkEnd w:id="80"/>
      <w:r w:rsidR="00D76516">
        <w:t xml:space="preserve"> (Payment Instrument)</w:t>
      </w:r>
      <w:bookmarkEnd w:id="81"/>
    </w:p>
    <w:p w:rsidR="00676572" w:rsidRDefault="009A53A9" w:rsidP="00FA35FD">
      <w:pPr>
        <w:pStyle w:val="Heading2"/>
        <w:numPr>
          <w:ilvl w:val="2"/>
          <w:numId w:val="4"/>
        </w:numPr>
        <w:tabs>
          <w:tab w:val="num" w:pos="1134"/>
        </w:tabs>
        <w:spacing w:before="300" w:after="60"/>
        <w:ind w:left="1134" w:right="0" w:hanging="992"/>
      </w:pPr>
      <w:bookmarkStart w:id="82" w:name="_Toc284849375"/>
      <w:bookmarkStart w:id="83" w:name="_Toc340670986"/>
      <w:r>
        <w:rPr>
          <w:noProof/>
          <w:lang w:eastAsia="en-GB"/>
        </w:rPr>
        <w:drawing>
          <wp:anchor distT="0" distB="0" distL="114300" distR="114300" simplePos="0" relativeHeight="251710976" behindDoc="1" locked="0" layoutInCell="1" allowOverlap="1" wp14:anchorId="5110F015" wp14:editId="11D73970">
            <wp:simplePos x="0" y="0"/>
            <wp:positionH relativeFrom="column">
              <wp:align>center</wp:align>
            </wp:positionH>
            <wp:positionV relativeFrom="paragraph">
              <wp:posOffset>498475</wp:posOffset>
            </wp:positionV>
            <wp:extent cx="7378065" cy="3458210"/>
            <wp:effectExtent l="19050" t="0" r="0" b="0"/>
            <wp:wrapTopAndBottom/>
            <wp:docPr id="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srcRect/>
                    <a:stretch>
                      <a:fillRect/>
                    </a:stretch>
                  </pic:blipFill>
                  <pic:spPr bwMode="auto">
                    <a:xfrm>
                      <a:off x="0" y="0"/>
                      <a:ext cx="7378065" cy="3458210"/>
                    </a:xfrm>
                    <a:prstGeom prst="rect">
                      <a:avLst/>
                    </a:prstGeom>
                    <a:noFill/>
                    <a:ln w="9525">
                      <a:noFill/>
                      <a:miter lim="800000"/>
                      <a:headEnd/>
                      <a:tailEnd/>
                    </a:ln>
                  </pic:spPr>
                </pic:pic>
              </a:graphicData>
            </a:graphic>
          </wp:anchor>
        </w:drawing>
      </w:r>
      <w:r w:rsidR="00E05E93">
        <w:t>Business overview</w:t>
      </w:r>
      <w:bookmarkEnd w:id="82"/>
      <w:bookmarkEnd w:id="83"/>
    </w:p>
    <w:p w:rsidR="00FA35FD" w:rsidRPr="00FA35FD" w:rsidRDefault="00FA35FD" w:rsidP="00FA35FD"/>
    <w:p w:rsidR="00676572" w:rsidRPr="00676572" w:rsidRDefault="00676572" w:rsidP="00676572"/>
    <w:p w:rsidR="00E05E93" w:rsidRDefault="00E05E93" w:rsidP="00E05E93">
      <w:pPr>
        <w:ind w:left="142" w:right="60"/>
        <w:jc w:val="both"/>
      </w:pPr>
      <w:r>
        <w:t>A documentary credit represents a commitment of a bank to pay the seller of goods or services, a defined amount provided the seller presents stipulated documents evidencing the shipment of goods or the performance of services within a prescribed period of time.  Strict requirements govern the composition of documents used in the documentary credit. The buyer is ensured that payment is not made until the conditions of the credit are met.</w:t>
      </w:r>
    </w:p>
    <w:p w:rsidR="00E05E93" w:rsidRDefault="00E05E93" w:rsidP="00E05E93">
      <w:pPr>
        <w:ind w:left="142" w:right="60"/>
        <w:jc w:val="both"/>
      </w:pPr>
      <w:r>
        <w:t>There exist many different types of documentary credit (revocable/irrevocable,</w:t>
      </w:r>
      <w:r w:rsidR="00392BF9">
        <w:t xml:space="preserve"> </w:t>
      </w:r>
      <w:r>
        <w:t xml:space="preserve">confirmed/unconfirmed, by payment/by negotiation, at sight/by acceptance, </w:t>
      </w:r>
      <w:proofErr w:type="spellStart"/>
      <w:r>
        <w:t>etc</w:t>
      </w:r>
      <w:proofErr w:type="spellEnd"/>
      <w:r>
        <w:t>).  The basis for judging the conformity of the documents is provided by the “</w:t>
      </w:r>
      <w:hyperlink r:id="rId52" w:history="1">
        <w:r w:rsidRPr="008140E7">
          <w:rPr>
            <w:rStyle w:val="Hyperlink"/>
          </w:rPr>
          <w:t>Uniform Customs and Practices for Documentary Credits</w:t>
        </w:r>
      </w:hyperlink>
      <w:r>
        <w:t>” (UCP)</w:t>
      </w:r>
      <w:r w:rsidR="008140E7">
        <w:t>.</w:t>
      </w:r>
    </w:p>
    <w:p w:rsidR="004547A2" w:rsidRDefault="004547A2" w:rsidP="00E05E93">
      <w:pPr>
        <w:ind w:left="142" w:right="60"/>
        <w:jc w:val="both"/>
        <w:rPr>
          <w:b/>
          <w:noProof/>
        </w:rPr>
      </w:pPr>
    </w:p>
    <w:p w:rsidR="00E05E93" w:rsidRDefault="00E05E93" w:rsidP="00E05E93">
      <w:pPr>
        <w:ind w:left="142" w:right="60"/>
        <w:jc w:val="both"/>
        <w:rPr>
          <w:b/>
          <w:noProof/>
        </w:rPr>
      </w:pPr>
      <w:r>
        <w:rPr>
          <w:b/>
          <w:noProof/>
        </w:rPr>
        <w:lastRenderedPageBreak/>
        <w:t>Application /  Amendment</w:t>
      </w:r>
    </w:p>
    <w:p w:rsidR="00E05E93" w:rsidRDefault="00E05E93" w:rsidP="00E05E93">
      <w:pPr>
        <w:ind w:left="142" w:right="60"/>
        <w:jc w:val="both"/>
        <w:rPr>
          <w:noProof/>
        </w:rPr>
      </w:pPr>
      <w:r>
        <w:rPr>
          <w:noProof/>
        </w:rPr>
        <w:t xml:space="preserve">Importer (buyer) and exporter (seller) negotiate a sales contract. The importer will request the issuance or amendment of a </w:t>
      </w:r>
      <w:r w:rsidR="008140E7">
        <w:rPr>
          <w:noProof/>
        </w:rPr>
        <w:t>documentary</w:t>
      </w:r>
      <w:r>
        <w:rPr>
          <w:noProof/>
        </w:rPr>
        <w:t xml:space="preserve"> credit to the issuing bank, which will check the creditworthiness of the importer.</w:t>
      </w:r>
    </w:p>
    <w:p w:rsidR="004547A2" w:rsidRDefault="004547A2" w:rsidP="00E05E93">
      <w:pPr>
        <w:ind w:left="142" w:right="60"/>
        <w:jc w:val="both"/>
        <w:rPr>
          <w:b/>
          <w:noProof/>
        </w:rPr>
      </w:pPr>
    </w:p>
    <w:p w:rsidR="00E05E93" w:rsidRDefault="00E05E93" w:rsidP="00E05E93">
      <w:pPr>
        <w:ind w:left="142" w:right="60"/>
        <w:jc w:val="both"/>
        <w:rPr>
          <w:b/>
          <w:noProof/>
        </w:rPr>
      </w:pPr>
      <w:r>
        <w:rPr>
          <w:b/>
          <w:noProof/>
        </w:rPr>
        <w:t>Issuance</w:t>
      </w:r>
    </w:p>
    <w:p w:rsidR="00E05E93" w:rsidRDefault="00E05E93" w:rsidP="00E05E93">
      <w:pPr>
        <w:ind w:left="142" w:right="60"/>
        <w:jc w:val="both"/>
        <w:rPr>
          <w:noProof/>
        </w:rPr>
      </w:pPr>
      <w:r>
        <w:rPr>
          <w:noProof/>
        </w:rPr>
        <w:t>The issuing bank will issue (or amend) the letter of credit and inform the applicant. The advising bank will authenticate the letter of credit.</w:t>
      </w:r>
    </w:p>
    <w:p w:rsidR="004547A2" w:rsidRDefault="004547A2" w:rsidP="00E05E93">
      <w:pPr>
        <w:ind w:left="142" w:right="60"/>
        <w:jc w:val="both"/>
        <w:rPr>
          <w:b/>
          <w:noProof/>
        </w:rPr>
      </w:pPr>
    </w:p>
    <w:p w:rsidR="00E05E93" w:rsidRDefault="00E05E93" w:rsidP="00E05E93">
      <w:pPr>
        <w:ind w:left="142" w:right="60"/>
        <w:jc w:val="both"/>
        <w:rPr>
          <w:b/>
          <w:noProof/>
        </w:rPr>
      </w:pPr>
      <w:r>
        <w:rPr>
          <w:b/>
          <w:noProof/>
        </w:rPr>
        <w:t>Advising</w:t>
      </w:r>
    </w:p>
    <w:p w:rsidR="00E05E93" w:rsidRDefault="00E05E93" w:rsidP="00E05E93">
      <w:pPr>
        <w:ind w:left="142" w:right="60"/>
        <w:jc w:val="both"/>
        <w:rPr>
          <w:noProof/>
        </w:rPr>
      </w:pPr>
      <w:r>
        <w:rPr>
          <w:noProof/>
        </w:rPr>
        <w:t>The advising bank will inform the exporter of the issued or amended letter of credit, which the exporter will accept or refuse.</w:t>
      </w:r>
    </w:p>
    <w:p w:rsidR="004547A2" w:rsidRDefault="004547A2" w:rsidP="00E05E93">
      <w:pPr>
        <w:ind w:left="142" w:right="60"/>
        <w:jc w:val="both"/>
        <w:rPr>
          <w:b/>
          <w:noProof/>
        </w:rPr>
      </w:pPr>
    </w:p>
    <w:p w:rsidR="00E05E93" w:rsidRDefault="00E05E93" w:rsidP="00E05E93">
      <w:pPr>
        <w:ind w:left="142" w:right="60"/>
        <w:jc w:val="both"/>
        <w:rPr>
          <w:b/>
          <w:noProof/>
        </w:rPr>
      </w:pPr>
      <w:r>
        <w:rPr>
          <w:b/>
          <w:noProof/>
        </w:rPr>
        <w:t>Presentation</w:t>
      </w:r>
    </w:p>
    <w:p w:rsidR="00E05E93" w:rsidRDefault="00E05E93" w:rsidP="00E05E93">
      <w:pPr>
        <w:ind w:left="142" w:right="60"/>
        <w:jc w:val="both"/>
        <w:rPr>
          <w:noProof/>
        </w:rPr>
      </w:pPr>
      <w:r>
        <w:rPr>
          <w:noProof/>
        </w:rPr>
        <w:t>The exporter will ship the goods, collect the required documents and present them to the examining bank, which will – after examination – present the documents to the issuing bank.</w:t>
      </w:r>
    </w:p>
    <w:p w:rsidR="004547A2" w:rsidRDefault="004547A2" w:rsidP="00E05E93">
      <w:pPr>
        <w:ind w:left="142" w:right="60"/>
        <w:jc w:val="both"/>
        <w:rPr>
          <w:b/>
          <w:noProof/>
        </w:rPr>
      </w:pPr>
    </w:p>
    <w:p w:rsidR="00E05E93" w:rsidRDefault="00E05E93" w:rsidP="00E05E93">
      <w:pPr>
        <w:ind w:left="142" w:right="60"/>
        <w:jc w:val="both"/>
        <w:rPr>
          <w:b/>
          <w:noProof/>
        </w:rPr>
      </w:pPr>
      <w:r>
        <w:rPr>
          <w:b/>
          <w:noProof/>
        </w:rPr>
        <w:t>Negotiation</w:t>
      </w:r>
    </w:p>
    <w:p w:rsidR="00E05E93" w:rsidRDefault="00E05E93" w:rsidP="00E05E93">
      <w:pPr>
        <w:ind w:left="142" w:right="60"/>
        <w:jc w:val="both"/>
        <w:rPr>
          <w:noProof/>
        </w:rPr>
      </w:pPr>
      <w:r>
        <w:rPr>
          <w:noProof/>
        </w:rPr>
        <w:t>The examining bank will claim payment from the nominated bank and pay the exporter.</w:t>
      </w:r>
    </w:p>
    <w:p w:rsidR="004547A2" w:rsidRDefault="004547A2" w:rsidP="00E05E93">
      <w:pPr>
        <w:ind w:left="142" w:right="60"/>
        <w:jc w:val="both"/>
        <w:rPr>
          <w:b/>
          <w:noProof/>
        </w:rPr>
      </w:pPr>
    </w:p>
    <w:p w:rsidR="00E05E93" w:rsidRDefault="00E05E93" w:rsidP="00E05E93">
      <w:pPr>
        <w:ind w:left="142" w:right="60"/>
        <w:jc w:val="both"/>
        <w:rPr>
          <w:b/>
          <w:noProof/>
        </w:rPr>
      </w:pPr>
      <w:r>
        <w:rPr>
          <w:b/>
          <w:noProof/>
        </w:rPr>
        <w:t>Settlement</w:t>
      </w:r>
    </w:p>
    <w:p w:rsidR="00E05E93" w:rsidRDefault="00E05E93" w:rsidP="00E05E93">
      <w:pPr>
        <w:ind w:left="142" w:right="60"/>
        <w:jc w:val="both"/>
        <w:rPr>
          <w:lang w:eastAsia="en-GB"/>
        </w:rPr>
      </w:pPr>
      <w:r>
        <w:rPr>
          <w:lang w:eastAsia="en-GB"/>
        </w:rPr>
        <w:t>The issuing bank will examine the documents, obtain payment from the importer and release the documents to importer.</w:t>
      </w:r>
    </w:p>
    <w:p w:rsidR="004547A2" w:rsidRDefault="004547A2" w:rsidP="00E05E93">
      <w:pPr>
        <w:ind w:left="142" w:right="60"/>
        <w:jc w:val="both"/>
        <w:rPr>
          <w:lang w:eastAsia="en-GB"/>
        </w:rPr>
      </w:pPr>
    </w:p>
    <w:p w:rsidR="004547A2" w:rsidRDefault="004547A2">
      <w:pPr>
        <w:spacing w:before="0"/>
        <w:ind w:left="0" w:right="0"/>
        <w:rPr>
          <w:b/>
        </w:rPr>
      </w:pPr>
      <w:bookmarkStart w:id="84" w:name="_Toc284849376"/>
      <w:r>
        <w:br w:type="page"/>
      </w:r>
    </w:p>
    <w:p w:rsidR="00392BF9" w:rsidRDefault="000E706E">
      <w:pPr>
        <w:pStyle w:val="Heading2"/>
        <w:numPr>
          <w:ilvl w:val="2"/>
          <w:numId w:val="4"/>
        </w:numPr>
        <w:tabs>
          <w:tab w:val="num" w:pos="1134"/>
        </w:tabs>
        <w:spacing w:before="300" w:after="60"/>
        <w:ind w:left="1134" w:right="0" w:hanging="992"/>
      </w:pPr>
      <w:bookmarkStart w:id="85" w:name="_Toc340670987"/>
      <w:r>
        <w:lastRenderedPageBreak/>
        <w:t>High-level</w:t>
      </w:r>
      <w:r w:rsidR="00E05E93">
        <w:t xml:space="preserve"> standards landscape</w:t>
      </w:r>
      <w:bookmarkEnd w:id="84"/>
      <w:bookmarkEnd w:id="85"/>
    </w:p>
    <w:p w:rsidR="00D27ACD" w:rsidRPr="00D27ACD" w:rsidRDefault="009A53A9" w:rsidP="00D27ACD">
      <w:r>
        <w:rPr>
          <w:noProof/>
          <w:lang w:eastAsia="en-GB"/>
        </w:rPr>
        <w:drawing>
          <wp:anchor distT="0" distB="0" distL="114300" distR="114300" simplePos="0" relativeHeight="251713024" behindDoc="1" locked="0" layoutInCell="1" allowOverlap="1" wp14:anchorId="08C32F12" wp14:editId="42F16D8D">
            <wp:simplePos x="0" y="0"/>
            <wp:positionH relativeFrom="column">
              <wp:align>center</wp:align>
            </wp:positionH>
            <wp:positionV relativeFrom="paragraph">
              <wp:posOffset>190500</wp:posOffset>
            </wp:positionV>
            <wp:extent cx="7378065" cy="2754630"/>
            <wp:effectExtent l="19050" t="0" r="0" b="0"/>
            <wp:wrapTopAndBottom/>
            <wp:docPr id="8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srcRect/>
                    <a:stretch>
                      <a:fillRect/>
                    </a:stretch>
                  </pic:blipFill>
                  <pic:spPr bwMode="auto">
                    <a:xfrm>
                      <a:off x="0" y="0"/>
                      <a:ext cx="7378065" cy="2754630"/>
                    </a:xfrm>
                    <a:prstGeom prst="rect">
                      <a:avLst/>
                    </a:prstGeom>
                    <a:noFill/>
                    <a:ln w="9525">
                      <a:noFill/>
                      <a:miter lim="800000"/>
                      <a:headEnd/>
                      <a:tailEnd/>
                    </a:ln>
                  </pic:spPr>
                </pic:pic>
              </a:graphicData>
            </a:graphic>
          </wp:anchor>
        </w:drawing>
      </w:r>
    </w:p>
    <w:p w:rsidR="009A53A9" w:rsidRDefault="009A53A9">
      <w:pPr>
        <w:spacing w:before="0"/>
        <w:ind w:left="0" w:right="0"/>
      </w:pPr>
      <w:r>
        <w:br w:type="page"/>
      </w:r>
    </w:p>
    <w:p w:rsidR="00392BF9" w:rsidRDefault="00E05E93">
      <w:pPr>
        <w:pStyle w:val="Heading2"/>
        <w:numPr>
          <w:ilvl w:val="2"/>
          <w:numId w:val="4"/>
        </w:numPr>
        <w:tabs>
          <w:tab w:val="num" w:pos="1134"/>
        </w:tabs>
        <w:spacing w:before="300" w:after="60"/>
        <w:ind w:left="1134" w:right="0" w:hanging="992"/>
      </w:pPr>
      <w:bookmarkStart w:id="86" w:name="_Toc284849377"/>
      <w:bookmarkStart w:id="87" w:name="_Toc340670988"/>
      <w:r>
        <w:lastRenderedPageBreak/>
        <w:t>Detailed standards landscape</w:t>
      </w:r>
      <w:bookmarkEnd w:id="86"/>
      <w:bookmarkEnd w:id="87"/>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874"/>
        <w:gridCol w:w="3875"/>
        <w:gridCol w:w="3875"/>
      </w:tblGrid>
      <w:tr w:rsidR="00E05E93" w:rsidRPr="00EE2E88" w:rsidTr="00300E70">
        <w:tc>
          <w:tcPr>
            <w:tcW w:w="1559" w:type="dxa"/>
          </w:tcPr>
          <w:p w:rsidR="00E05E93" w:rsidRPr="00EE2E88" w:rsidRDefault="00E05E93" w:rsidP="00300E70">
            <w:pPr>
              <w:ind w:left="0" w:right="53"/>
              <w:rPr>
                <w:b/>
              </w:rPr>
            </w:pPr>
            <w:r>
              <w:rPr>
                <w:b/>
              </w:rPr>
              <w:t>Process Area</w:t>
            </w:r>
          </w:p>
        </w:tc>
        <w:tc>
          <w:tcPr>
            <w:tcW w:w="3874" w:type="dxa"/>
          </w:tcPr>
          <w:p w:rsidR="00E05E93" w:rsidRPr="00EE2E88" w:rsidRDefault="00E05E93" w:rsidP="00300E70">
            <w:pPr>
              <w:ind w:left="0" w:right="53"/>
              <w:rPr>
                <w:b/>
              </w:rPr>
            </w:pPr>
            <w:r>
              <w:rPr>
                <w:b/>
              </w:rPr>
              <w:t>Availability of MT, ISO 15022 and ISO 20022</w:t>
            </w:r>
          </w:p>
        </w:tc>
        <w:tc>
          <w:tcPr>
            <w:tcW w:w="3875" w:type="dxa"/>
          </w:tcPr>
          <w:p w:rsidR="00E05E93" w:rsidRPr="00EE2E88" w:rsidRDefault="00E05E93" w:rsidP="00300E70">
            <w:pPr>
              <w:ind w:left="0" w:right="53"/>
              <w:rPr>
                <w:b/>
              </w:rPr>
            </w:pPr>
            <w:r w:rsidRPr="00EE2E88">
              <w:rPr>
                <w:b/>
              </w:rPr>
              <w:t>Availability of other standards</w:t>
            </w:r>
          </w:p>
        </w:tc>
        <w:tc>
          <w:tcPr>
            <w:tcW w:w="3875" w:type="dxa"/>
          </w:tcPr>
          <w:p w:rsidR="00E05E93" w:rsidRPr="00EE2E88" w:rsidRDefault="00E05E93" w:rsidP="00582CFD">
            <w:pPr>
              <w:ind w:left="0" w:right="53"/>
              <w:rPr>
                <w:b/>
              </w:rPr>
            </w:pPr>
            <w:proofErr w:type="spellStart"/>
            <w:r w:rsidRPr="00EE2E88">
              <w:rPr>
                <w:b/>
              </w:rPr>
              <w:t>Ongoing</w:t>
            </w:r>
            <w:proofErr w:type="spellEnd"/>
            <w:r w:rsidRPr="00EE2E88">
              <w:rPr>
                <w:b/>
              </w:rPr>
              <w:t xml:space="preserve"> &amp; planned activities Opportunities</w:t>
            </w:r>
          </w:p>
        </w:tc>
      </w:tr>
      <w:tr w:rsidR="00E05E93" w:rsidRPr="001D5EB7" w:rsidTr="00300E70">
        <w:tc>
          <w:tcPr>
            <w:tcW w:w="1559" w:type="dxa"/>
          </w:tcPr>
          <w:p w:rsidR="00E05E93" w:rsidRPr="00EE2E88" w:rsidRDefault="00E05E93" w:rsidP="00300E70">
            <w:pPr>
              <w:ind w:left="0" w:right="53"/>
              <w:rPr>
                <w:b/>
              </w:rPr>
            </w:pPr>
            <w:r w:rsidRPr="00EE2E88">
              <w:rPr>
                <w:b/>
              </w:rPr>
              <w:t>Application / Amendment</w:t>
            </w:r>
          </w:p>
        </w:tc>
        <w:tc>
          <w:tcPr>
            <w:tcW w:w="3874" w:type="dxa"/>
          </w:tcPr>
          <w:p w:rsidR="00E05E93" w:rsidRPr="00EE2E88" w:rsidRDefault="00E05E93" w:rsidP="00300E70">
            <w:pPr>
              <w:ind w:left="0" w:right="53"/>
            </w:pPr>
          </w:p>
          <w:p w:rsidR="00E05E93" w:rsidRPr="00EE2E88" w:rsidRDefault="00E05E93" w:rsidP="00300E70">
            <w:pPr>
              <w:ind w:left="0" w:right="53"/>
            </w:pPr>
            <w:r w:rsidRPr="00EE2E88">
              <w:t>2 MT 798 message flows under MT Implementation Guide for Corporate-to-Bank use:</w:t>
            </w:r>
          </w:p>
          <w:p w:rsidR="00392BF9" w:rsidRDefault="00E05E93">
            <w:pPr>
              <w:numPr>
                <w:ilvl w:val="0"/>
                <w:numId w:val="5"/>
              </w:numPr>
              <w:spacing w:before="0"/>
              <w:ind w:left="176" w:right="53" w:hanging="176"/>
            </w:pPr>
            <w:r w:rsidRPr="00EE2E88">
              <w:t>Application for issuance of Documentary Credit</w:t>
            </w:r>
          </w:p>
          <w:p w:rsidR="00392BF9" w:rsidRDefault="00E05E93">
            <w:pPr>
              <w:numPr>
                <w:ilvl w:val="0"/>
                <w:numId w:val="5"/>
              </w:numPr>
              <w:spacing w:before="0"/>
              <w:ind w:left="176" w:right="53" w:hanging="176"/>
            </w:pPr>
            <w:r w:rsidRPr="00EE2E88">
              <w:t>Request for amendment of Documentary Credit</w:t>
            </w:r>
          </w:p>
        </w:tc>
        <w:tc>
          <w:tcPr>
            <w:tcW w:w="3875" w:type="dxa"/>
          </w:tcPr>
          <w:p w:rsidR="00E05E93" w:rsidRPr="00EE2E88" w:rsidRDefault="00E05E93" w:rsidP="00300E70">
            <w:pPr>
              <w:ind w:left="0" w:right="53"/>
            </w:pPr>
            <w:r w:rsidRPr="00EE2E88">
              <w:t>Bolero:</w:t>
            </w:r>
          </w:p>
          <w:p w:rsidR="00392BF9" w:rsidRDefault="00E05E93">
            <w:pPr>
              <w:numPr>
                <w:ilvl w:val="0"/>
                <w:numId w:val="6"/>
              </w:numPr>
              <w:spacing w:before="0"/>
              <w:ind w:left="0" w:right="53"/>
            </w:pPr>
            <w:r w:rsidRPr="00EE2E88">
              <w:t>DC Application</w:t>
            </w:r>
          </w:p>
          <w:p w:rsidR="00392BF9" w:rsidRDefault="00E05E93">
            <w:pPr>
              <w:numPr>
                <w:ilvl w:val="0"/>
                <w:numId w:val="6"/>
              </w:numPr>
              <w:spacing w:before="0"/>
              <w:ind w:left="0" w:right="53"/>
            </w:pPr>
            <w:r w:rsidRPr="00EE2E88">
              <w:t>DC Amendment Request</w:t>
            </w:r>
          </w:p>
          <w:p w:rsidR="00392BF9" w:rsidRDefault="00E05E93">
            <w:pPr>
              <w:numPr>
                <w:ilvl w:val="0"/>
                <w:numId w:val="6"/>
              </w:numPr>
              <w:spacing w:before="0"/>
              <w:ind w:left="0" w:right="53"/>
            </w:pPr>
            <w:r w:rsidRPr="00EE2E88">
              <w:t>DC Acknowledgement</w:t>
            </w:r>
          </w:p>
          <w:p w:rsidR="00E05E93" w:rsidRDefault="00E05E93" w:rsidP="00300E70">
            <w:pPr>
              <w:spacing w:before="0"/>
              <w:ind w:left="0" w:right="53"/>
            </w:pPr>
          </w:p>
          <w:p w:rsidR="00E05E93" w:rsidRPr="00EE2E88" w:rsidRDefault="00E05E93" w:rsidP="00300E70">
            <w:pPr>
              <w:spacing w:before="0"/>
              <w:ind w:left="0" w:right="53"/>
            </w:pPr>
            <w:r w:rsidRPr="00EE2E88">
              <w:t>UN/EDIFACT:</w:t>
            </w:r>
          </w:p>
          <w:p w:rsidR="00392BF9" w:rsidRDefault="00E05E93">
            <w:pPr>
              <w:numPr>
                <w:ilvl w:val="0"/>
                <w:numId w:val="6"/>
              </w:numPr>
              <w:spacing w:before="0"/>
              <w:ind w:left="0" w:right="53"/>
            </w:pPr>
            <w:r w:rsidRPr="00EE2E88">
              <w:t>DOCAPP (Documentary credit application message)</w:t>
            </w:r>
          </w:p>
          <w:p w:rsidR="00392BF9" w:rsidRDefault="00E05E93">
            <w:pPr>
              <w:numPr>
                <w:ilvl w:val="0"/>
                <w:numId w:val="6"/>
              </w:numPr>
              <w:spacing w:before="0"/>
              <w:ind w:left="0" w:right="53"/>
            </w:pPr>
            <w:r w:rsidRPr="00EE2E88">
              <w:t>DOCAMR (Request for an amendment of a documentary credit)</w:t>
            </w:r>
          </w:p>
          <w:p w:rsidR="00E05E93" w:rsidRPr="00EE2E88" w:rsidRDefault="00E05E93" w:rsidP="00300E70">
            <w:pPr>
              <w:spacing w:before="0"/>
              <w:ind w:left="0" w:right="53" w:hanging="156"/>
            </w:pPr>
          </w:p>
        </w:tc>
        <w:tc>
          <w:tcPr>
            <w:tcW w:w="3875" w:type="dxa"/>
          </w:tcPr>
          <w:p w:rsidR="00E05E93" w:rsidRPr="00EE2E88" w:rsidRDefault="00863D1F" w:rsidP="00863D1F">
            <w:pPr>
              <w:ind w:left="0" w:right="53"/>
            </w:pPr>
            <w:r>
              <w:t>V4 of MT 798 flows under development. Publication targeted for 1st quarter 2013 (under MT Implementation</w:t>
            </w:r>
            <w:r w:rsidRPr="00EE2E88">
              <w:t xml:space="preserve"> Guide for Corporate-to-Bank use</w:t>
            </w:r>
            <w:r>
              <w:t>).</w:t>
            </w:r>
          </w:p>
        </w:tc>
      </w:tr>
      <w:tr w:rsidR="00E05E93" w:rsidRPr="001D5EB7" w:rsidTr="00300E70">
        <w:tc>
          <w:tcPr>
            <w:tcW w:w="1559" w:type="dxa"/>
          </w:tcPr>
          <w:p w:rsidR="00E05E93" w:rsidRPr="00EE2E88" w:rsidRDefault="00E05E93" w:rsidP="00300E70">
            <w:pPr>
              <w:ind w:left="0" w:right="53"/>
              <w:rPr>
                <w:b/>
              </w:rPr>
            </w:pPr>
            <w:r w:rsidRPr="00EE2E88">
              <w:rPr>
                <w:b/>
              </w:rPr>
              <w:t>Issuance</w:t>
            </w:r>
          </w:p>
        </w:tc>
        <w:tc>
          <w:tcPr>
            <w:tcW w:w="3874" w:type="dxa"/>
          </w:tcPr>
          <w:p w:rsidR="00E05E93" w:rsidRPr="00EE2E88" w:rsidRDefault="00E05E93" w:rsidP="00300E70">
            <w:pPr>
              <w:ind w:left="0" w:right="53"/>
            </w:pPr>
            <w:r w:rsidRPr="00EE2E88">
              <w:t>3 existing MT messages under MT Implementation Guideline for Corporate-to-Bank use:</w:t>
            </w:r>
          </w:p>
          <w:p w:rsidR="00392BF9" w:rsidRDefault="00E05E93">
            <w:pPr>
              <w:numPr>
                <w:ilvl w:val="0"/>
                <w:numId w:val="6"/>
              </w:numPr>
              <w:spacing w:before="0"/>
              <w:ind w:left="176" w:right="53" w:hanging="176"/>
            </w:pPr>
            <w:r w:rsidRPr="00EE2E88">
              <w:t>MT 700 as a notification of issuance of Documentary Credit</w:t>
            </w:r>
          </w:p>
          <w:p w:rsidR="00392BF9" w:rsidRDefault="00E05E93">
            <w:pPr>
              <w:numPr>
                <w:ilvl w:val="0"/>
                <w:numId w:val="6"/>
              </w:numPr>
              <w:spacing w:before="0"/>
              <w:ind w:left="176" w:right="53" w:hanging="176"/>
            </w:pPr>
            <w:r w:rsidRPr="00EE2E88">
              <w:t>MT 701 as a notification of issuance of Documentary Credit Continuation</w:t>
            </w:r>
          </w:p>
          <w:p w:rsidR="00392BF9" w:rsidRDefault="00E05E93">
            <w:pPr>
              <w:numPr>
                <w:ilvl w:val="0"/>
                <w:numId w:val="6"/>
              </w:numPr>
              <w:spacing w:before="0"/>
              <w:ind w:left="176" w:right="53" w:hanging="176"/>
            </w:pPr>
            <w:r w:rsidRPr="00EE2E88">
              <w:t xml:space="preserve">MT 707 as a notification of amendment to a Documentary Credit </w:t>
            </w:r>
          </w:p>
          <w:p w:rsidR="00E05E93" w:rsidRPr="00EE2E88" w:rsidRDefault="00E05E93" w:rsidP="00300E70">
            <w:pPr>
              <w:ind w:left="0" w:right="0"/>
            </w:pPr>
            <w:r w:rsidRPr="00EE2E88">
              <w:t>3 MT 798 message flows under MT Implementation Guide for Corporate-to-Bank use:</w:t>
            </w:r>
          </w:p>
          <w:p w:rsidR="00392BF9" w:rsidRDefault="00E05E93">
            <w:pPr>
              <w:numPr>
                <w:ilvl w:val="0"/>
                <w:numId w:val="5"/>
              </w:numPr>
              <w:spacing w:before="0"/>
              <w:ind w:left="176" w:right="53" w:hanging="176"/>
            </w:pPr>
            <w:r w:rsidRPr="00EE2E88">
              <w:t>Notification of issuance of Documentary Credit</w:t>
            </w:r>
          </w:p>
          <w:p w:rsidR="00392BF9" w:rsidRDefault="00E05E93">
            <w:pPr>
              <w:numPr>
                <w:ilvl w:val="0"/>
                <w:numId w:val="6"/>
              </w:numPr>
              <w:spacing w:before="0"/>
              <w:ind w:left="176" w:right="53" w:hanging="176"/>
            </w:pPr>
            <w:r w:rsidRPr="00EE2E88">
              <w:t>Notification of amendment of Documentary Credit</w:t>
            </w:r>
          </w:p>
          <w:p w:rsidR="00392BF9" w:rsidRDefault="00E05E93">
            <w:pPr>
              <w:numPr>
                <w:ilvl w:val="0"/>
                <w:numId w:val="6"/>
              </w:numPr>
              <w:spacing w:before="0"/>
              <w:ind w:left="176" w:right="53" w:hanging="176"/>
            </w:pPr>
            <w:r w:rsidRPr="00EE2E88">
              <w:t>Request for Transfer of a Documentary Credit</w:t>
            </w:r>
          </w:p>
        </w:tc>
        <w:tc>
          <w:tcPr>
            <w:tcW w:w="3875" w:type="dxa"/>
          </w:tcPr>
          <w:p w:rsidR="00E05E93" w:rsidRPr="00EE2E88" w:rsidRDefault="00E05E93" w:rsidP="00300E70">
            <w:pPr>
              <w:ind w:left="0" w:right="53"/>
            </w:pPr>
            <w:r w:rsidRPr="00EE2E88">
              <w:t>Bolero:</w:t>
            </w:r>
          </w:p>
          <w:p w:rsidR="00392BF9" w:rsidRDefault="00E05E93">
            <w:pPr>
              <w:numPr>
                <w:ilvl w:val="0"/>
                <w:numId w:val="6"/>
              </w:numPr>
              <w:spacing w:before="0"/>
              <w:ind w:left="0" w:right="53"/>
            </w:pPr>
            <w:r w:rsidRPr="00EE2E88">
              <w:t>DC Notification</w:t>
            </w:r>
          </w:p>
          <w:p w:rsidR="00392BF9" w:rsidRDefault="00E05E93">
            <w:pPr>
              <w:numPr>
                <w:ilvl w:val="0"/>
                <w:numId w:val="6"/>
              </w:numPr>
              <w:spacing w:before="0"/>
              <w:ind w:left="0" w:right="53"/>
            </w:pPr>
            <w:r w:rsidRPr="00EE2E88">
              <w:t>DC Amendment</w:t>
            </w:r>
          </w:p>
          <w:p w:rsidR="00392BF9" w:rsidRDefault="00E05E93">
            <w:pPr>
              <w:numPr>
                <w:ilvl w:val="0"/>
                <w:numId w:val="6"/>
              </w:numPr>
              <w:spacing w:before="0"/>
              <w:ind w:left="0" w:right="53"/>
            </w:pPr>
            <w:r w:rsidRPr="00EE2E88">
              <w:t>Documentary Credit (DC)</w:t>
            </w:r>
          </w:p>
          <w:p w:rsidR="00E05E93" w:rsidRDefault="00E05E93" w:rsidP="00300E70">
            <w:pPr>
              <w:spacing w:before="0"/>
              <w:ind w:left="0" w:right="53"/>
            </w:pPr>
          </w:p>
          <w:p w:rsidR="00E05E93" w:rsidRPr="00EE2E88" w:rsidRDefault="00E05E93" w:rsidP="00300E70">
            <w:pPr>
              <w:spacing w:before="0"/>
              <w:ind w:left="0" w:right="53"/>
            </w:pPr>
            <w:r w:rsidRPr="00EE2E88">
              <w:t>UN/EDIFACT:</w:t>
            </w:r>
          </w:p>
          <w:p w:rsidR="00392BF9" w:rsidRDefault="00E05E93">
            <w:pPr>
              <w:numPr>
                <w:ilvl w:val="0"/>
                <w:numId w:val="6"/>
              </w:numPr>
              <w:spacing w:before="0"/>
              <w:ind w:left="0" w:right="53"/>
            </w:pPr>
            <w:r w:rsidRPr="00EE2E88">
              <w:t>DOCINF (Documentary credit issuance information)</w:t>
            </w:r>
          </w:p>
          <w:p w:rsidR="00392BF9" w:rsidRDefault="00E05E93">
            <w:pPr>
              <w:numPr>
                <w:ilvl w:val="0"/>
                <w:numId w:val="6"/>
              </w:numPr>
              <w:spacing w:before="0"/>
              <w:ind w:left="0" w:right="53"/>
            </w:pPr>
            <w:r w:rsidRPr="00EE2E88">
              <w:t>DOCAMI (Documentary credit amendment information)</w:t>
            </w:r>
          </w:p>
          <w:p w:rsidR="00E05E93" w:rsidRPr="00EE2E88" w:rsidRDefault="00E05E93" w:rsidP="00300E70">
            <w:pPr>
              <w:ind w:left="0" w:right="53"/>
            </w:pPr>
          </w:p>
        </w:tc>
        <w:tc>
          <w:tcPr>
            <w:tcW w:w="3875" w:type="dxa"/>
          </w:tcPr>
          <w:p w:rsidR="00E05E93" w:rsidRPr="00EE2E88" w:rsidRDefault="00863D1F" w:rsidP="00300E70">
            <w:pPr>
              <w:ind w:left="0" w:right="53"/>
            </w:pPr>
            <w:r>
              <w:t>V4 of MT 798 flows under development. Publication targeted for 1st quarter 2013 (under MT Implementation</w:t>
            </w:r>
            <w:r w:rsidRPr="00EE2E88">
              <w:t xml:space="preserve"> Guide for Corporate-to-Bank use</w:t>
            </w:r>
            <w:r>
              <w:t>).</w:t>
            </w:r>
          </w:p>
        </w:tc>
      </w:tr>
      <w:tr w:rsidR="00E05E93" w:rsidRPr="001D5EB7" w:rsidTr="00300E70">
        <w:tc>
          <w:tcPr>
            <w:tcW w:w="1559" w:type="dxa"/>
          </w:tcPr>
          <w:p w:rsidR="00E05E93" w:rsidRPr="00EE2E88" w:rsidRDefault="00E05E93" w:rsidP="00300E70">
            <w:pPr>
              <w:ind w:left="0" w:right="53"/>
              <w:rPr>
                <w:b/>
              </w:rPr>
            </w:pPr>
            <w:r w:rsidRPr="00EE2E88">
              <w:rPr>
                <w:b/>
              </w:rPr>
              <w:t>Advising</w:t>
            </w:r>
          </w:p>
        </w:tc>
        <w:tc>
          <w:tcPr>
            <w:tcW w:w="3874" w:type="dxa"/>
          </w:tcPr>
          <w:p w:rsidR="00E05E93" w:rsidRPr="00EE2E88" w:rsidRDefault="00E05E93" w:rsidP="00300E70">
            <w:pPr>
              <w:ind w:left="0" w:right="53"/>
            </w:pPr>
            <w:r w:rsidRPr="00EE2E88">
              <w:t>6 MT 798 message flows under MT Implementation Guide for Corporate-to-Bank use:</w:t>
            </w:r>
          </w:p>
          <w:p w:rsidR="00392BF9" w:rsidRDefault="00E05E93">
            <w:pPr>
              <w:numPr>
                <w:ilvl w:val="0"/>
                <w:numId w:val="6"/>
              </w:numPr>
              <w:spacing w:before="0"/>
              <w:ind w:left="176" w:right="53" w:hanging="176"/>
            </w:pPr>
            <w:r w:rsidRPr="00EE2E88">
              <w:t>Advice of Documentary Credit</w:t>
            </w:r>
          </w:p>
          <w:p w:rsidR="00392BF9" w:rsidRDefault="00E05E93">
            <w:pPr>
              <w:numPr>
                <w:ilvl w:val="0"/>
                <w:numId w:val="6"/>
              </w:numPr>
              <w:spacing w:before="0"/>
              <w:ind w:left="176" w:right="53" w:hanging="176"/>
            </w:pPr>
            <w:r w:rsidRPr="00EE2E88">
              <w:t>Advice of amendment of Documentary Credit</w:t>
            </w:r>
          </w:p>
          <w:p w:rsidR="00392BF9" w:rsidRDefault="00E05E93">
            <w:pPr>
              <w:numPr>
                <w:ilvl w:val="0"/>
                <w:numId w:val="6"/>
              </w:numPr>
              <w:spacing w:before="0"/>
              <w:ind w:left="176" w:right="53" w:hanging="176"/>
            </w:pPr>
            <w:r w:rsidRPr="00EE2E88">
              <w:lastRenderedPageBreak/>
              <w:t>Advice of Acceptance/Refusal of Amendment</w:t>
            </w:r>
          </w:p>
          <w:p w:rsidR="00392BF9" w:rsidRDefault="00E05E93">
            <w:pPr>
              <w:numPr>
                <w:ilvl w:val="0"/>
                <w:numId w:val="6"/>
              </w:numPr>
              <w:spacing w:before="0"/>
              <w:ind w:left="176" w:right="53" w:hanging="176"/>
            </w:pPr>
            <w:r w:rsidRPr="00EE2E88">
              <w:t>Advice of Transfer Documentary Credit</w:t>
            </w:r>
          </w:p>
          <w:p w:rsidR="00392BF9" w:rsidRDefault="00E05E93">
            <w:pPr>
              <w:numPr>
                <w:ilvl w:val="0"/>
                <w:numId w:val="6"/>
              </w:numPr>
              <w:spacing w:before="0"/>
              <w:ind w:left="176" w:right="53" w:hanging="176"/>
            </w:pPr>
            <w:r w:rsidRPr="00EE2E88">
              <w:t>Advice of Third Bank Documentary Credit</w:t>
            </w:r>
          </w:p>
          <w:p w:rsidR="00392BF9" w:rsidRDefault="00E05E93">
            <w:pPr>
              <w:numPr>
                <w:ilvl w:val="0"/>
                <w:numId w:val="6"/>
              </w:numPr>
              <w:spacing w:before="0"/>
              <w:ind w:left="176" w:right="53" w:hanging="176"/>
            </w:pPr>
            <w:r w:rsidRPr="00EE2E88">
              <w:t>Notification of Acceptance/Refusal of Amendment</w:t>
            </w:r>
          </w:p>
        </w:tc>
        <w:tc>
          <w:tcPr>
            <w:tcW w:w="3875" w:type="dxa"/>
          </w:tcPr>
          <w:p w:rsidR="00E05E93" w:rsidRPr="00EE2E88" w:rsidRDefault="00E05E93" w:rsidP="00300E70">
            <w:pPr>
              <w:ind w:left="0" w:right="53"/>
            </w:pPr>
            <w:r w:rsidRPr="00EE2E88">
              <w:lastRenderedPageBreak/>
              <w:t>Bolero:</w:t>
            </w:r>
          </w:p>
          <w:p w:rsidR="00392BF9" w:rsidRDefault="00E05E93">
            <w:pPr>
              <w:numPr>
                <w:ilvl w:val="0"/>
                <w:numId w:val="7"/>
              </w:numPr>
              <w:spacing w:before="0"/>
              <w:ind w:left="0" w:right="53"/>
            </w:pPr>
            <w:r w:rsidRPr="00EE2E88">
              <w:t>DC Advice</w:t>
            </w:r>
          </w:p>
          <w:p w:rsidR="00392BF9" w:rsidRDefault="00E05E93">
            <w:pPr>
              <w:numPr>
                <w:ilvl w:val="0"/>
                <w:numId w:val="7"/>
              </w:numPr>
              <w:spacing w:before="0"/>
              <w:ind w:left="0" w:right="53"/>
            </w:pPr>
            <w:r w:rsidRPr="00EE2E88">
              <w:t>DC Copy</w:t>
            </w:r>
          </w:p>
          <w:p w:rsidR="00392BF9" w:rsidRDefault="00E05E93">
            <w:pPr>
              <w:numPr>
                <w:ilvl w:val="0"/>
                <w:numId w:val="7"/>
              </w:numPr>
              <w:spacing w:before="0"/>
              <w:ind w:left="0" w:right="53"/>
            </w:pPr>
            <w:r w:rsidRPr="00EE2E88">
              <w:t>Beneficiary’s DC Amendment Acceptance or Refusal</w:t>
            </w:r>
          </w:p>
          <w:p w:rsidR="00392BF9" w:rsidRDefault="00E05E93">
            <w:pPr>
              <w:numPr>
                <w:ilvl w:val="0"/>
                <w:numId w:val="7"/>
              </w:numPr>
              <w:spacing w:before="0"/>
              <w:ind w:left="0" w:right="53"/>
            </w:pPr>
            <w:r w:rsidRPr="00EE2E88">
              <w:t xml:space="preserve">Advice Of A Third Banks Documentary </w:t>
            </w:r>
            <w:r w:rsidRPr="00EE2E88">
              <w:lastRenderedPageBreak/>
              <w:t>Credit</w:t>
            </w:r>
          </w:p>
          <w:p w:rsidR="00E05E93" w:rsidRPr="00EE2E88" w:rsidRDefault="00E05E93" w:rsidP="00300E70">
            <w:pPr>
              <w:spacing w:before="0"/>
              <w:ind w:left="0" w:right="53"/>
            </w:pPr>
          </w:p>
          <w:p w:rsidR="00E05E93" w:rsidRPr="00EE2E88" w:rsidRDefault="00E05E93" w:rsidP="00300E70">
            <w:pPr>
              <w:spacing w:before="0"/>
              <w:ind w:left="0" w:right="53"/>
            </w:pPr>
            <w:r w:rsidRPr="00EE2E88">
              <w:t>UN/EDIFACT:</w:t>
            </w:r>
          </w:p>
          <w:p w:rsidR="00392BF9" w:rsidRDefault="00E05E93">
            <w:pPr>
              <w:numPr>
                <w:ilvl w:val="0"/>
                <w:numId w:val="7"/>
              </w:numPr>
              <w:spacing w:before="0"/>
              <w:ind w:left="0" w:right="53"/>
            </w:pPr>
            <w:r w:rsidRPr="00EE2E88">
              <w:t>DOCADV (Documentary credit advice)</w:t>
            </w:r>
          </w:p>
          <w:p w:rsidR="00392BF9" w:rsidRDefault="00E05E93">
            <w:pPr>
              <w:numPr>
                <w:ilvl w:val="0"/>
                <w:numId w:val="7"/>
              </w:numPr>
              <w:spacing w:before="0"/>
              <w:ind w:left="0" w:right="53"/>
            </w:pPr>
            <w:r w:rsidRPr="00EE2E88">
              <w:t>DOCAMA (Advice of an amendment of a documentary credit)</w:t>
            </w:r>
          </w:p>
          <w:p w:rsidR="00392BF9" w:rsidRDefault="00E05E93">
            <w:pPr>
              <w:numPr>
                <w:ilvl w:val="0"/>
                <w:numId w:val="7"/>
              </w:numPr>
              <w:spacing w:before="0"/>
              <w:ind w:left="0" w:right="53"/>
            </w:pPr>
            <w:r w:rsidRPr="00EE2E88">
              <w:t>DOCARE (Response to an amendment of a documentary credit)</w:t>
            </w:r>
          </w:p>
          <w:p w:rsidR="00E05E93" w:rsidRPr="00EE2E88" w:rsidRDefault="00E05E93" w:rsidP="00300E70">
            <w:pPr>
              <w:spacing w:before="0"/>
              <w:ind w:left="0" w:right="53"/>
            </w:pPr>
          </w:p>
        </w:tc>
        <w:tc>
          <w:tcPr>
            <w:tcW w:w="3875" w:type="dxa"/>
          </w:tcPr>
          <w:p w:rsidR="00E05E93" w:rsidRPr="00EE2E88" w:rsidRDefault="00863D1F" w:rsidP="00300E70">
            <w:pPr>
              <w:ind w:left="0" w:right="53"/>
            </w:pPr>
            <w:r>
              <w:lastRenderedPageBreak/>
              <w:t>V4 of MT 798 flows under development. Publication targeted for 1st quarter 2013 (under MT Implementation</w:t>
            </w:r>
            <w:r w:rsidRPr="00EE2E88">
              <w:t xml:space="preserve"> Guide for Corporate-to-Bank use</w:t>
            </w:r>
            <w:r>
              <w:t>).</w:t>
            </w:r>
          </w:p>
        </w:tc>
      </w:tr>
      <w:tr w:rsidR="00E05E93" w:rsidRPr="001D5EB7" w:rsidTr="00300E70">
        <w:tc>
          <w:tcPr>
            <w:tcW w:w="1559" w:type="dxa"/>
          </w:tcPr>
          <w:p w:rsidR="00E05E93" w:rsidRPr="00EE2E88" w:rsidRDefault="00E05E93" w:rsidP="00300E70">
            <w:pPr>
              <w:ind w:left="0" w:right="53"/>
              <w:rPr>
                <w:b/>
              </w:rPr>
            </w:pPr>
            <w:r w:rsidRPr="00EE2E88">
              <w:rPr>
                <w:b/>
              </w:rPr>
              <w:lastRenderedPageBreak/>
              <w:t>Presentation</w:t>
            </w:r>
          </w:p>
        </w:tc>
        <w:tc>
          <w:tcPr>
            <w:tcW w:w="3874" w:type="dxa"/>
          </w:tcPr>
          <w:p w:rsidR="00E05E93" w:rsidRPr="00EE2E88" w:rsidRDefault="00E05E93" w:rsidP="00300E70">
            <w:pPr>
              <w:ind w:left="0" w:right="53"/>
            </w:pPr>
            <w:r w:rsidRPr="00EE2E88">
              <w:t>3 existing MT messages for use in the Bank-to-Bank exchanges:</w:t>
            </w:r>
          </w:p>
          <w:p w:rsidR="00392BF9" w:rsidRDefault="00E05E93">
            <w:pPr>
              <w:numPr>
                <w:ilvl w:val="0"/>
                <w:numId w:val="7"/>
              </w:numPr>
              <w:spacing w:before="0"/>
              <w:ind w:left="176" w:right="53" w:hanging="176"/>
            </w:pPr>
            <w:r w:rsidRPr="00EE2E88">
              <w:t>MT 732 Advice of Discharge</w:t>
            </w:r>
          </w:p>
          <w:p w:rsidR="00392BF9" w:rsidRDefault="00E05E93">
            <w:pPr>
              <w:numPr>
                <w:ilvl w:val="0"/>
                <w:numId w:val="7"/>
              </w:numPr>
              <w:spacing w:before="0"/>
              <w:ind w:left="176" w:right="53" w:hanging="176"/>
            </w:pPr>
            <w:r w:rsidRPr="00EE2E88">
              <w:t>MT 734 Advice of Refusal</w:t>
            </w:r>
          </w:p>
          <w:p w:rsidR="00392BF9" w:rsidRDefault="00E05E93">
            <w:pPr>
              <w:numPr>
                <w:ilvl w:val="0"/>
                <w:numId w:val="8"/>
              </w:numPr>
              <w:spacing w:before="0"/>
              <w:ind w:left="176" w:right="53" w:hanging="176"/>
            </w:pPr>
            <w:r w:rsidRPr="00EE2E88">
              <w:t>MT 750 Advice of Discrepancy</w:t>
            </w:r>
          </w:p>
          <w:p w:rsidR="00E05E93" w:rsidRPr="00EE2E88" w:rsidRDefault="00E05E93" w:rsidP="00300E70">
            <w:pPr>
              <w:ind w:left="0" w:right="0"/>
            </w:pPr>
            <w:r w:rsidRPr="00EE2E88">
              <w:t>3 MT 798 message flows under MT Implementation Guide for Corporate-to-Bank use:</w:t>
            </w:r>
          </w:p>
          <w:p w:rsidR="00392BF9" w:rsidRDefault="00E05E93">
            <w:pPr>
              <w:numPr>
                <w:ilvl w:val="0"/>
                <w:numId w:val="6"/>
              </w:numPr>
              <w:spacing w:before="0"/>
              <w:ind w:left="176" w:right="53" w:hanging="176"/>
            </w:pPr>
            <w:r w:rsidRPr="00EE2E88">
              <w:t>Response to Documentary Credit presentation</w:t>
            </w:r>
          </w:p>
          <w:p w:rsidR="00392BF9" w:rsidRDefault="00E05E93">
            <w:pPr>
              <w:numPr>
                <w:ilvl w:val="0"/>
                <w:numId w:val="6"/>
              </w:numPr>
              <w:spacing w:before="0"/>
              <w:ind w:left="176" w:right="53" w:hanging="176"/>
            </w:pPr>
            <w:r w:rsidRPr="00EE2E88">
              <w:t>Advice of Discrepancy</w:t>
            </w:r>
          </w:p>
          <w:p w:rsidR="00392BF9" w:rsidRDefault="00E05E93">
            <w:pPr>
              <w:numPr>
                <w:ilvl w:val="0"/>
                <w:numId w:val="6"/>
              </w:numPr>
              <w:spacing w:before="0"/>
              <w:ind w:left="0" w:right="53"/>
            </w:pPr>
            <w:r w:rsidRPr="00EE2E88">
              <w:t>Response to Advice of Discrepancy</w:t>
            </w:r>
          </w:p>
        </w:tc>
        <w:tc>
          <w:tcPr>
            <w:tcW w:w="3875" w:type="dxa"/>
          </w:tcPr>
          <w:p w:rsidR="00E05E93" w:rsidRDefault="00FA2221" w:rsidP="00300E70">
            <w:pPr>
              <w:spacing w:before="0"/>
              <w:ind w:left="0" w:right="53"/>
            </w:pPr>
            <w:r>
              <w:t xml:space="preserve">Bolero: </w:t>
            </w:r>
          </w:p>
          <w:p w:rsidR="00FA2221" w:rsidRPr="00EE2E88" w:rsidRDefault="00FA2221" w:rsidP="00300E70">
            <w:pPr>
              <w:spacing w:before="0"/>
              <w:ind w:left="0" w:right="53"/>
            </w:pPr>
          </w:p>
          <w:p w:rsidR="00392BF9" w:rsidRDefault="00E05E93">
            <w:pPr>
              <w:numPr>
                <w:ilvl w:val="0"/>
                <w:numId w:val="8"/>
              </w:numPr>
              <w:spacing w:before="0"/>
              <w:ind w:left="0" w:right="53"/>
            </w:pPr>
            <w:r w:rsidRPr="00EE2E88">
              <w:t>Issuing Banks DC Presentation Instruction</w:t>
            </w:r>
          </w:p>
          <w:p w:rsidR="00392BF9" w:rsidRDefault="00E05E93">
            <w:pPr>
              <w:numPr>
                <w:ilvl w:val="0"/>
                <w:numId w:val="8"/>
              </w:numPr>
              <w:spacing w:before="0"/>
              <w:ind w:left="0" w:right="53"/>
            </w:pPr>
            <w:r w:rsidRPr="00EE2E88">
              <w:t>Paying Banks DC Presentation Instruction</w:t>
            </w:r>
          </w:p>
          <w:p w:rsidR="00392BF9" w:rsidRDefault="00E05E93">
            <w:pPr>
              <w:numPr>
                <w:ilvl w:val="0"/>
                <w:numId w:val="8"/>
              </w:numPr>
              <w:spacing w:before="0"/>
              <w:ind w:left="0" w:right="53"/>
            </w:pPr>
            <w:r w:rsidRPr="00EE2E88">
              <w:t>Exporters DC Presentation Instruction</w:t>
            </w:r>
          </w:p>
          <w:p w:rsidR="00392BF9" w:rsidRDefault="00E05E93">
            <w:pPr>
              <w:numPr>
                <w:ilvl w:val="0"/>
                <w:numId w:val="8"/>
              </w:numPr>
              <w:spacing w:before="0"/>
              <w:ind w:left="0" w:right="53"/>
            </w:pPr>
            <w:r w:rsidRPr="00EE2E88">
              <w:t>DC Advice of Discrepancy</w:t>
            </w:r>
          </w:p>
          <w:p w:rsidR="00392BF9" w:rsidRDefault="00E05E93">
            <w:pPr>
              <w:numPr>
                <w:ilvl w:val="0"/>
                <w:numId w:val="8"/>
              </w:numPr>
              <w:spacing w:before="0"/>
              <w:ind w:left="0" w:right="53"/>
            </w:pPr>
            <w:r w:rsidRPr="00EE2E88">
              <w:t>DC Advice of Discrepancy Discharge</w:t>
            </w:r>
          </w:p>
          <w:p w:rsidR="00392BF9" w:rsidRDefault="00E05E93">
            <w:pPr>
              <w:numPr>
                <w:ilvl w:val="0"/>
                <w:numId w:val="8"/>
              </w:numPr>
              <w:spacing w:before="0"/>
              <w:ind w:left="0" w:right="53"/>
            </w:pPr>
            <w:r w:rsidRPr="00EE2E88">
              <w:t>DC Advice of Discrepancy Refusal</w:t>
            </w:r>
          </w:p>
          <w:p w:rsidR="00E05E93" w:rsidRPr="00EE2E88" w:rsidRDefault="00E05E93" w:rsidP="00300E70">
            <w:pPr>
              <w:spacing w:before="0"/>
              <w:ind w:left="0" w:right="53"/>
            </w:pPr>
          </w:p>
        </w:tc>
        <w:tc>
          <w:tcPr>
            <w:tcW w:w="3875" w:type="dxa"/>
          </w:tcPr>
          <w:p w:rsidR="00E05E93" w:rsidRPr="00EE2E88" w:rsidRDefault="00863D1F" w:rsidP="00300E70">
            <w:pPr>
              <w:ind w:left="0" w:right="53"/>
            </w:pPr>
            <w:r>
              <w:t>V4 of MT 798 flows under development. Publication targeted for 1st quarter 2013 (under MT Implementation</w:t>
            </w:r>
            <w:r w:rsidRPr="00EE2E88">
              <w:t xml:space="preserve"> Guide for Corporate-to-Bank use</w:t>
            </w:r>
            <w:r>
              <w:t>).</w:t>
            </w:r>
          </w:p>
        </w:tc>
      </w:tr>
      <w:tr w:rsidR="00E05E93" w:rsidRPr="001D5EB7" w:rsidTr="00300E70">
        <w:tc>
          <w:tcPr>
            <w:tcW w:w="1559" w:type="dxa"/>
          </w:tcPr>
          <w:p w:rsidR="00E05E93" w:rsidRPr="00EE2E88" w:rsidRDefault="00E05E93" w:rsidP="00300E70">
            <w:pPr>
              <w:ind w:left="0" w:right="53"/>
              <w:rPr>
                <w:b/>
              </w:rPr>
            </w:pPr>
            <w:r w:rsidRPr="00EE2E88">
              <w:rPr>
                <w:b/>
              </w:rPr>
              <w:t>Negotiation</w:t>
            </w:r>
          </w:p>
        </w:tc>
        <w:tc>
          <w:tcPr>
            <w:tcW w:w="3874" w:type="dxa"/>
          </w:tcPr>
          <w:p w:rsidR="00E05E93" w:rsidRPr="00EE2E88" w:rsidRDefault="00E05E93" w:rsidP="00300E70">
            <w:pPr>
              <w:ind w:left="176" w:right="53" w:hanging="142"/>
            </w:pPr>
            <w:r w:rsidRPr="00EE2E88">
              <w:t>3 existing MT messages for use in the Bank-to-Bank exchanges:</w:t>
            </w:r>
          </w:p>
          <w:p w:rsidR="00392BF9" w:rsidRDefault="00E05E93">
            <w:pPr>
              <w:numPr>
                <w:ilvl w:val="0"/>
                <w:numId w:val="8"/>
              </w:numPr>
              <w:spacing w:before="0"/>
              <w:ind w:left="176" w:right="53" w:hanging="142"/>
            </w:pPr>
            <w:r w:rsidRPr="00EE2E88">
              <w:t>MT 752 Authorisation to Pay, Accept or Negotiate</w:t>
            </w:r>
          </w:p>
          <w:p w:rsidR="00392BF9" w:rsidRDefault="00E05E93">
            <w:pPr>
              <w:numPr>
                <w:ilvl w:val="0"/>
                <w:numId w:val="8"/>
              </w:numPr>
              <w:spacing w:before="0"/>
              <w:ind w:left="176" w:right="53" w:hanging="142"/>
            </w:pPr>
            <w:r w:rsidRPr="00EE2E88">
              <w:t>MT 754 Advice of Payment / Acceptance / Negotiation</w:t>
            </w:r>
          </w:p>
          <w:p w:rsidR="00392BF9" w:rsidRDefault="00E05E93">
            <w:pPr>
              <w:numPr>
                <w:ilvl w:val="0"/>
                <w:numId w:val="8"/>
              </w:numPr>
              <w:spacing w:before="0"/>
              <w:ind w:left="176" w:right="53" w:hanging="142"/>
            </w:pPr>
            <w:r w:rsidRPr="00EE2E88">
              <w:t>MT 756 Advice of Reimbursement or Payment</w:t>
            </w:r>
          </w:p>
          <w:p w:rsidR="00E05E93" w:rsidRPr="00EE2E88" w:rsidRDefault="00E05E93" w:rsidP="00300E70">
            <w:pPr>
              <w:ind w:left="0" w:right="0"/>
            </w:pPr>
            <w:r w:rsidRPr="00EE2E88">
              <w:t>4 MT 798 message flows under MT Implementation Guide for Corporate-to-Bank use:</w:t>
            </w:r>
          </w:p>
          <w:p w:rsidR="00392BF9" w:rsidRDefault="00E05E93">
            <w:pPr>
              <w:numPr>
                <w:ilvl w:val="0"/>
                <w:numId w:val="6"/>
              </w:numPr>
              <w:spacing w:before="0"/>
              <w:ind w:left="176" w:right="53" w:hanging="142"/>
            </w:pPr>
            <w:r w:rsidRPr="00EE2E88">
              <w:t>Notification of authorisation to Pay, Accept or Negotiate</w:t>
            </w:r>
          </w:p>
          <w:p w:rsidR="00392BF9" w:rsidRDefault="00E05E93">
            <w:pPr>
              <w:numPr>
                <w:ilvl w:val="0"/>
                <w:numId w:val="6"/>
              </w:numPr>
              <w:spacing w:before="0"/>
              <w:ind w:left="176" w:right="53" w:hanging="142"/>
            </w:pPr>
            <w:r w:rsidRPr="00EE2E88">
              <w:t>Notification of Advice of Payment/Acceptance/Negotiation</w:t>
            </w:r>
          </w:p>
          <w:p w:rsidR="00392BF9" w:rsidRDefault="00E05E93">
            <w:pPr>
              <w:numPr>
                <w:ilvl w:val="0"/>
                <w:numId w:val="8"/>
              </w:numPr>
              <w:spacing w:before="0"/>
              <w:ind w:left="176" w:right="53" w:hanging="142"/>
            </w:pPr>
            <w:r w:rsidRPr="00EE2E88">
              <w:t>Notification of Advice of Discharge</w:t>
            </w:r>
          </w:p>
          <w:p w:rsidR="00392BF9" w:rsidRDefault="00E05E93">
            <w:pPr>
              <w:numPr>
                <w:ilvl w:val="0"/>
                <w:numId w:val="8"/>
              </w:numPr>
              <w:spacing w:before="0"/>
              <w:ind w:left="176" w:right="53" w:hanging="142"/>
            </w:pPr>
            <w:r w:rsidRPr="00EE2E88">
              <w:t>Notification of Advice of Refusal</w:t>
            </w:r>
          </w:p>
          <w:p w:rsidR="00E05E93" w:rsidRPr="00EE2E88" w:rsidRDefault="00E05E93" w:rsidP="00300E70">
            <w:pPr>
              <w:spacing w:before="0"/>
              <w:ind w:left="0" w:right="53" w:hanging="156"/>
            </w:pPr>
          </w:p>
        </w:tc>
        <w:tc>
          <w:tcPr>
            <w:tcW w:w="3875" w:type="dxa"/>
          </w:tcPr>
          <w:p w:rsidR="00E05E93" w:rsidRDefault="00FA2221" w:rsidP="00300E70">
            <w:pPr>
              <w:spacing w:before="0"/>
              <w:ind w:left="0" w:right="53" w:hanging="156"/>
            </w:pPr>
            <w:r>
              <w:t xml:space="preserve">  </w:t>
            </w:r>
            <w:r w:rsidR="00E05E93" w:rsidRPr="00EE2E88">
              <w:t>Bolero:</w:t>
            </w:r>
          </w:p>
          <w:p w:rsidR="00FA2221" w:rsidRPr="00EE2E88" w:rsidRDefault="00FA2221" w:rsidP="00300E70">
            <w:pPr>
              <w:spacing w:before="0"/>
              <w:ind w:left="0" w:right="53" w:hanging="156"/>
            </w:pPr>
          </w:p>
          <w:p w:rsidR="00392BF9" w:rsidRDefault="00E05E93">
            <w:pPr>
              <w:numPr>
                <w:ilvl w:val="0"/>
                <w:numId w:val="8"/>
              </w:numPr>
              <w:spacing w:before="0"/>
              <w:ind w:left="0" w:right="53"/>
            </w:pPr>
            <w:r w:rsidRPr="00EE2E88">
              <w:t>DC Reimbursement Claim</w:t>
            </w:r>
          </w:p>
          <w:p w:rsidR="00392BF9" w:rsidRDefault="00E05E93">
            <w:pPr>
              <w:numPr>
                <w:ilvl w:val="0"/>
                <w:numId w:val="8"/>
              </w:numPr>
              <w:spacing w:before="0"/>
              <w:ind w:left="0" w:right="53"/>
            </w:pPr>
            <w:r w:rsidRPr="00EE2E88">
              <w:t>DC Reimbursement Authorisation</w:t>
            </w:r>
          </w:p>
          <w:p w:rsidR="00E05E93" w:rsidRPr="00EE2E88" w:rsidRDefault="00E05E93" w:rsidP="00300E70">
            <w:pPr>
              <w:spacing w:before="0"/>
              <w:ind w:left="0" w:right="53"/>
            </w:pPr>
          </w:p>
          <w:p w:rsidR="00E05E93" w:rsidRPr="00EE2E88" w:rsidRDefault="00E05E93" w:rsidP="00300E70">
            <w:pPr>
              <w:spacing w:before="0"/>
              <w:ind w:left="0" w:right="53" w:hanging="156"/>
            </w:pPr>
          </w:p>
        </w:tc>
        <w:tc>
          <w:tcPr>
            <w:tcW w:w="3875" w:type="dxa"/>
          </w:tcPr>
          <w:p w:rsidR="00E05E93" w:rsidRPr="00EE2E88" w:rsidRDefault="00863D1F" w:rsidP="00300E70">
            <w:pPr>
              <w:ind w:left="0" w:right="53"/>
            </w:pPr>
            <w:r>
              <w:t>V4 of MT 798 flows under development. Publication targeted for 1st quarter 2013 (under MT Implementation</w:t>
            </w:r>
            <w:r w:rsidRPr="00EE2E88">
              <w:t xml:space="preserve"> Guide for Corporate-to-Bank use</w:t>
            </w:r>
            <w:r>
              <w:t>).</w:t>
            </w:r>
          </w:p>
        </w:tc>
      </w:tr>
      <w:tr w:rsidR="00E05E93" w:rsidRPr="001D5EB7" w:rsidTr="00300E70">
        <w:tc>
          <w:tcPr>
            <w:tcW w:w="1559" w:type="dxa"/>
          </w:tcPr>
          <w:p w:rsidR="00E05E93" w:rsidRPr="00EE2E88" w:rsidRDefault="00E05E93" w:rsidP="00300E70">
            <w:pPr>
              <w:ind w:left="0" w:right="53"/>
              <w:rPr>
                <w:b/>
              </w:rPr>
            </w:pPr>
            <w:r w:rsidRPr="00EE2E88">
              <w:rPr>
                <w:b/>
              </w:rPr>
              <w:lastRenderedPageBreak/>
              <w:t>Settlement</w:t>
            </w:r>
          </w:p>
        </w:tc>
        <w:tc>
          <w:tcPr>
            <w:tcW w:w="3874" w:type="dxa"/>
          </w:tcPr>
          <w:p w:rsidR="00E05E93" w:rsidRPr="00EE2E88" w:rsidRDefault="003137D3" w:rsidP="00300E70">
            <w:pPr>
              <w:ind w:left="0" w:right="53"/>
            </w:pPr>
            <w:r>
              <w:t>5</w:t>
            </w:r>
            <w:r w:rsidRPr="00EE2E88">
              <w:t xml:space="preserve"> </w:t>
            </w:r>
            <w:r w:rsidR="00E05E93" w:rsidRPr="00EE2E88">
              <w:t>existing MT messages (excluding payment messages) for use in the Bank-to-Bank exchanges:</w:t>
            </w:r>
          </w:p>
          <w:p w:rsidR="00392BF9" w:rsidRDefault="00E05E93">
            <w:pPr>
              <w:numPr>
                <w:ilvl w:val="0"/>
                <w:numId w:val="8"/>
              </w:numPr>
              <w:spacing w:before="0"/>
              <w:ind w:left="176" w:right="53" w:hanging="176"/>
            </w:pPr>
            <w:r w:rsidRPr="00EE2E88">
              <w:t>MT 754 Advice of Payment / Acceptance / Negotiation</w:t>
            </w:r>
          </w:p>
          <w:p w:rsidR="003137D3" w:rsidRDefault="003137D3">
            <w:pPr>
              <w:numPr>
                <w:ilvl w:val="0"/>
                <w:numId w:val="8"/>
              </w:numPr>
              <w:spacing w:before="0"/>
              <w:ind w:left="176" w:right="53" w:hanging="176"/>
            </w:pPr>
            <w:r w:rsidRPr="003137D3">
              <w:t>MT 740 Authorisation to Reimburse</w:t>
            </w:r>
          </w:p>
          <w:p w:rsidR="003137D3" w:rsidRDefault="003137D3">
            <w:pPr>
              <w:numPr>
                <w:ilvl w:val="0"/>
                <w:numId w:val="8"/>
              </w:numPr>
              <w:spacing w:before="0"/>
              <w:ind w:left="176" w:right="53" w:hanging="176"/>
            </w:pPr>
            <w:r w:rsidRPr="003137D3">
              <w:t>MT 747 Amendment to an Authorisation to Reimburse</w:t>
            </w:r>
          </w:p>
          <w:p w:rsidR="003137D3" w:rsidRDefault="003137D3">
            <w:pPr>
              <w:numPr>
                <w:ilvl w:val="0"/>
                <w:numId w:val="8"/>
              </w:numPr>
              <w:spacing w:before="0"/>
              <w:ind w:left="176" w:right="53" w:hanging="176"/>
            </w:pPr>
            <w:r w:rsidRPr="003137D3">
              <w:t>MT 742 Reimbursement Claim</w:t>
            </w:r>
          </w:p>
          <w:p w:rsidR="00392BF9" w:rsidRDefault="00E05E93">
            <w:pPr>
              <w:numPr>
                <w:ilvl w:val="0"/>
                <w:numId w:val="8"/>
              </w:numPr>
              <w:spacing w:before="0"/>
              <w:ind w:left="176" w:right="53" w:hanging="176"/>
            </w:pPr>
            <w:r w:rsidRPr="00EE2E88">
              <w:t>MT 756 Advice of Reimbursement or Payment</w:t>
            </w:r>
          </w:p>
          <w:p w:rsidR="00E05E93" w:rsidRPr="00EE2E88" w:rsidRDefault="00E05E93" w:rsidP="00300E70">
            <w:pPr>
              <w:ind w:left="0" w:right="53"/>
            </w:pPr>
            <w:r w:rsidRPr="00EE2E88">
              <w:t>5 MT 798 message flows under MT Implementation Guide for Corporate-to-Bank use:</w:t>
            </w:r>
          </w:p>
          <w:p w:rsidR="00392BF9" w:rsidRDefault="00E05E93">
            <w:pPr>
              <w:numPr>
                <w:ilvl w:val="0"/>
                <w:numId w:val="6"/>
              </w:numPr>
              <w:spacing w:before="0"/>
              <w:ind w:left="176" w:right="53" w:hanging="176"/>
            </w:pPr>
            <w:r w:rsidRPr="00EE2E88">
              <w:t>Notification of Advice of Reimbursement or Payment</w:t>
            </w:r>
          </w:p>
          <w:p w:rsidR="00392BF9" w:rsidRDefault="00E05E93">
            <w:pPr>
              <w:numPr>
                <w:ilvl w:val="0"/>
                <w:numId w:val="6"/>
              </w:numPr>
              <w:spacing w:before="0"/>
              <w:ind w:left="176" w:right="53" w:hanging="176"/>
            </w:pPr>
            <w:r w:rsidRPr="00EE2E88">
              <w:t>Settlement of Import Documentary Credit</w:t>
            </w:r>
          </w:p>
          <w:p w:rsidR="00392BF9" w:rsidRDefault="00E05E93">
            <w:pPr>
              <w:numPr>
                <w:ilvl w:val="0"/>
                <w:numId w:val="6"/>
              </w:numPr>
              <w:spacing w:before="0"/>
              <w:ind w:left="176" w:right="53" w:hanging="176"/>
            </w:pPr>
            <w:r w:rsidRPr="00EE2E88">
              <w:t>Settlement of Export Documentary Credit</w:t>
            </w:r>
          </w:p>
          <w:p w:rsidR="00392BF9" w:rsidRDefault="00E05E93">
            <w:pPr>
              <w:numPr>
                <w:ilvl w:val="0"/>
                <w:numId w:val="6"/>
              </w:numPr>
              <w:spacing w:before="0"/>
              <w:ind w:left="176" w:right="53" w:hanging="176"/>
            </w:pPr>
            <w:r w:rsidRPr="00EE2E88">
              <w:t>Request for Settlement of Charges</w:t>
            </w:r>
          </w:p>
          <w:p w:rsidR="00392BF9" w:rsidRDefault="00E05E93">
            <w:pPr>
              <w:numPr>
                <w:ilvl w:val="0"/>
                <w:numId w:val="6"/>
              </w:numPr>
              <w:spacing w:before="0"/>
              <w:ind w:left="176" w:right="53" w:hanging="176"/>
            </w:pPr>
            <w:r w:rsidRPr="00EE2E88">
              <w:t>Notification of Settlement of Charges</w:t>
            </w:r>
          </w:p>
        </w:tc>
        <w:tc>
          <w:tcPr>
            <w:tcW w:w="3875" w:type="dxa"/>
          </w:tcPr>
          <w:p w:rsidR="00E05E93" w:rsidRDefault="00E05E93" w:rsidP="00300E70">
            <w:pPr>
              <w:ind w:left="0" w:right="53"/>
            </w:pPr>
            <w:r w:rsidRPr="00EE2E88">
              <w:t>Bolero</w:t>
            </w:r>
            <w:r w:rsidR="00FA2221">
              <w:t>:</w:t>
            </w:r>
          </w:p>
          <w:p w:rsidR="00392BF9" w:rsidRDefault="00E05E93">
            <w:pPr>
              <w:numPr>
                <w:ilvl w:val="0"/>
                <w:numId w:val="9"/>
              </w:numPr>
              <w:spacing w:before="0"/>
              <w:ind w:left="0" w:right="53"/>
            </w:pPr>
            <w:r w:rsidRPr="00EE2E88">
              <w:t>Payment Instruction</w:t>
            </w:r>
          </w:p>
        </w:tc>
        <w:tc>
          <w:tcPr>
            <w:tcW w:w="3875" w:type="dxa"/>
          </w:tcPr>
          <w:p w:rsidR="00E05E93" w:rsidRPr="00EE2E88" w:rsidRDefault="00863D1F" w:rsidP="00300E70">
            <w:pPr>
              <w:ind w:left="0" w:right="53"/>
            </w:pPr>
            <w:r>
              <w:t>V4 of MT 798 flows under development. Publication targeted for 1st quarter 2013 (under MT Implementation</w:t>
            </w:r>
            <w:r w:rsidRPr="00EE2E88">
              <w:t xml:space="preserve"> Guide for Corporate-to-Bank use</w:t>
            </w:r>
            <w:r>
              <w:t>).</w:t>
            </w:r>
          </w:p>
        </w:tc>
      </w:tr>
    </w:tbl>
    <w:p w:rsidR="00FA35FD" w:rsidRDefault="00FA35FD" w:rsidP="00FA35FD">
      <w:pPr>
        <w:pStyle w:val="Heading2"/>
        <w:tabs>
          <w:tab w:val="clear" w:pos="360"/>
        </w:tabs>
        <w:spacing w:before="300" w:after="60"/>
        <w:ind w:left="1134" w:right="0" w:firstLine="0"/>
      </w:pPr>
      <w:bookmarkStart w:id="88" w:name="_Toc284849378"/>
    </w:p>
    <w:p w:rsidR="00392BF9" w:rsidRDefault="00E05E93">
      <w:pPr>
        <w:pStyle w:val="Heading2"/>
        <w:numPr>
          <w:ilvl w:val="2"/>
          <w:numId w:val="4"/>
        </w:numPr>
        <w:tabs>
          <w:tab w:val="num" w:pos="1134"/>
        </w:tabs>
        <w:spacing w:before="300" w:after="60"/>
        <w:ind w:left="1134" w:right="0" w:hanging="992"/>
      </w:pPr>
      <w:bookmarkStart w:id="89" w:name="_Toc340670989"/>
      <w:r>
        <w:t>Additional opportunities</w:t>
      </w:r>
      <w:bookmarkEnd w:id="88"/>
      <w:bookmarkEnd w:id="89"/>
    </w:p>
    <w:p w:rsidR="00392BF9" w:rsidRDefault="00334B36" w:rsidP="00334B36">
      <w:pPr>
        <w:ind w:left="142"/>
        <w:rPr>
          <w:lang w:eastAsia="en-GB"/>
        </w:rPr>
      </w:pPr>
      <w:bookmarkStart w:id="90" w:name="_Toc284849379"/>
      <w:proofErr w:type="gramStart"/>
      <w:r w:rsidRPr="00334B36">
        <w:rPr>
          <w:lang w:eastAsia="en-GB"/>
        </w:rPr>
        <w:t>Redevelopment of the MT 798 corporate-to-bank flows in ISO 20022.</w:t>
      </w:r>
      <w:proofErr w:type="gramEnd"/>
    </w:p>
    <w:p w:rsidR="00116382" w:rsidRPr="00392BF9" w:rsidRDefault="00116382" w:rsidP="00334B36">
      <w:pPr>
        <w:ind w:left="142"/>
        <w:rPr>
          <w:lang w:eastAsia="en-GB"/>
        </w:rPr>
      </w:pPr>
      <w:r>
        <w:rPr>
          <w:lang w:eastAsia="en-GB"/>
        </w:rPr>
        <w:t xml:space="preserve">Overhaul of </w:t>
      </w:r>
      <w:r w:rsidR="00D2761E">
        <w:rPr>
          <w:lang w:eastAsia="en-GB"/>
        </w:rPr>
        <w:t>C</w:t>
      </w:r>
      <w:r>
        <w:rPr>
          <w:lang w:eastAsia="en-GB"/>
        </w:rPr>
        <w:t>ategory 7 MT messages.</w:t>
      </w:r>
    </w:p>
    <w:p w:rsidR="00334B36" w:rsidRDefault="00334B36" w:rsidP="00334B36">
      <w:pPr>
        <w:pStyle w:val="Heading1"/>
        <w:tabs>
          <w:tab w:val="clear" w:pos="1152"/>
        </w:tabs>
        <w:spacing w:before="300" w:after="60"/>
        <w:ind w:left="142" w:right="0" w:firstLine="0"/>
      </w:pPr>
    </w:p>
    <w:p w:rsidR="004547A2" w:rsidRDefault="004547A2">
      <w:pPr>
        <w:spacing w:before="0"/>
        <w:ind w:left="0" w:right="0"/>
        <w:rPr>
          <w:rFonts w:cs="Arial"/>
          <w:b/>
          <w:color w:val="7E6F62"/>
          <w:kern w:val="28"/>
          <w:sz w:val="24"/>
          <w:szCs w:val="24"/>
        </w:rPr>
      </w:pPr>
      <w:r>
        <w:br w:type="page"/>
      </w:r>
    </w:p>
    <w:p w:rsidR="00392BF9" w:rsidRDefault="00392BF9" w:rsidP="00392BF9">
      <w:pPr>
        <w:pStyle w:val="Heading1"/>
        <w:numPr>
          <w:ilvl w:val="1"/>
          <w:numId w:val="4"/>
        </w:numPr>
        <w:tabs>
          <w:tab w:val="clear" w:pos="1296"/>
          <w:tab w:val="num" w:pos="142"/>
          <w:tab w:val="left" w:pos="1134"/>
        </w:tabs>
        <w:spacing w:before="300" w:after="60"/>
        <w:ind w:left="142" w:right="0" w:firstLine="0"/>
      </w:pPr>
      <w:bookmarkStart w:id="91" w:name="_Toc340670990"/>
      <w:r>
        <w:lastRenderedPageBreak/>
        <w:t xml:space="preserve">Demand </w:t>
      </w:r>
      <w:r w:rsidRPr="00E17202">
        <w:t>Guarantees/ Standby Letters of Credit</w:t>
      </w:r>
      <w:r w:rsidR="00D76516">
        <w:t xml:space="preserve"> (Payment Instrument)</w:t>
      </w:r>
      <w:bookmarkEnd w:id="91"/>
    </w:p>
    <w:p w:rsidR="00392BF9" w:rsidRDefault="009A53A9" w:rsidP="00392BF9">
      <w:pPr>
        <w:pStyle w:val="Heading2"/>
        <w:numPr>
          <w:ilvl w:val="2"/>
          <w:numId w:val="4"/>
        </w:numPr>
        <w:tabs>
          <w:tab w:val="num" w:pos="1134"/>
        </w:tabs>
        <w:spacing w:before="300" w:after="60"/>
        <w:ind w:left="1134" w:right="0" w:hanging="992"/>
      </w:pPr>
      <w:bookmarkStart w:id="92" w:name="_Toc340670991"/>
      <w:r>
        <w:rPr>
          <w:noProof/>
          <w:lang w:eastAsia="en-GB"/>
        </w:rPr>
        <w:drawing>
          <wp:anchor distT="0" distB="0" distL="114300" distR="114300" simplePos="0" relativeHeight="251715072" behindDoc="1" locked="0" layoutInCell="1" allowOverlap="1" wp14:anchorId="43862E50" wp14:editId="0DAB96B8">
            <wp:simplePos x="0" y="0"/>
            <wp:positionH relativeFrom="column">
              <wp:align>center</wp:align>
            </wp:positionH>
            <wp:positionV relativeFrom="paragraph">
              <wp:posOffset>501650</wp:posOffset>
            </wp:positionV>
            <wp:extent cx="7378065" cy="1617345"/>
            <wp:effectExtent l="19050" t="0" r="0" b="0"/>
            <wp:wrapTopAndBottom/>
            <wp:docPr id="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srcRect/>
                    <a:stretch>
                      <a:fillRect/>
                    </a:stretch>
                  </pic:blipFill>
                  <pic:spPr bwMode="auto">
                    <a:xfrm>
                      <a:off x="0" y="0"/>
                      <a:ext cx="7378065" cy="1617345"/>
                    </a:xfrm>
                    <a:prstGeom prst="rect">
                      <a:avLst/>
                    </a:prstGeom>
                    <a:noFill/>
                    <a:ln w="9525">
                      <a:noFill/>
                      <a:miter lim="800000"/>
                      <a:headEnd/>
                      <a:tailEnd/>
                    </a:ln>
                  </pic:spPr>
                </pic:pic>
              </a:graphicData>
            </a:graphic>
          </wp:anchor>
        </w:drawing>
      </w:r>
      <w:r w:rsidR="00392BF9">
        <w:t>Business overview</w:t>
      </w:r>
      <w:bookmarkEnd w:id="92"/>
    </w:p>
    <w:p w:rsidR="00FA35FD" w:rsidRPr="00FA35FD" w:rsidRDefault="00FA35FD" w:rsidP="00FA35FD"/>
    <w:p w:rsidR="00676572" w:rsidRPr="00676572" w:rsidRDefault="00676572" w:rsidP="00676572"/>
    <w:bookmarkEnd w:id="90"/>
    <w:p w:rsidR="00E05E93" w:rsidRDefault="00E05E93" w:rsidP="00E05E93">
      <w:pPr>
        <w:ind w:left="142" w:right="60"/>
        <w:jc w:val="both"/>
      </w:pPr>
      <w:r>
        <w:t xml:space="preserve">A </w:t>
      </w:r>
      <w:r w:rsidR="00C7692F">
        <w:t xml:space="preserve">demand </w:t>
      </w:r>
      <w:r>
        <w:t>guarantee</w:t>
      </w:r>
      <w:r w:rsidR="00C7692F">
        <w:t xml:space="preserve"> / standby</w:t>
      </w:r>
      <w:r>
        <w:t xml:space="preserve"> is issued by a bank on behalf of its customer (e.g. exporter), as financial assurance to another party (e.g. the importer), to be collected in the event that the customer defaults on certain specified contractual obligations.  The bank that issues a guarantee</w:t>
      </w:r>
      <w:r w:rsidR="00C7692F">
        <w:t xml:space="preserve"> / standby</w:t>
      </w:r>
      <w:r>
        <w:t xml:space="preserve"> will pay the named beneficiary the amount specified on presentation of a written demand as outlined in the guarantee</w:t>
      </w:r>
      <w:r w:rsidR="00C7692F">
        <w:t xml:space="preserve"> / standby</w:t>
      </w:r>
      <w:r>
        <w:t>.</w:t>
      </w:r>
    </w:p>
    <w:p w:rsidR="00E05E93" w:rsidRDefault="00E05E93" w:rsidP="00E05E93">
      <w:pPr>
        <w:ind w:left="142" w:right="60"/>
        <w:jc w:val="both"/>
      </w:pPr>
      <w:r>
        <w:t>There exist many different types of guarantee</w:t>
      </w:r>
      <w:r w:rsidR="00C7692F">
        <w:t xml:space="preserve"> / standby</w:t>
      </w:r>
      <w:r>
        <w:t xml:space="preserve"> (tender guarantee, advance payment guarantee, performance guarantee, warranty guarantee, </w:t>
      </w:r>
      <w:r w:rsidR="00C7692F">
        <w:t xml:space="preserve">performance </w:t>
      </w:r>
      <w:r>
        <w:t>standby</w:t>
      </w:r>
      <w:r w:rsidR="00C7692F">
        <w:t>, commercial standby</w:t>
      </w:r>
      <w:r>
        <w:t xml:space="preserve">, </w:t>
      </w:r>
      <w:proofErr w:type="spellStart"/>
      <w:r>
        <w:t>etc</w:t>
      </w:r>
      <w:proofErr w:type="spellEnd"/>
      <w:r>
        <w:t xml:space="preserve">). Guarantees </w:t>
      </w:r>
      <w:r w:rsidR="00C7692F">
        <w:t xml:space="preserve">/ standbys </w:t>
      </w:r>
      <w:r>
        <w:t>may adopt the “</w:t>
      </w:r>
      <w:hyperlink r:id="rId55" w:history="1">
        <w:r w:rsidRPr="002D1FDE">
          <w:rPr>
            <w:rStyle w:val="Hyperlink"/>
          </w:rPr>
          <w:t>Uniform Rules for Demand Guarantees</w:t>
        </w:r>
      </w:hyperlink>
      <w:r>
        <w:t>” (URDG)</w:t>
      </w:r>
      <w:r w:rsidR="00C7692F">
        <w:t xml:space="preserve">, or </w:t>
      </w:r>
      <w:r w:rsidR="0009597C">
        <w:t xml:space="preserve">the </w:t>
      </w:r>
      <w:r w:rsidR="00C7692F">
        <w:t>“</w:t>
      </w:r>
      <w:hyperlink r:id="rId56" w:history="1">
        <w:r w:rsidR="00C7692F" w:rsidRPr="0009597C">
          <w:rPr>
            <w:rStyle w:val="Hyperlink"/>
          </w:rPr>
          <w:t>International Standby Practices</w:t>
        </w:r>
      </w:hyperlink>
      <w:r w:rsidR="00C7692F">
        <w:t xml:space="preserve">” (ISP) or </w:t>
      </w:r>
      <w:r w:rsidR="0009597C">
        <w:t>the “</w:t>
      </w:r>
      <w:hyperlink r:id="rId57" w:history="1">
        <w:r w:rsidR="0009597C" w:rsidRPr="008140E7">
          <w:rPr>
            <w:rStyle w:val="Hyperlink"/>
          </w:rPr>
          <w:t>Uniform Customs and Practices for Documentary Credits</w:t>
        </w:r>
      </w:hyperlink>
      <w:r w:rsidR="0009597C">
        <w:t>” (UCP), or other rules as appropriate</w:t>
      </w:r>
      <w:r>
        <w:t>.</w:t>
      </w:r>
    </w:p>
    <w:p w:rsidR="004547A2" w:rsidRDefault="004547A2" w:rsidP="00E05E93">
      <w:pPr>
        <w:ind w:left="142" w:right="60"/>
        <w:jc w:val="both"/>
        <w:rPr>
          <w:b/>
        </w:rPr>
      </w:pPr>
    </w:p>
    <w:p w:rsidR="00E05E93" w:rsidRPr="00400748" w:rsidRDefault="00E05E93" w:rsidP="00E05E93">
      <w:pPr>
        <w:ind w:left="142" w:right="60"/>
        <w:jc w:val="both"/>
        <w:rPr>
          <w:b/>
        </w:rPr>
      </w:pPr>
      <w:r w:rsidRPr="00400748">
        <w:rPr>
          <w:b/>
        </w:rPr>
        <w:t>Application</w:t>
      </w:r>
    </w:p>
    <w:p w:rsidR="00E05E93" w:rsidRDefault="00E05E93" w:rsidP="00E05E93">
      <w:pPr>
        <w:ind w:left="142" w:right="60"/>
        <w:jc w:val="both"/>
        <w:rPr>
          <w:noProof/>
        </w:rPr>
      </w:pPr>
      <w:r>
        <w:rPr>
          <w:noProof/>
        </w:rPr>
        <w:t xml:space="preserve">Importer (buyer) and exporter (seller) negotiate a sales contract. The applicant applies to the issuing bank for the issuance of a guarantee </w:t>
      </w:r>
      <w:r w:rsidR="00DB2D98">
        <w:rPr>
          <w:noProof/>
        </w:rPr>
        <w:t xml:space="preserve">/ </w:t>
      </w:r>
      <w:r>
        <w:rPr>
          <w:noProof/>
        </w:rPr>
        <w:t>standby.</w:t>
      </w:r>
    </w:p>
    <w:p w:rsidR="004547A2" w:rsidRDefault="004547A2" w:rsidP="00E05E93">
      <w:pPr>
        <w:ind w:left="142" w:right="60"/>
        <w:jc w:val="both"/>
        <w:rPr>
          <w:b/>
        </w:rPr>
      </w:pPr>
    </w:p>
    <w:p w:rsidR="00E05E93" w:rsidRPr="00400748" w:rsidRDefault="00E05E93" w:rsidP="00E05E93">
      <w:pPr>
        <w:ind w:left="142" w:right="60"/>
        <w:jc w:val="both"/>
        <w:rPr>
          <w:b/>
        </w:rPr>
      </w:pPr>
      <w:r w:rsidRPr="00400748">
        <w:rPr>
          <w:b/>
        </w:rPr>
        <w:t>Issuance</w:t>
      </w:r>
    </w:p>
    <w:p w:rsidR="00E05E93" w:rsidRDefault="00E05E93" w:rsidP="00E05E93">
      <w:pPr>
        <w:ind w:left="142" w:right="60"/>
        <w:jc w:val="both"/>
      </w:pPr>
      <w:r>
        <w:t xml:space="preserve">The issuing bank issues the guarantee </w:t>
      </w:r>
      <w:r w:rsidR="00DB2D98">
        <w:t xml:space="preserve">/ </w:t>
      </w:r>
      <w:r>
        <w:t>standby and the advising bank advises the beneficiary.</w:t>
      </w:r>
    </w:p>
    <w:p w:rsidR="004547A2" w:rsidRDefault="004547A2" w:rsidP="00E05E93">
      <w:pPr>
        <w:ind w:left="142" w:right="60"/>
        <w:jc w:val="both"/>
        <w:rPr>
          <w:b/>
        </w:rPr>
      </w:pPr>
    </w:p>
    <w:p w:rsidR="00E05E93" w:rsidRPr="00400748" w:rsidRDefault="00E05E93" w:rsidP="00E05E93">
      <w:pPr>
        <w:ind w:left="142" w:right="60"/>
        <w:jc w:val="both"/>
        <w:rPr>
          <w:b/>
        </w:rPr>
      </w:pPr>
      <w:r>
        <w:rPr>
          <w:b/>
        </w:rPr>
        <w:t>Demand</w:t>
      </w:r>
      <w:r w:rsidRPr="00400748">
        <w:rPr>
          <w:b/>
        </w:rPr>
        <w:t xml:space="preserve"> Settlement</w:t>
      </w:r>
    </w:p>
    <w:p w:rsidR="00E05E93" w:rsidRDefault="00E05E93" w:rsidP="00E05E93">
      <w:pPr>
        <w:ind w:left="142" w:right="60"/>
        <w:jc w:val="both"/>
      </w:pPr>
      <w:r>
        <w:t xml:space="preserve">The beneficiary presents the payment demand to the advising bank, which checks the </w:t>
      </w:r>
      <w:r w:rsidR="00ED5463">
        <w:t xml:space="preserve">demand and supporting </w:t>
      </w:r>
      <w:r>
        <w:t xml:space="preserve">documents and </w:t>
      </w:r>
      <w:r w:rsidR="00ED5463">
        <w:t xml:space="preserve">if compliant with terms of the guarantee / standby then </w:t>
      </w:r>
      <w:r>
        <w:t>pays the beneficiary</w:t>
      </w:r>
      <w:r w:rsidR="00ED5463">
        <w:t xml:space="preserve"> (or as an alternative the beneficiary may request an extension to the expiry date of the guarantee / standby)</w:t>
      </w:r>
      <w:r>
        <w:t>.</w:t>
      </w:r>
    </w:p>
    <w:p w:rsidR="00E05E93" w:rsidRDefault="000E706E" w:rsidP="00984443">
      <w:pPr>
        <w:pStyle w:val="Heading2"/>
        <w:numPr>
          <w:ilvl w:val="2"/>
          <w:numId w:val="4"/>
        </w:numPr>
        <w:tabs>
          <w:tab w:val="num" w:pos="780"/>
        </w:tabs>
        <w:spacing w:before="300" w:after="60"/>
        <w:ind w:right="0"/>
      </w:pPr>
      <w:bookmarkStart w:id="93" w:name="_Toc284849381"/>
      <w:bookmarkStart w:id="94" w:name="_Toc340670992"/>
      <w:r>
        <w:lastRenderedPageBreak/>
        <w:t>High-level</w:t>
      </w:r>
      <w:r w:rsidR="00E05E93">
        <w:t xml:space="preserve"> standards landscape</w:t>
      </w:r>
      <w:bookmarkEnd w:id="93"/>
      <w:bookmarkEnd w:id="94"/>
    </w:p>
    <w:p w:rsidR="00FA35FD" w:rsidRDefault="00FA35FD" w:rsidP="00FA35FD">
      <w:r>
        <w:rPr>
          <w:noProof/>
          <w:lang w:eastAsia="en-GB"/>
        </w:rPr>
        <w:drawing>
          <wp:anchor distT="0" distB="0" distL="114300" distR="114300" simplePos="0" relativeHeight="251717120" behindDoc="1" locked="0" layoutInCell="1" allowOverlap="1" wp14:anchorId="3F75052E" wp14:editId="0754952C">
            <wp:simplePos x="0" y="0"/>
            <wp:positionH relativeFrom="column">
              <wp:align>center</wp:align>
            </wp:positionH>
            <wp:positionV relativeFrom="paragraph">
              <wp:posOffset>213995</wp:posOffset>
            </wp:positionV>
            <wp:extent cx="7378065" cy="2203450"/>
            <wp:effectExtent l="19050" t="0" r="0" b="0"/>
            <wp:wrapTopAndBottom/>
            <wp:docPr id="8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srcRect/>
                    <a:stretch>
                      <a:fillRect/>
                    </a:stretch>
                  </pic:blipFill>
                  <pic:spPr bwMode="auto">
                    <a:xfrm>
                      <a:off x="0" y="0"/>
                      <a:ext cx="7378065" cy="2203450"/>
                    </a:xfrm>
                    <a:prstGeom prst="rect">
                      <a:avLst/>
                    </a:prstGeom>
                    <a:noFill/>
                    <a:ln w="9525">
                      <a:noFill/>
                      <a:miter lim="800000"/>
                      <a:headEnd/>
                      <a:tailEnd/>
                    </a:ln>
                  </pic:spPr>
                </pic:pic>
              </a:graphicData>
            </a:graphic>
          </wp:anchor>
        </w:drawing>
      </w:r>
    </w:p>
    <w:p w:rsidR="00E05E93" w:rsidRPr="003F4E5E" w:rsidRDefault="00E05E93" w:rsidP="00FA35FD"/>
    <w:p w:rsidR="00E05E93" w:rsidRDefault="00E05E93" w:rsidP="00984443">
      <w:pPr>
        <w:pStyle w:val="Heading2"/>
        <w:numPr>
          <w:ilvl w:val="2"/>
          <w:numId w:val="4"/>
        </w:numPr>
        <w:tabs>
          <w:tab w:val="num" w:pos="780"/>
          <w:tab w:val="num" w:pos="1134"/>
        </w:tabs>
        <w:spacing w:before="300" w:after="60"/>
        <w:ind w:left="1134" w:right="0" w:hanging="992"/>
      </w:pPr>
      <w:bookmarkStart w:id="95" w:name="_Toc284849382"/>
      <w:bookmarkStart w:id="96" w:name="_Toc340670993"/>
      <w:r>
        <w:t>Detailed standards landscape</w:t>
      </w:r>
      <w:bookmarkEnd w:id="95"/>
      <w:bookmarkEnd w:id="96"/>
    </w:p>
    <w:p w:rsidR="00984443" w:rsidRPr="00984443" w:rsidRDefault="00984443" w:rsidP="00984443"/>
    <w:tbl>
      <w:tblPr>
        <w:tblW w:w="12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38"/>
        <w:gridCol w:w="3638"/>
        <w:gridCol w:w="3639"/>
      </w:tblGrid>
      <w:tr w:rsidR="00E05E93" w:rsidRPr="00EE2E88" w:rsidTr="00300E70">
        <w:tc>
          <w:tcPr>
            <w:tcW w:w="1701" w:type="dxa"/>
          </w:tcPr>
          <w:p w:rsidR="00E05E93" w:rsidRPr="00EE2E88" w:rsidRDefault="00E05E93" w:rsidP="00300E70">
            <w:pPr>
              <w:ind w:left="0" w:right="0"/>
              <w:rPr>
                <w:b/>
              </w:rPr>
            </w:pPr>
            <w:r>
              <w:rPr>
                <w:b/>
              </w:rPr>
              <w:t>Process Area</w:t>
            </w:r>
          </w:p>
        </w:tc>
        <w:tc>
          <w:tcPr>
            <w:tcW w:w="3638" w:type="dxa"/>
          </w:tcPr>
          <w:p w:rsidR="00E05E93" w:rsidRPr="00EE2E88" w:rsidRDefault="00E05E93" w:rsidP="00300E70">
            <w:pPr>
              <w:ind w:left="0" w:right="0"/>
              <w:rPr>
                <w:b/>
              </w:rPr>
            </w:pPr>
            <w:r>
              <w:rPr>
                <w:b/>
              </w:rPr>
              <w:t>Availability of MT, ISO 15022 and ISO 20022</w:t>
            </w:r>
          </w:p>
        </w:tc>
        <w:tc>
          <w:tcPr>
            <w:tcW w:w="3638" w:type="dxa"/>
          </w:tcPr>
          <w:p w:rsidR="00E05E93" w:rsidRPr="00EE2E88" w:rsidRDefault="00E05E93" w:rsidP="00300E70">
            <w:pPr>
              <w:ind w:left="0" w:right="0"/>
              <w:rPr>
                <w:b/>
              </w:rPr>
            </w:pPr>
            <w:r w:rsidRPr="00EE2E88">
              <w:rPr>
                <w:b/>
              </w:rPr>
              <w:t>Availability of other standards</w:t>
            </w:r>
          </w:p>
        </w:tc>
        <w:tc>
          <w:tcPr>
            <w:tcW w:w="3639" w:type="dxa"/>
          </w:tcPr>
          <w:p w:rsidR="00E05E93" w:rsidRPr="00EE2E88" w:rsidRDefault="00E05E93" w:rsidP="00300E70">
            <w:pPr>
              <w:ind w:left="0" w:right="0"/>
              <w:rPr>
                <w:b/>
              </w:rPr>
            </w:pPr>
            <w:proofErr w:type="spellStart"/>
            <w:r w:rsidRPr="00EE2E88">
              <w:rPr>
                <w:b/>
              </w:rPr>
              <w:t>Ongoing</w:t>
            </w:r>
            <w:proofErr w:type="spellEnd"/>
            <w:r w:rsidRPr="00EE2E88">
              <w:rPr>
                <w:b/>
              </w:rPr>
              <w:t xml:space="preserve"> &amp; planned activities Opportunities</w:t>
            </w:r>
          </w:p>
        </w:tc>
      </w:tr>
      <w:tr w:rsidR="00E05E93" w:rsidRPr="001D5EB7" w:rsidTr="00300E70">
        <w:tc>
          <w:tcPr>
            <w:tcW w:w="1701" w:type="dxa"/>
          </w:tcPr>
          <w:p w:rsidR="00E05E93" w:rsidRPr="00EE2E88" w:rsidRDefault="00E05E93" w:rsidP="00300E70">
            <w:pPr>
              <w:ind w:left="0" w:right="0"/>
              <w:rPr>
                <w:b/>
              </w:rPr>
            </w:pPr>
            <w:r w:rsidRPr="00EE2E88">
              <w:rPr>
                <w:b/>
              </w:rPr>
              <w:t>Application</w:t>
            </w:r>
          </w:p>
        </w:tc>
        <w:tc>
          <w:tcPr>
            <w:tcW w:w="3638" w:type="dxa"/>
          </w:tcPr>
          <w:p w:rsidR="00E05E93" w:rsidRPr="00EE2E88" w:rsidRDefault="00E05E93" w:rsidP="00300E70">
            <w:pPr>
              <w:ind w:left="0" w:right="0"/>
            </w:pPr>
            <w:r w:rsidRPr="00EE2E88">
              <w:t>2 existing MT messages under MT Implementation Guideline for Corporate-to-Bank use:</w:t>
            </w:r>
          </w:p>
          <w:p w:rsidR="00392BF9" w:rsidRDefault="00E05E93">
            <w:pPr>
              <w:numPr>
                <w:ilvl w:val="0"/>
                <w:numId w:val="9"/>
              </w:numPr>
              <w:spacing w:before="0"/>
              <w:ind w:left="176" w:right="0" w:hanging="176"/>
            </w:pPr>
            <w:r w:rsidRPr="00EE2E88">
              <w:t>MT 760 as an application for issuance of Guarantee / Standby Letter of Credit</w:t>
            </w:r>
          </w:p>
          <w:p w:rsidR="00392BF9" w:rsidRDefault="00E05E93">
            <w:pPr>
              <w:numPr>
                <w:ilvl w:val="0"/>
                <w:numId w:val="9"/>
              </w:numPr>
              <w:spacing w:before="0"/>
              <w:ind w:left="176" w:right="0" w:hanging="176"/>
            </w:pPr>
            <w:r w:rsidRPr="00EE2E88">
              <w:t>MT 767 as a request for Amendment of Guarantee / Standby Letter of Credit</w:t>
            </w:r>
          </w:p>
          <w:p w:rsidR="00E05E93" w:rsidRPr="00EE2E88" w:rsidRDefault="00E05E93" w:rsidP="00300E70">
            <w:pPr>
              <w:ind w:left="0" w:right="0"/>
            </w:pPr>
            <w:r w:rsidRPr="00EE2E88">
              <w:t>2 MT 798 message flows under MT Implementation Guide for Corporate-to-Bank use:</w:t>
            </w:r>
          </w:p>
          <w:p w:rsidR="00392BF9" w:rsidRDefault="00E05E93">
            <w:pPr>
              <w:numPr>
                <w:ilvl w:val="0"/>
                <w:numId w:val="6"/>
              </w:numPr>
              <w:spacing w:before="0"/>
              <w:ind w:left="176" w:right="0" w:hanging="176"/>
            </w:pPr>
            <w:r w:rsidRPr="00EE2E88">
              <w:t>Application for issuance of Guarantee / Standby</w:t>
            </w:r>
          </w:p>
          <w:p w:rsidR="00392BF9" w:rsidRDefault="00E05E93">
            <w:pPr>
              <w:numPr>
                <w:ilvl w:val="0"/>
                <w:numId w:val="6"/>
              </w:numPr>
              <w:spacing w:before="0"/>
              <w:ind w:left="176" w:right="0" w:hanging="176"/>
            </w:pPr>
            <w:r w:rsidRPr="00EE2E88">
              <w:lastRenderedPageBreak/>
              <w:t>Request for amendment of Guarantee / Standby</w:t>
            </w:r>
          </w:p>
        </w:tc>
        <w:tc>
          <w:tcPr>
            <w:tcW w:w="3638" w:type="dxa"/>
          </w:tcPr>
          <w:p w:rsidR="00E05E93" w:rsidRPr="00EE2E88" w:rsidRDefault="00E05E93" w:rsidP="00300E70">
            <w:pPr>
              <w:spacing w:before="0"/>
              <w:ind w:left="0" w:right="0"/>
            </w:pPr>
            <w:r w:rsidRPr="00EE2E88">
              <w:lastRenderedPageBreak/>
              <w:t>Bolero XML:</w:t>
            </w:r>
          </w:p>
          <w:p w:rsidR="00392BF9" w:rsidRDefault="00E05E93">
            <w:pPr>
              <w:numPr>
                <w:ilvl w:val="0"/>
                <w:numId w:val="10"/>
              </w:numPr>
              <w:spacing w:before="0"/>
              <w:ind w:left="0" w:right="0"/>
            </w:pPr>
            <w:r w:rsidRPr="00EE2E88">
              <w:t>Standby Documentary Credit</w:t>
            </w:r>
          </w:p>
        </w:tc>
        <w:tc>
          <w:tcPr>
            <w:tcW w:w="3639" w:type="dxa"/>
          </w:tcPr>
          <w:p w:rsidR="00D444FC" w:rsidRDefault="00E05E93" w:rsidP="00863D1F">
            <w:pPr>
              <w:ind w:left="0" w:right="0"/>
            </w:pPr>
            <w:r w:rsidRPr="00EE2E88">
              <w:t xml:space="preserve">Undergoing redevelopment, ISO 20022 </w:t>
            </w:r>
            <w:proofErr w:type="gramStart"/>
            <w:r w:rsidR="00863D1F">
              <w:t>approval</w:t>
            </w:r>
            <w:proofErr w:type="gramEnd"/>
            <w:r w:rsidR="00863D1F" w:rsidRPr="00EE2E88">
              <w:t xml:space="preserve"> </w:t>
            </w:r>
            <w:r w:rsidRPr="00EE2E88">
              <w:t xml:space="preserve">targeted for </w:t>
            </w:r>
            <w:r w:rsidR="00650303">
              <w:t xml:space="preserve">1st quarter </w:t>
            </w:r>
            <w:r w:rsidR="005251CB">
              <w:t>201</w:t>
            </w:r>
            <w:r w:rsidR="00863D1F">
              <w:t>3</w:t>
            </w:r>
            <w:r w:rsidR="00574328">
              <w:t>.</w:t>
            </w:r>
          </w:p>
          <w:p w:rsidR="00863D1F" w:rsidRDefault="00863D1F" w:rsidP="00863D1F">
            <w:pPr>
              <w:ind w:left="0" w:right="0"/>
              <w:rPr>
                <w:b/>
              </w:rPr>
            </w:pPr>
            <w:r>
              <w:t>V4 of MT 798 flows under development. Publication targeted for 1st quarter 2013 (under MT Implementation</w:t>
            </w:r>
            <w:r w:rsidRPr="00EE2E88">
              <w:t xml:space="preserve"> Guide for Corporate-to-Bank use</w:t>
            </w:r>
            <w:r>
              <w:t>).</w:t>
            </w:r>
          </w:p>
        </w:tc>
      </w:tr>
      <w:tr w:rsidR="00E05E93" w:rsidRPr="001D5EB7" w:rsidTr="00300E70">
        <w:tc>
          <w:tcPr>
            <w:tcW w:w="1701" w:type="dxa"/>
          </w:tcPr>
          <w:p w:rsidR="00E05E93" w:rsidRPr="00EE2E88" w:rsidRDefault="00E05E93" w:rsidP="00300E70">
            <w:pPr>
              <w:ind w:left="0" w:right="0"/>
              <w:rPr>
                <w:b/>
              </w:rPr>
            </w:pPr>
            <w:r w:rsidRPr="00EE2E88">
              <w:rPr>
                <w:b/>
              </w:rPr>
              <w:lastRenderedPageBreak/>
              <w:t>Issuance</w:t>
            </w:r>
          </w:p>
        </w:tc>
        <w:tc>
          <w:tcPr>
            <w:tcW w:w="3638" w:type="dxa"/>
          </w:tcPr>
          <w:p w:rsidR="00E05E93" w:rsidRPr="00EE2E88" w:rsidRDefault="00E05E93" w:rsidP="00300E70">
            <w:pPr>
              <w:ind w:left="0" w:right="0"/>
            </w:pPr>
            <w:r w:rsidRPr="00EE2E88">
              <w:t>3 MT messages (plus 7 common group message types) for use in the Bank-to-Bank exchanges:</w:t>
            </w:r>
          </w:p>
          <w:p w:rsidR="00392BF9" w:rsidRDefault="00E05E93">
            <w:pPr>
              <w:numPr>
                <w:ilvl w:val="0"/>
                <w:numId w:val="10"/>
              </w:numPr>
              <w:spacing w:before="0"/>
              <w:ind w:left="176" w:right="0" w:hanging="142"/>
            </w:pPr>
            <w:r w:rsidRPr="00EE2E88">
              <w:t>MT 760 Guarantee</w:t>
            </w:r>
          </w:p>
          <w:p w:rsidR="00392BF9" w:rsidRDefault="00E05E93">
            <w:pPr>
              <w:numPr>
                <w:ilvl w:val="0"/>
                <w:numId w:val="10"/>
              </w:numPr>
              <w:spacing w:before="0"/>
              <w:ind w:left="176" w:right="0" w:hanging="142"/>
            </w:pPr>
            <w:r w:rsidRPr="00EE2E88">
              <w:t>MT 767 Guarantee Amendment</w:t>
            </w:r>
          </w:p>
          <w:p w:rsidR="00392BF9" w:rsidRDefault="00E05E93">
            <w:pPr>
              <w:numPr>
                <w:ilvl w:val="0"/>
                <w:numId w:val="10"/>
              </w:numPr>
              <w:spacing w:before="0"/>
              <w:ind w:left="176" w:right="0" w:hanging="142"/>
            </w:pPr>
            <w:r w:rsidRPr="00EE2E88">
              <w:t>MT 768 Acknowledgement of a Guarantee Message</w:t>
            </w:r>
          </w:p>
          <w:p w:rsidR="00E05E93" w:rsidRPr="00EE2E88" w:rsidRDefault="00E05E93" w:rsidP="00300E70">
            <w:pPr>
              <w:ind w:left="0" w:right="0"/>
            </w:pPr>
            <w:r w:rsidRPr="00EE2E88">
              <w:t>4 MT 798 message flows under MT Implementation Guide for Corporate-to-Bank use:</w:t>
            </w:r>
          </w:p>
          <w:p w:rsidR="00392BF9" w:rsidRDefault="00E05E93">
            <w:pPr>
              <w:numPr>
                <w:ilvl w:val="0"/>
                <w:numId w:val="6"/>
              </w:numPr>
              <w:spacing w:before="0"/>
              <w:ind w:left="176" w:right="0" w:hanging="142"/>
            </w:pPr>
            <w:r w:rsidRPr="00EE2E88">
              <w:t>Notification of Guarantee / Standby</w:t>
            </w:r>
          </w:p>
          <w:p w:rsidR="00392BF9" w:rsidRDefault="00E05E93">
            <w:pPr>
              <w:numPr>
                <w:ilvl w:val="0"/>
                <w:numId w:val="6"/>
              </w:numPr>
              <w:spacing w:before="0"/>
              <w:ind w:left="176" w:right="0" w:hanging="142"/>
            </w:pPr>
            <w:r w:rsidRPr="00EE2E88">
              <w:t>Notification of amendment of Guarantee / Standby</w:t>
            </w:r>
          </w:p>
          <w:p w:rsidR="00392BF9" w:rsidRDefault="00E05E93">
            <w:pPr>
              <w:numPr>
                <w:ilvl w:val="0"/>
                <w:numId w:val="6"/>
              </w:numPr>
              <w:spacing w:before="0"/>
              <w:ind w:left="176" w:right="0" w:hanging="142"/>
            </w:pPr>
            <w:r w:rsidRPr="00EE2E88">
              <w:t>Advice of issued Guarantee / Standby</w:t>
            </w:r>
          </w:p>
          <w:p w:rsidR="00392BF9" w:rsidRDefault="00E05E93">
            <w:pPr>
              <w:numPr>
                <w:ilvl w:val="0"/>
                <w:numId w:val="6"/>
              </w:numPr>
              <w:spacing w:before="0"/>
              <w:ind w:left="176" w:right="0" w:hanging="142"/>
            </w:pPr>
            <w:r w:rsidRPr="00EE2E88">
              <w:t>Advice of amended Guarantee / Standby</w:t>
            </w:r>
          </w:p>
        </w:tc>
        <w:tc>
          <w:tcPr>
            <w:tcW w:w="3638" w:type="dxa"/>
          </w:tcPr>
          <w:p w:rsidR="00E05E93" w:rsidRPr="00EE2E88" w:rsidRDefault="00E05E93" w:rsidP="00300E70">
            <w:pPr>
              <w:spacing w:before="0"/>
              <w:ind w:left="0" w:right="0"/>
            </w:pPr>
            <w:r w:rsidRPr="00EE2E88">
              <w:t>Bolero XML:</w:t>
            </w:r>
          </w:p>
          <w:p w:rsidR="00392BF9" w:rsidRDefault="00E05E93">
            <w:pPr>
              <w:numPr>
                <w:ilvl w:val="0"/>
                <w:numId w:val="10"/>
              </w:numPr>
              <w:spacing w:before="0"/>
              <w:ind w:left="0" w:right="0"/>
            </w:pPr>
            <w:r w:rsidRPr="00EE2E88">
              <w:t>Standby Documentary Credit</w:t>
            </w:r>
          </w:p>
        </w:tc>
        <w:tc>
          <w:tcPr>
            <w:tcW w:w="3639" w:type="dxa"/>
          </w:tcPr>
          <w:p w:rsidR="00E05E93" w:rsidRDefault="00E05E93" w:rsidP="00863D1F">
            <w:pPr>
              <w:ind w:left="0" w:right="0"/>
            </w:pPr>
            <w:r w:rsidRPr="00EE2E88">
              <w:t xml:space="preserve">Undergoing redevelopment, ISO 20022 </w:t>
            </w:r>
            <w:r w:rsidR="00863D1F">
              <w:t xml:space="preserve">approval </w:t>
            </w:r>
            <w:r w:rsidR="00863D1F" w:rsidRPr="00EE2E88">
              <w:t xml:space="preserve"> </w:t>
            </w:r>
            <w:r w:rsidRPr="00EE2E88">
              <w:t xml:space="preserve">targeted for </w:t>
            </w:r>
            <w:r w:rsidR="00650303">
              <w:t xml:space="preserve">1st quarter </w:t>
            </w:r>
            <w:r w:rsidR="005251CB">
              <w:t>201</w:t>
            </w:r>
            <w:r w:rsidR="00863D1F">
              <w:t>3</w:t>
            </w:r>
          </w:p>
          <w:p w:rsidR="00863D1F" w:rsidRPr="00EE2E88" w:rsidRDefault="00863D1F" w:rsidP="00863D1F">
            <w:pPr>
              <w:ind w:left="0" w:right="0"/>
            </w:pPr>
            <w:r>
              <w:t>V4 of MT 798 flows under development. Publication targeted for 1st quarter 2013 (under MT Implementation</w:t>
            </w:r>
            <w:r w:rsidRPr="00EE2E88">
              <w:t xml:space="preserve"> Guide for Corporate-to-Bank use</w:t>
            </w:r>
            <w:r>
              <w:t>).</w:t>
            </w:r>
          </w:p>
        </w:tc>
      </w:tr>
      <w:tr w:rsidR="00E05E93" w:rsidRPr="001D5EB7" w:rsidTr="00300E70">
        <w:tc>
          <w:tcPr>
            <w:tcW w:w="1701" w:type="dxa"/>
          </w:tcPr>
          <w:p w:rsidR="00E05E93" w:rsidRPr="00EE2E88" w:rsidRDefault="00E05E93" w:rsidP="00300E70">
            <w:pPr>
              <w:ind w:left="0" w:right="0"/>
              <w:rPr>
                <w:b/>
              </w:rPr>
            </w:pPr>
            <w:r>
              <w:rPr>
                <w:b/>
              </w:rPr>
              <w:t>Demand</w:t>
            </w:r>
            <w:r w:rsidRPr="00EE2E88">
              <w:rPr>
                <w:b/>
              </w:rPr>
              <w:t xml:space="preserve"> Settlement</w:t>
            </w:r>
          </w:p>
        </w:tc>
        <w:tc>
          <w:tcPr>
            <w:tcW w:w="3638" w:type="dxa"/>
          </w:tcPr>
          <w:p w:rsidR="00E05E93" w:rsidRPr="00EE2E88" w:rsidRDefault="00E05E93" w:rsidP="00300E70">
            <w:pPr>
              <w:ind w:left="0" w:right="0"/>
            </w:pPr>
            <w:r w:rsidRPr="00EE2E88">
              <w:t>1 MT message (excluding payment messages) for use in the Bank-to-Bank exchanges:</w:t>
            </w:r>
          </w:p>
          <w:p w:rsidR="00392BF9" w:rsidRDefault="00E05E93">
            <w:pPr>
              <w:numPr>
                <w:ilvl w:val="0"/>
                <w:numId w:val="10"/>
              </w:numPr>
              <w:spacing w:before="0"/>
              <w:ind w:left="176" w:right="0" w:hanging="142"/>
            </w:pPr>
            <w:r w:rsidRPr="00EE2E88">
              <w:t>MT 769 Advice of Reduction or Release</w:t>
            </w:r>
          </w:p>
          <w:p w:rsidR="00E05E93" w:rsidRPr="00EE2E88" w:rsidRDefault="00E05E93" w:rsidP="00300E70">
            <w:pPr>
              <w:ind w:left="0" w:right="0"/>
            </w:pPr>
            <w:r w:rsidRPr="00EE2E88">
              <w:t>10 MT 798 message flows under MT Implementation Guide for Corporate-to-Bank use:</w:t>
            </w:r>
          </w:p>
          <w:p w:rsidR="00392BF9" w:rsidRDefault="00E05E93">
            <w:pPr>
              <w:numPr>
                <w:ilvl w:val="0"/>
                <w:numId w:val="6"/>
              </w:numPr>
              <w:spacing w:before="0"/>
              <w:ind w:left="176" w:right="0" w:hanging="142"/>
            </w:pPr>
            <w:r w:rsidRPr="00EE2E88">
              <w:t>Query to extend or pay Guarantee / Standby</w:t>
            </w:r>
          </w:p>
          <w:p w:rsidR="00392BF9" w:rsidRDefault="00E05E93">
            <w:pPr>
              <w:numPr>
                <w:ilvl w:val="0"/>
                <w:numId w:val="6"/>
              </w:numPr>
              <w:spacing w:before="0"/>
              <w:ind w:left="176" w:right="0" w:hanging="142"/>
            </w:pPr>
            <w:r w:rsidRPr="00EE2E88">
              <w:t>Response to extend or pay Guarantee / Standby</w:t>
            </w:r>
          </w:p>
          <w:p w:rsidR="00392BF9" w:rsidRDefault="00E05E93">
            <w:pPr>
              <w:numPr>
                <w:ilvl w:val="0"/>
                <w:numId w:val="6"/>
              </w:numPr>
              <w:spacing w:before="0"/>
              <w:ind w:left="176" w:right="0" w:hanging="142"/>
            </w:pPr>
            <w:r w:rsidRPr="00EE2E88">
              <w:t>Claim for payment under Guarantee / Standby</w:t>
            </w:r>
          </w:p>
          <w:p w:rsidR="00392BF9" w:rsidRDefault="00E05E93">
            <w:pPr>
              <w:numPr>
                <w:ilvl w:val="0"/>
                <w:numId w:val="6"/>
              </w:numPr>
              <w:spacing w:before="0"/>
              <w:ind w:left="176" w:right="0" w:hanging="142"/>
            </w:pPr>
            <w:r w:rsidRPr="00EE2E88">
              <w:t>Acknowledgment of claim for payment under Guarantee / Standby</w:t>
            </w:r>
          </w:p>
          <w:p w:rsidR="00392BF9" w:rsidRDefault="00E05E93">
            <w:pPr>
              <w:numPr>
                <w:ilvl w:val="0"/>
                <w:numId w:val="6"/>
              </w:numPr>
              <w:spacing w:before="0"/>
              <w:ind w:left="176" w:right="0" w:hanging="142"/>
            </w:pPr>
            <w:r w:rsidRPr="00EE2E88">
              <w:t>Notification of claim for payment of Guarantee / Standby</w:t>
            </w:r>
          </w:p>
          <w:p w:rsidR="00392BF9" w:rsidRDefault="00E05E93">
            <w:pPr>
              <w:numPr>
                <w:ilvl w:val="0"/>
                <w:numId w:val="6"/>
              </w:numPr>
              <w:spacing w:before="0"/>
              <w:ind w:left="176" w:right="0" w:hanging="142"/>
            </w:pPr>
            <w:r w:rsidRPr="00EE2E88">
              <w:t>Settlement of Guarantee / Standby claim for payment and/or charges</w:t>
            </w:r>
          </w:p>
          <w:p w:rsidR="00392BF9" w:rsidRDefault="00E05E93">
            <w:pPr>
              <w:numPr>
                <w:ilvl w:val="0"/>
                <w:numId w:val="6"/>
              </w:numPr>
              <w:spacing w:before="0"/>
              <w:ind w:left="176" w:right="0" w:hanging="142"/>
            </w:pPr>
            <w:r w:rsidRPr="00EE2E88">
              <w:lastRenderedPageBreak/>
              <w:t>Request for Guarantee / Standby Reduction / Release</w:t>
            </w:r>
          </w:p>
          <w:p w:rsidR="00392BF9" w:rsidRDefault="00E05E93">
            <w:pPr>
              <w:numPr>
                <w:ilvl w:val="0"/>
                <w:numId w:val="6"/>
              </w:numPr>
              <w:spacing w:before="0"/>
              <w:ind w:left="176" w:right="0" w:hanging="142"/>
            </w:pPr>
            <w:r w:rsidRPr="00EE2E88">
              <w:t>Advice of Guarantee / Standby Reduction or Release</w:t>
            </w:r>
          </w:p>
          <w:p w:rsidR="00392BF9" w:rsidRDefault="00E05E93">
            <w:pPr>
              <w:numPr>
                <w:ilvl w:val="0"/>
                <w:numId w:val="6"/>
              </w:numPr>
              <w:spacing w:before="0"/>
              <w:ind w:left="176" w:right="0" w:hanging="142"/>
            </w:pPr>
            <w:r w:rsidRPr="00EE2E88">
              <w:t>Request for Settlement of Charges</w:t>
            </w:r>
          </w:p>
          <w:p w:rsidR="00392BF9" w:rsidRDefault="00E05E93">
            <w:pPr>
              <w:numPr>
                <w:ilvl w:val="0"/>
                <w:numId w:val="6"/>
              </w:numPr>
              <w:spacing w:before="0"/>
              <w:ind w:left="176" w:right="0" w:hanging="142"/>
            </w:pPr>
            <w:r w:rsidRPr="00EE2E88">
              <w:t>Notification of Settlement of Charges</w:t>
            </w:r>
          </w:p>
        </w:tc>
        <w:tc>
          <w:tcPr>
            <w:tcW w:w="3638" w:type="dxa"/>
          </w:tcPr>
          <w:p w:rsidR="00E05E93" w:rsidRPr="00EE2E88" w:rsidRDefault="00E05E93" w:rsidP="00300E70">
            <w:pPr>
              <w:ind w:left="0" w:right="0"/>
            </w:pPr>
            <w:r w:rsidRPr="00EE2E88">
              <w:lastRenderedPageBreak/>
              <w:t>None identified</w:t>
            </w:r>
          </w:p>
        </w:tc>
        <w:tc>
          <w:tcPr>
            <w:tcW w:w="3639" w:type="dxa"/>
          </w:tcPr>
          <w:p w:rsidR="00392BF9" w:rsidRDefault="00E05E93" w:rsidP="00300E70">
            <w:pPr>
              <w:ind w:left="0" w:right="0"/>
            </w:pPr>
            <w:r w:rsidRPr="00EE2E88">
              <w:t xml:space="preserve">Undergoing redevelopment, ISO 20022 </w:t>
            </w:r>
            <w:r w:rsidR="00863D1F">
              <w:t>approval</w:t>
            </w:r>
            <w:r w:rsidR="00863D1F" w:rsidRPr="00EE2E88">
              <w:t xml:space="preserve"> </w:t>
            </w:r>
            <w:r w:rsidRPr="00EE2E88">
              <w:t xml:space="preserve">targeted for </w:t>
            </w:r>
            <w:r w:rsidR="00650303">
              <w:t xml:space="preserve">1st quarter </w:t>
            </w:r>
            <w:r w:rsidR="005251CB">
              <w:t>201</w:t>
            </w:r>
            <w:r w:rsidR="00863D1F">
              <w:t>3</w:t>
            </w:r>
          </w:p>
          <w:p w:rsidR="00863D1F" w:rsidRDefault="00863D1F" w:rsidP="00300E70">
            <w:pPr>
              <w:ind w:left="0" w:right="0"/>
            </w:pPr>
            <w:r>
              <w:t>V4 of MT 798 flows under development. Publication targeted for 1st quarter 2013 (under MT Implementation</w:t>
            </w:r>
            <w:r w:rsidRPr="00EE2E88">
              <w:t xml:space="preserve"> Guide for Corporate-to-Bank use</w:t>
            </w:r>
            <w:r>
              <w:t>).</w:t>
            </w:r>
          </w:p>
          <w:p w:rsidR="00392BF9" w:rsidRDefault="00392BF9" w:rsidP="00300E70">
            <w:pPr>
              <w:ind w:left="0" w:right="0"/>
            </w:pPr>
          </w:p>
          <w:p w:rsidR="00392BF9" w:rsidRDefault="00392BF9" w:rsidP="00300E70">
            <w:pPr>
              <w:ind w:left="0" w:right="0"/>
            </w:pPr>
          </w:p>
          <w:p w:rsidR="00392BF9" w:rsidRDefault="00392BF9" w:rsidP="00300E70">
            <w:pPr>
              <w:ind w:left="0" w:right="0"/>
            </w:pPr>
          </w:p>
          <w:p w:rsidR="00392BF9" w:rsidRDefault="00392BF9" w:rsidP="00300E70">
            <w:pPr>
              <w:ind w:left="0" w:right="0"/>
            </w:pPr>
          </w:p>
          <w:p w:rsidR="00392BF9" w:rsidRDefault="00392BF9" w:rsidP="00300E70">
            <w:pPr>
              <w:ind w:left="0" w:right="0"/>
            </w:pPr>
          </w:p>
          <w:p w:rsidR="00392BF9" w:rsidRDefault="00392BF9" w:rsidP="00300E70">
            <w:pPr>
              <w:ind w:left="0" w:right="0"/>
            </w:pPr>
          </w:p>
          <w:p w:rsidR="00392BF9" w:rsidRPr="00EE2E88" w:rsidRDefault="00392BF9" w:rsidP="00300E70">
            <w:pPr>
              <w:ind w:left="0" w:right="0"/>
            </w:pPr>
          </w:p>
        </w:tc>
      </w:tr>
    </w:tbl>
    <w:p w:rsidR="00FA35FD" w:rsidRDefault="00FA35FD" w:rsidP="00FA35FD">
      <w:pPr>
        <w:pStyle w:val="Heading2"/>
        <w:tabs>
          <w:tab w:val="clear" w:pos="360"/>
        </w:tabs>
        <w:spacing w:before="300" w:after="60"/>
        <w:ind w:left="720" w:right="0" w:firstLine="0"/>
      </w:pPr>
      <w:bookmarkStart w:id="97" w:name="_Toc284849384"/>
    </w:p>
    <w:p w:rsidR="00984443" w:rsidRDefault="00984443" w:rsidP="00984443">
      <w:pPr>
        <w:pStyle w:val="Heading2"/>
        <w:numPr>
          <w:ilvl w:val="2"/>
          <w:numId w:val="4"/>
        </w:numPr>
        <w:tabs>
          <w:tab w:val="num" w:pos="1134"/>
        </w:tabs>
        <w:spacing w:before="300" w:after="60"/>
        <w:ind w:right="0"/>
      </w:pPr>
      <w:bookmarkStart w:id="98" w:name="_Toc340670994"/>
      <w:r>
        <w:t>Additional opportunities</w:t>
      </w:r>
      <w:bookmarkEnd w:id="98"/>
    </w:p>
    <w:p w:rsidR="00116382" w:rsidRPr="00392BF9" w:rsidRDefault="00116382" w:rsidP="000E265F">
      <w:pPr>
        <w:ind w:left="0"/>
        <w:rPr>
          <w:lang w:eastAsia="en-GB"/>
        </w:rPr>
      </w:pPr>
      <w:r>
        <w:rPr>
          <w:lang w:eastAsia="en-GB"/>
        </w:rPr>
        <w:t xml:space="preserve">Overhaul of </w:t>
      </w:r>
      <w:r w:rsidR="00994697">
        <w:rPr>
          <w:lang w:eastAsia="en-GB"/>
        </w:rPr>
        <w:t>C</w:t>
      </w:r>
      <w:r>
        <w:rPr>
          <w:lang w:eastAsia="en-GB"/>
        </w:rPr>
        <w:t>ategory 7 MT messages.</w:t>
      </w:r>
    </w:p>
    <w:bookmarkEnd w:id="97"/>
    <w:p w:rsidR="004547A2" w:rsidRDefault="004547A2" w:rsidP="00D76516">
      <w:pPr>
        <w:ind w:left="0" w:firstLine="720"/>
        <w:rPr>
          <w:rFonts w:cs="Arial"/>
          <w:b/>
          <w:color w:val="7E6F62"/>
          <w:kern w:val="28"/>
          <w:sz w:val="24"/>
          <w:szCs w:val="24"/>
        </w:rPr>
      </w:pPr>
    </w:p>
    <w:sectPr w:rsidR="004547A2" w:rsidSect="00555624">
      <w:headerReference w:type="even" r:id="rId59"/>
      <w:headerReference w:type="default" r:id="rId60"/>
      <w:headerReference w:type="first" r:id="rId61"/>
      <w:pgSz w:w="15840" w:h="12240" w:orient="landscape" w:code="1"/>
      <w:pgMar w:top="1440" w:right="1440" w:bottom="1440" w:left="1440"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97" w:rsidRDefault="00994697">
      <w:r>
        <w:separator/>
      </w:r>
    </w:p>
    <w:p w:rsidR="00994697" w:rsidRDefault="00994697"/>
  </w:endnote>
  <w:endnote w:type="continuationSeparator" w:id="0">
    <w:p w:rsidR="00994697" w:rsidRDefault="00994697">
      <w:r>
        <w:continuationSeparator/>
      </w:r>
    </w:p>
    <w:p w:rsidR="00994697" w:rsidRDefault="0099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697" w:rsidRDefault="009946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pStyle w:val="Footer"/>
      <w:pBdr>
        <w:top w:val="single" w:sz="4" w:space="1" w:color="auto"/>
      </w:pBdr>
      <w:tabs>
        <w:tab w:val="clear" w:pos="4153"/>
        <w:tab w:val="clear" w:pos="8306"/>
        <w:tab w:val="right" w:pos="8931"/>
      </w:tabs>
      <w:ind w:left="0" w:right="-45"/>
      <w:rPr>
        <w:rStyle w:val="PageNumber"/>
        <w:color w:val="000000"/>
      </w:rPr>
    </w:pPr>
    <w:r>
      <w:rPr>
        <w:color w:val="000000"/>
        <w:lang w:val="en-US"/>
      </w:rPr>
      <w:t>Standards Messaging Landscape</w:t>
    </w:r>
    <w:r>
      <w:rPr>
        <w:color w:val="000000"/>
        <w:lang w:val="en-US"/>
      </w:rPr>
      <w:tab/>
      <w:t xml:space="preserve">Page </w:t>
    </w: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D2761E">
      <w:rPr>
        <w:rStyle w:val="PageNumber"/>
        <w:noProof/>
        <w:color w:val="000000"/>
      </w:rPr>
      <w:t>2</w:t>
    </w:r>
    <w:r>
      <w:rPr>
        <w:rStyle w:val="PageNumbe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97" w:rsidRDefault="00994697">
      <w:r>
        <w:separator/>
      </w:r>
    </w:p>
    <w:p w:rsidR="00994697" w:rsidRDefault="00994697"/>
  </w:footnote>
  <w:footnote w:type="continuationSeparator" w:id="0">
    <w:p w:rsidR="00994697" w:rsidRDefault="00994697">
      <w:r>
        <w:continuationSeparator/>
      </w:r>
    </w:p>
    <w:p w:rsidR="00994697" w:rsidRDefault="00994697"/>
  </w:footnote>
  <w:footnote w:id="1">
    <w:p w:rsidR="00994697" w:rsidRPr="0039499A" w:rsidRDefault="00994697" w:rsidP="0039499A">
      <w:pPr>
        <w:pStyle w:val="FootnoteText"/>
        <w:rPr>
          <w:lang w:val="en-ZA"/>
        </w:rPr>
      </w:pPr>
      <w:r>
        <w:rPr>
          <w:rStyle w:val="FootnoteReference"/>
        </w:rPr>
        <w:footnoteRef/>
      </w:r>
      <w:r>
        <w:t xml:space="preserve"> As this document primarily focuses on business domains catered for by SWIFT, the payments landscape does not contain an assessment of the (ISO) standards used for card payments.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97" w:rsidRDefault="00994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0AFA5A"/>
    <w:lvl w:ilvl="0">
      <w:start w:val="1"/>
      <w:numFmt w:val="bullet"/>
      <w:pStyle w:val="ListBullet"/>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lvlText w:val="%1)"/>
      <w:lvlJc w:val="left"/>
      <w:pPr>
        <w:tabs>
          <w:tab w:val="num" w:pos="360"/>
        </w:tabs>
        <w:ind w:left="360" w:hanging="360"/>
      </w:pPr>
      <w:rPr>
        <w:rFonts w:cs="Times New Roman"/>
      </w:rPr>
    </w:lvl>
  </w:abstractNum>
  <w:abstractNum w:abstractNumId="2">
    <w:nsid w:val="FFFFFF89"/>
    <w:multiLevelType w:val="singleLevel"/>
    <w:tmpl w:val="93CA3A32"/>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4">
    <w:nsid w:val="04253818"/>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5">
    <w:nsid w:val="1C546B62"/>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6">
    <w:nsid w:val="1E3A3E62"/>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7">
    <w:nsid w:val="1FB225DF"/>
    <w:multiLevelType w:val="hybridMultilevel"/>
    <w:tmpl w:val="90AC85E0"/>
    <w:lvl w:ilvl="0" w:tplc="4B8EFFB6">
      <w:start w:val="1"/>
      <w:numFmt w:val="decimal"/>
      <w:lvlText w:val="%1."/>
      <w:lvlJc w:val="left"/>
      <w:pPr>
        <w:ind w:left="720" w:hanging="360"/>
      </w:pPr>
      <w:rPr>
        <w:rFonts w:eastAsia="Times New Roman" w:cs="Arial"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61FF1"/>
    <w:multiLevelType w:val="hybridMultilevel"/>
    <w:tmpl w:val="F82EA208"/>
    <w:lvl w:ilvl="0" w:tplc="63263C56">
      <w:numFmt w:val="bullet"/>
      <w:lvlText w:val="-"/>
      <w:lvlJc w:val="left"/>
      <w:pPr>
        <w:tabs>
          <w:tab w:val="num" w:pos="360"/>
        </w:tabs>
        <w:ind w:left="360" w:hanging="360"/>
      </w:pPr>
      <w:rPr>
        <w:rFonts w:ascii="Times New Roman" w:eastAsia="Times New Roman" w:hAnsi="Times New Roman" w:hint="default"/>
      </w:rPr>
    </w:lvl>
    <w:lvl w:ilvl="1" w:tplc="2FFC391C">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CD6562B"/>
    <w:multiLevelType w:val="hybridMultilevel"/>
    <w:tmpl w:val="FE64CCBC"/>
    <w:lvl w:ilvl="0" w:tplc="63263C56">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9C4729"/>
    <w:multiLevelType w:val="hybridMultilevel"/>
    <w:tmpl w:val="19FAE5DE"/>
    <w:lvl w:ilvl="0" w:tplc="2FFC391C">
      <w:numFmt w:val="bullet"/>
      <w:lvlText w:val="-"/>
      <w:lvlJc w:val="left"/>
      <w:pPr>
        <w:tabs>
          <w:tab w:val="num" w:pos="360"/>
        </w:tabs>
        <w:ind w:left="360" w:hanging="360"/>
      </w:pPr>
      <w:rPr>
        <w:rFonts w:ascii="Times New Roman" w:eastAsia="Times New Roman" w:hAnsi="Times New Roman" w:hint="default"/>
      </w:rPr>
    </w:lvl>
    <w:lvl w:ilvl="1" w:tplc="63263C56">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10932A7"/>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2">
    <w:nsid w:val="45DC4645"/>
    <w:multiLevelType w:val="hybridMultilevel"/>
    <w:tmpl w:val="6A409CAA"/>
    <w:lvl w:ilvl="0" w:tplc="7ED429C8">
      <w:numFmt w:val="bullet"/>
      <w:lvlText w:val="-"/>
      <w:lvlJc w:val="left"/>
      <w:pPr>
        <w:ind w:left="1494" w:hanging="360"/>
      </w:pPr>
      <w:rPr>
        <w:rFonts w:ascii="Arial" w:eastAsia="Times"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55F61525"/>
    <w:multiLevelType w:val="multilevel"/>
    <w:tmpl w:val="90E062E4"/>
    <w:lvl w:ilvl="0">
      <w:start w:val="1"/>
      <w:numFmt w:val="decimal"/>
      <w:lvlText w:val="%1"/>
      <w:lvlJc w:val="left"/>
      <w:pPr>
        <w:tabs>
          <w:tab w:val="num" w:pos="492"/>
        </w:tabs>
        <w:ind w:left="492" w:hanging="432"/>
      </w:pPr>
      <w:rPr>
        <w:rFonts w:cs="Times New Roman"/>
      </w:rPr>
    </w:lvl>
    <w:lvl w:ilvl="1">
      <w:start w:val="1"/>
      <w:numFmt w:val="decimal"/>
      <w:lvlText w:val="%1.%2"/>
      <w:lvlJc w:val="left"/>
      <w:pPr>
        <w:tabs>
          <w:tab w:val="num" w:pos="636"/>
        </w:tabs>
        <w:ind w:left="636" w:hanging="576"/>
      </w:pPr>
      <w:rPr>
        <w:rFonts w:cs="Times New Roman"/>
      </w:rPr>
    </w:lvl>
    <w:lvl w:ilvl="2">
      <w:start w:val="1"/>
      <w:numFmt w:val="decimal"/>
      <w:lvlText w:val="%1.%2.%3"/>
      <w:lvlJc w:val="left"/>
      <w:pPr>
        <w:tabs>
          <w:tab w:val="num" w:pos="780"/>
        </w:tabs>
        <w:ind w:left="780" w:hanging="720"/>
      </w:pPr>
      <w:rPr>
        <w:rFonts w:cs="Times New Roman"/>
      </w:rPr>
    </w:lvl>
    <w:lvl w:ilvl="3">
      <w:start w:val="1"/>
      <w:numFmt w:val="decimal"/>
      <w:lvlText w:val="%1.%2.%3.%4"/>
      <w:lvlJc w:val="left"/>
      <w:pPr>
        <w:tabs>
          <w:tab w:val="num" w:pos="1208"/>
        </w:tabs>
        <w:ind w:left="1208" w:hanging="864"/>
      </w:pPr>
      <w:rPr>
        <w:rFonts w:cs="Times New Roman"/>
        <w:b/>
      </w:rPr>
    </w:lvl>
    <w:lvl w:ilvl="4">
      <w:start w:val="1"/>
      <w:numFmt w:val="decimal"/>
      <w:lvlText w:val="%1.%2.%3.%4.%5"/>
      <w:lvlJc w:val="left"/>
      <w:pPr>
        <w:tabs>
          <w:tab w:val="num" w:pos="1068"/>
        </w:tabs>
        <w:ind w:left="1068" w:hanging="1008"/>
      </w:pPr>
      <w:rPr>
        <w:rFonts w:cs="Times New Roman"/>
      </w:rPr>
    </w:lvl>
    <w:lvl w:ilvl="5">
      <w:start w:val="1"/>
      <w:numFmt w:val="decimal"/>
      <w:lvlText w:val="%1.%2.%3.%4.%5.%6"/>
      <w:lvlJc w:val="left"/>
      <w:pPr>
        <w:tabs>
          <w:tab w:val="num" w:pos="1212"/>
        </w:tabs>
        <w:ind w:left="1212" w:hanging="1152"/>
      </w:pPr>
      <w:rPr>
        <w:rFonts w:cs="Times New Roman"/>
      </w:rPr>
    </w:lvl>
    <w:lvl w:ilvl="6">
      <w:start w:val="1"/>
      <w:numFmt w:val="decimal"/>
      <w:lvlText w:val="%1.%2.%3.%4.%5.%6.%7"/>
      <w:lvlJc w:val="left"/>
      <w:pPr>
        <w:tabs>
          <w:tab w:val="num" w:pos="1356"/>
        </w:tabs>
        <w:ind w:left="1356" w:hanging="1296"/>
      </w:pPr>
      <w:rPr>
        <w:rFonts w:cs="Times New Roman"/>
      </w:rPr>
    </w:lvl>
    <w:lvl w:ilvl="7">
      <w:start w:val="1"/>
      <w:numFmt w:val="decimal"/>
      <w:lvlText w:val="%1.%2.%3.%4.%5.%6.%7.%8"/>
      <w:lvlJc w:val="left"/>
      <w:pPr>
        <w:tabs>
          <w:tab w:val="num" w:pos="1500"/>
        </w:tabs>
        <w:ind w:left="1500" w:hanging="1440"/>
      </w:pPr>
      <w:rPr>
        <w:rFonts w:cs="Times New Roman"/>
      </w:rPr>
    </w:lvl>
    <w:lvl w:ilvl="8">
      <w:start w:val="1"/>
      <w:numFmt w:val="decimal"/>
      <w:lvlText w:val="%1.%2.%3.%4.%5.%6.%7.%8.%9"/>
      <w:lvlJc w:val="left"/>
      <w:pPr>
        <w:tabs>
          <w:tab w:val="num" w:pos="1644"/>
        </w:tabs>
        <w:ind w:left="1644" w:hanging="1584"/>
      </w:pPr>
      <w:rPr>
        <w:rFonts w:cs="Times New Roman"/>
      </w:rPr>
    </w:lvl>
  </w:abstractNum>
  <w:abstractNum w:abstractNumId="14">
    <w:nsid w:val="561C2998"/>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5">
    <w:nsid w:val="57871290"/>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6">
    <w:nsid w:val="5B017AF4"/>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7">
    <w:nsid w:val="61A40FF1"/>
    <w:multiLevelType w:val="hybridMultilevel"/>
    <w:tmpl w:val="7C9013B2"/>
    <w:lvl w:ilvl="0" w:tplc="C39CC8B0">
      <w:start w:val="1"/>
      <w:numFmt w:val="decimal"/>
      <w:lvlText w:val="%1."/>
      <w:lvlJc w:val="left"/>
      <w:pPr>
        <w:ind w:left="1494" w:hanging="360"/>
      </w:pPr>
      <w:rPr>
        <w:rFonts w:eastAsia="Times New Roman" w:cs="Arial" w:hint="default"/>
        <w:color w:val="0000FF"/>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6273332"/>
    <w:multiLevelType w:val="multilevel"/>
    <w:tmpl w:val="90E062E4"/>
    <w:lvl w:ilvl="0">
      <w:start w:val="1"/>
      <w:numFmt w:val="decimal"/>
      <w:lvlText w:val="%1"/>
      <w:lvlJc w:val="left"/>
      <w:pPr>
        <w:tabs>
          <w:tab w:val="num" w:pos="1152"/>
        </w:tabs>
        <w:ind w:left="1152" w:hanging="432"/>
      </w:pPr>
      <w:rPr>
        <w:rFonts w:cs="Times New Roman"/>
      </w:rPr>
    </w:lvl>
    <w:lvl w:ilvl="1">
      <w:start w:val="1"/>
      <w:numFmt w:val="decimal"/>
      <w:lvlText w:val="%1.%2"/>
      <w:lvlJc w:val="left"/>
      <w:pPr>
        <w:tabs>
          <w:tab w:val="num" w:pos="1296"/>
        </w:tabs>
        <w:ind w:left="129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68"/>
        </w:tabs>
        <w:ind w:left="1868" w:hanging="864"/>
      </w:pPr>
      <w:rPr>
        <w:rFonts w:cs="Times New Roman"/>
        <w:b/>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9">
    <w:nsid w:val="678349D5"/>
    <w:multiLevelType w:val="hybridMultilevel"/>
    <w:tmpl w:val="52F273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2A489F"/>
    <w:multiLevelType w:val="hybridMultilevel"/>
    <w:tmpl w:val="B85E67B2"/>
    <w:lvl w:ilvl="0" w:tplc="63263C56">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3705E8"/>
    <w:multiLevelType w:val="multilevel"/>
    <w:tmpl w:val="921CD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1632798"/>
    <w:multiLevelType w:val="hybridMultilevel"/>
    <w:tmpl w:val="297CE538"/>
    <w:lvl w:ilvl="0" w:tplc="3656FB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DDD5A11"/>
    <w:multiLevelType w:val="hybridMultilevel"/>
    <w:tmpl w:val="2E26B9F0"/>
    <w:lvl w:ilvl="0" w:tplc="63263C56">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623D9E"/>
    <w:multiLevelType w:val="hybridMultilevel"/>
    <w:tmpl w:val="642C74E0"/>
    <w:lvl w:ilvl="0" w:tplc="63263C56">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0"/>
  </w:num>
  <w:num w:numId="6">
    <w:abstractNumId w:val="8"/>
  </w:num>
  <w:num w:numId="7">
    <w:abstractNumId w:val="20"/>
  </w:num>
  <w:num w:numId="8">
    <w:abstractNumId w:val="24"/>
  </w:num>
  <w:num w:numId="9">
    <w:abstractNumId w:val="9"/>
  </w:num>
  <w:num w:numId="10">
    <w:abstractNumId w:val="23"/>
  </w:num>
  <w:num w:numId="11">
    <w:abstractNumId w:val="19"/>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3"/>
  </w:num>
  <w:num w:numId="26">
    <w:abstractNumId w:val="14"/>
  </w:num>
  <w:num w:numId="27">
    <w:abstractNumId w:val="16"/>
  </w:num>
  <w:num w:numId="28">
    <w:abstractNumId w:val="11"/>
  </w:num>
  <w:num w:numId="29">
    <w:abstractNumId w:val="15"/>
  </w:num>
  <w:num w:numId="30">
    <w:abstractNumId w:val="5"/>
  </w:num>
  <w:num w:numId="31">
    <w:abstractNumId w:val="6"/>
  </w:num>
  <w:num w:numId="32">
    <w:abstractNumId w:val="18"/>
  </w:num>
  <w:num w:numId="33">
    <w:abstractNumId w:val="4"/>
  </w:num>
  <w:num w:numId="34">
    <w:abstractNumId w:val="12"/>
  </w:num>
  <w:num w:numId="35">
    <w:abstractNumId w:val="22"/>
  </w:num>
  <w:num w:numId="36">
    <w:abstractNumId w:val="17"/>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B4"/>
    <w:rsid w:val="00006C77"/>
    <w:rsid w:val="00007565"/>
    <w:rsid w:val="0002189E"/>
    <w:rsid w:val="00026484"/>
    <w:rsid w:val="00035C9B"/>
    <w:rsid w:val="00053BC1"/>
    <w:rsid w:val="0006062D"/>
    <w:rsid w:val="0006157D"/>
    <w:rsid w:val="00063BF9"/>
    <w:rsid w:val="00072081"/>
    <w:rsid w:val="00091848"/>
    <w:rsid w:val="0009597C"/>
    <w:rsid w:val="00096037"/>
    <w:rsid w:val="000B35B5"/>
    <w:rsid w:val="000C162C"/>
    <w:rsid w:val="000C49BB"/>
    <w:rsid w:val="000E265F"/>
    <w:rsid w:val="000E706E"/>
    <w:rsid w:val="000F11CE"/>
    <w:rsid w:val="0010432D"/>
    <w:rsid w:val="001054AF"/>
    <w:rsid w:val="00113240"/>
    <w:rsid w:val="0011475B"/>
    <w:rsid w:val="00115D5B"/>
    <w:rsid w:val="00116382"/>
    <w:rsid w:val="00132FA8"/>
    <w:rsid w:val="0013420B"/>
    <w:rsid w:val="00144952"/>
    <w:rsid w:val="001474A5"/>
    <w:rsid w:val="001511CF"/>
    <w:rsid w:val="00153376"/>
    <w:rsid w:val="00156BA3"/>
    <w:rsid w:val="00164A54"/>
    <w:rsid w:val="00174D27"/>
    <w:rsid w:val="00175123"/>
    <w:rsid w:val="00182E33"/>
    <w:rsid w:val="0018615A"/>
    <w:rsid w:val="00190A98"/>
    <w:rsid w:val="001955AA"/>
    <w:rsid w:val="001A53CC"/>
    <w:rsid w:val="001B37B4"/>
    <w:rsid w:val="001C656E"/>
    <w:rsid w:val="001D1B57"/>
    <w:rsid w:val="001D4771"/>
    <w:rsid w:val="001D5EB7"/>
    <w:rsid w:val="001D7D60"/>
    <w:rsid w:val="0020348B"/>
    <w:rsid w:val="00213D75"/>
    <w:rsid w:val="00217E46"/>
    <w:rsid w:val="002337EF"/>
    <w:rsid w:val="002537E3"/>
    <w:rsid w:val="00257D6F"/>
    <w:rsid w:val="002659B9"/>
    <w:rsid w:val="0027222C"/>
    <w:rsid w:val="00272309"/>
    <w:rsid w:val="0027255D"/>
    <w:rsid w:val="00277E79"/>
    <w:rsid w:val="002802C0"/>
    <w:rsid w:val="0028635D"/>
    <w:rsid w:val="002948B3"/>
    <w:rsid w:val="002A1537"/>
    <w:rsid w:val="002A2E82"/>
    <w:rsid w:val="002A4469"/>
    <w:rsid w:val="002C2402"/>
    <w:rsid w:val="002C4A0D"/>
    <w:rsid w:val="002C5A96"/>
    <w:rsid w:val="002C5D9F"/>
    <w:rsid w:val="002D1FDE"/>
    <w:rsid w:val="002D5434"/>
    <w:rsid w:val="002D6F09"/>
    <w:rsid w:val="002E2968"/>
    <w:rsid w:val="002E4E67"/>
    <w:rsid w:val="002E6D1D"/>
    <w:rsid w:val="002E7676"/>
    <w:rsid w:val="00300E70"/>
    <w:rsid w:val="00305D1C"/>
    <w:rsid w:val="003131C9"/>
    <w:rsid w:val="003137D3"/>
    <w:rsid w:val="00313FDA"/>
    <w:rsid w:val="00324EE3"/>
    <w:rsid w:val="00327CDF"/>
    <w:rsid w:val="00334B36"/>
    <w:rsid w:val="0034043A"/>
    <w:rsid w:val="003426C2"/>
    <w:rsid w:val="00345510"/>
    <w:rsid w:val="003506BC"/>
    <w:rsid w:val="00367D6B"/>
    <w:rsid w:val="00372CA7"/>
    <w:rsid w:val="003836D7"/>
    <w:rsid w:val="00392BF9"/>
    <w:rsid w:val="0039499A"/>
    <w:rsid w:val="00397313"/>
    <w:rsid w:val="003A20EB"/>
    <w:rsid w:val="003B488B"/>
    <w:rsid w:val="003C5F12"/>
    <w:rsid w:val="003D56B9"/>
    <w:rsid w:val="003E7D48"/>
    <w:rsid w:val="003F403D"/>
    <w:rsid w:val="003F4E5E"/>
    <w:rsid w:val="00400748"/>
    <w:rsid w:val="00406FED"/>
    <w:rsid w:val="004230B0"/>
    <w:rsid w:val="00435F80"/>
    <w:rsid w:val="00437873"/>
    <w:rsid w:val="00441C4D"/>
    <w:rsid w:val="0044682D"/>
    <w:rsid w:val="004547A2"/>
    <w:rsid w:val="00463AAA"/>
    <w:rsid w:val="00463B22"/>
    <w:rsid w:val="0047511E"/>
    <w:rsid w:val="00475914"/>
    <w:rsid w:val="00475DF1"/>
    <w:rsid w:val="004959BE"/>
    <w:rsid w:val="00496F72"/>
    <w:rsid w:val="004A0B8F"/>
    <w:rsid w:val="004B10BC"/>
    <w:rsid w:val="004B560F"/>
    <w:rsid w:val="004C4943"/>
    <w:rsid w:val="004D5F07"/>
    <w:rsid w:val="004F2E02"/>
    <w:rsid w:val="00504495"/>
    <w:rsid w:val="005251CB"/>
    <w:rsid w:val="005411DD"/>
    <w:rsid w:val="00555624"/>
    <w:rsid w:val="00574328"/>
    <w:rsid w:val="00581D3D"/>
    <w:rsid w:val="0058297F"/>
    <w:rsid w:val="00582CFD"/>
    <w:rsid w:val="005A361B"/>
    <w:rsid w:val="005A6866"/>
    <w:rsid w:val="005A7188"/>
    <w:rsid w:val="005C1B05"/>
    <w:rsid w:val="005C4A79"/>
    <w:rsid w:val="005C4CEA"/>
    <w:rsid w:val="005E08FD"/>
    <w:rsid w:val="005F2341"/>
    <w:rsid w:val="005F3108"/>
    <w:rsid w:val="005F4373"/>
    <w:rsid w:val="00603BAA"/>
    <w:rsid w:val="006110C4"/>
    <w:rsid w:val="00622C99"/>
    <w:rsid w:val="00625C3F"/>
    <w:rsid w:val="00625DD1"/>
    <w:rsid w:val="00635FEA"/>
    <w:rsid w:val="00637B97"/>
    <w:rsid w:val="0064497E"/>
    <w:rsid w:val="00644D22"/>
    <w:rsid w:val="00650303"/>
    <w:rsid w:val="00652D25"/>
    <w:rsid w:val="0066352E"/>
    <w:rsid w:val="00667E82"/>
    <w:rsid w:val="00672294"/>
    <w:rsid w:val="006741AF"/>
    <w:rsid w:val="00676572"/>
    <w:rsid w:val="00682FED"/>
    <w:rsid w:val="00691C48"/>
    <w:rsid w:val="00692D34"/>
    <w:rsid w:val="006B1650"/>
    <w:rsid w:val="006B4769"/>
    <w:rsid w:val="006B5DBB"/>
    <w:rsid w:val="006D4625"/>
    <w:rsid w:val="006D7FF1"/>
    <w:rsid w:val="007042E2"/>
    <w:rsid w:val="00707C37"/>
    <w:rsid w:val="007114F3"/>
    <w:rsid w:val="00714CF1"/>
    <w:rsid w:val="007256ED"/>
    <w:rsid w:val="0073170F"/>
    <w:rsid w:val="00737464"/>
    <w:rsid w:val="007407AF"/>
    <w:rsid w:val="00746622"/>
    <w:rsid w:val="00755EB0"/>
    <w:rsid w:val="0077645F"/>
    <w:rsid w:val="007816F3"/>
    <w:rsid w:val="00782A6B"/>
    <w:rsid w:val="00796F9C"/>
    <w:rsid w:val="007976CC"/>
    <w:rsid w:val="007A2EC2"/>
    <w:rsid w:val="007A5CFD"/>
    <w:rsid w:val="007A6272"/>
    <w:rsid w:val="007B2B41"/>
    <w:rsid w:val="007E2113"/>
    <w:rsid w:val="007E25FB"/>
    <w:rsid w:val="007E276F"/>
    <w:rsid w:val="007E33B0"/>
    <w:rsid w:val="007E5BBC"/>
    <w:rsid w:val="007F2D6B"/>
    <w:rsid w:val="007F6D61"/>
    <w:rsid w:val="007F7601"/>
    <w:rsid w:val="007F7F8E"/>
    <w:rsid w:val="008019C5"/>
    <w:rsid w:val="0080567F"/>
    <w:rsid w:val="00812020"/>
    <w:rsid w:val="008140E7"/>
    <w:rsid w:val="00815E4D"/>
    <w:rsid w:val="00831331"/>
    <w:rsid w:val="0083391F"/>
    <w:rsid w:val="008341D5"/>
    <w:rsid w:val="008447C0"/>
    <w:rsid w:val="0085645B"/>
    <w:rsid w:val="008611DC"/>
    <w:rsid w:val="00863D1F"/>
    <w:rsid w:val="008741F6"/>
    <w:rsid w:val="00874D7A"/>
    <w:rsid w:val="00884C08"/>
    <w:rsid w:val="00884FBB"/>
    <w:rsid w:val="008A3AFA"/>
    <w:rsid w:val="008A54F9"/>
    <w:rsid w:val="008B5D55"/>
    <w:rsid w:val="008B75DA"/>
    <w:rsid w:val="008B7A94"/>
    <w:rsid w:val="008C0B9F"/>
    <w:rsid w:val="008C3F3A"/>
    <w:rsid w:val="008D47CA"/>
    <w:rsid w:val="008D6180"/>
    <w:rsid w:val="008D6BF1"/>
    <w:rsid w:val="008D6FE3"/>
    <w:rsid w:val="008E2874"/>
    <w:rsid w:val="008F7250"/>
    <w:rsid w:val="009113FA"/>
    <w:rsid w:val="00916FE2"/>
    <w:rsid w:val="009469DD"/>
    <w:rsid w:val="00954291"/>
    <w:rsid w:val="0096233F"/>
    <w:rsid w:val="00967F7B"/>
    <w:rsid w:val="0097061D"/>
    <w:rsid w:val="009729A4"/>
    <w:rsid w:val="00983DA5"/>
    <w:rsid w:val="00984443"/>
    <w:rsid w:val="00984C75"/>
    <w:rsid w:val="00992D06"/>
    <w:rsid w:val="00993A8D"/>
    <w:rsid w:val="009940C3"/>
    <w:rsid w:val="00994697"/>
    <w:rsid w:val="009959BE"/>
    <w:rsid w:val="00997798"/>
    <w:rsid w:val="009A53A9"/>
    <w:rsid w:val="009C54E6"/>
    <w:rsid w:val="009C7F4F"/>
    <w:rsid w:val="009D7DE6"/>
    <w:rsid w:val="009E74A4"/>
    <w:rsid w:val="009F0E42"/>
    <w:rsid w:val="00A148F7"/>
    <w:rsid w:val="00A1626C"/>
    <w:rsid w:val="00A2478C"/>
    <w:rsid w:val="00A25C35"/>
    <w:rsid w:val="00A34571"/>
    <w:rsid w:val="00A51393"/>
    <w:rsid w:val="00A55FF4"/>
    <w:rsid w:val="00A56605"/>
    <w:rsid w:val="00A72571"/>
    <w:rsid w:val="00A75FA6"/>
    <w:rsid w:val="00A83ADD"/>
    <w:rsid w:val="00A84E3A"/>
    <w:rsid w:val="00A87D54"/>
    <w:rsid w:val="00A939A7"/>
    <w:rsid w:val="00A93D4A"/>
    <w:rsid w:val="00AA0263"/>
    <w:rsid w:val="00AA1D54"/>
    <w:rsid w:val="00AA4E4D"/>
    <w:rsid w:val="00AA7699"/>
    <w:rsid w:val="00AD5FBE"/>
    <w:rsid w:val="00AE18B8"/>
    <w:rsid w:val="00AF47E1"/>
    <w:rsid w:val="00AF4A24"/>
    <w:rsid w:val="00B00935"/>
    <w:rsid w:val="00B11BD4"/>
    <w:rsid w:val="00B13E82"/>
    <w:rsid w:val="00B22530"/>
    <w:rsid w:val="00B312D9"/>
    <w:rsid w:val="00B541E5"/>
    <w:rsid w:val="00B54F9D"/>
    <w:rsid w:val="00B6454E"/>
    <w:rsid w:val="00B66ED6"/>
    <w:rsid w:val="00B702A4"/>
    <w:rsid w:val="00B70D5A"/>
    <w:rsid w:val="00B80E45"/>
    <w:rsid w:val="00B861CC"/>
    <w:rsid w:val="00B94EF0"/>
    <w:rsid w:val="00B9502A"/>
    <w:rsid w:val="00BA3AB4"/>
    <w:rsid w:val="00BB12BA"/>
    <w:rsid w:val="00BB28F1"/>
    <w:rsid w:val="00BB3585"/>
    <w:rsid w:val="00BB3C3D"/>
    <w:rsid w:val="00BB4238"/>
    <w:rsid w:val="00BC0267"/>
    <w:rsid w:val="00BC326E"/>
    <w:rsid w:val="00BD57FD"/>
    <w:rsid w:val="00BD5F08"/>
    <w:rsid w:val="00BE252E"/>
    <w:rsid w:val="00BF112D"/>
    <w:rsid w:val="00BF737F"/>
    <w:rsid w:val="00C04890"/>
    <w:rsid w:val="00C21E58"/>
    <w:rsid w:val="00C3565F"/>
    <w:rsid w:val="00C45735"/>
    <w:rsid w:val="00C47FFB"/>
    <w:rsid w:val="00C6254B"/>
    <w:rsid w:val="00C7692F"/>
    <w:rsid w:val="00C875FC"/>
    <w:rsid w:val="00C92A66"/>
    <w:rsid w:val="00CA128C"/>
    <w:rsid w:val="00CA362D"/>
    <w:rsid w:val="00CA3924"/>
    <w:rsid w:val="00CB0EB0"/>
    <w:rsid w:val="00CF7167"/>
    <w:rsid w:val="00D078B1"/>
    <w:rsid w:val="00D10AD6"/>
    <w:rsid w:val="00D152D1"/>
    <w:rsid w:val="00D160CD"/>
    <w:rsid w:val="00D172EC"/>
    <w:rsid w:val="00D2761E"/>
    <w:rsid w:val="00D27ACD"/>
    <w:rsid w:val="00D300E3"/>
    <w:rsid w:val="00D31F12"/>
    <w:rsid w:val="00D32494"/>
    <w:rsid w:val="00D43BD8"/>
    <w:rsid w:val="00D444FC"/>
    <w:rsid w:val="00D44A2D"/>
    <w:rsid w:val="00D478F7"/>
    <w:rsid w:val="00D47D12"/>
    <w:rsid w:val="00D50B4B"/>
    <w:rsid w:val="00D62F07"/>
    <w:rsid w:val="00D72233"/>
    <w:rsid w:val="00D75B9D"/>
    <w:rsid w:val="00D76516"/>
    <w:rsid w:val="00D81748"/>
    <w:rsid w:val="00D852B2"/>
    <w:rsid w:val="00D91201"/>
    <w:rsid w:val="00D9372D"/>
    <w:rsid w:val="00DA60AA"/>
    <w:rsid w:val="00DA7C95"/>
    <w:rsid w:val="00DB2D98"/>
    <w:rsid w:val="00DC4B5F"/>
    <w:rsid w:val="00DD3935"/>
    <w:rsid w:val="00DE58F6"/>
    <w:rsid w:val="00E05E93"/>
    <w:rsid w:val="00E06608"/>
    <w:rsid w:val="00E17202"/>
    <w:rsid w:val="00E3229D"/>
    <w:rsid w:val="00E32425"/>
    <w:rsid w:val="00E33C87"/>
    <w:rsid w:val="00E443D3"/>
    <w:rsid w:val="00E50F94"/>
    <w:rsid w:val="00E62FC1"/>
    <w:rsid w:val="00E63CC5"/>
    <w:rsid w:val="00E63CCD"/>
    <w:rsid w:val="00E63DBC"/>
    <w:rsid w:val="00E768DE"/>
    <w:rsid w:val="00E852FD"/>
    <w:rsid w:val="00E92DBC"/>
    <w:rsid w:val="00E94B64"/>
    <w:rsid w:val="00EB463E"/>
    <w:rsid w:val="00ED5463"/>
    <w:rsid w:val="00EE0801"/>
    <w:rsid w:val="00EE2E88"/>
    <w:rsid w:val="00EF0BE8"/>
    <w:rsid w:val="00EF4EE9"/>
    <w:rsid w:val="00EF546B"/>
    <w:rsid w:val="00F11B42"/>
    <w:rsid w:val="00F126E6"/>
    <w:rsid w:val="00F203B1"/>
    <w:rsid w:val="00F21F4A"/>
    <w:rsid w:val="00F24D90"/>
    <w:rsid w:val="00F27BAD"/>
    <w:rsid w:val="00F30D0B"/>
    <w:rsid w:val="00F57630"/>
    <w:rsid w:val="00F64FBA"/>
    <w:rsid w:val="00F84134"/>
    <w:rsid w:val="00F85E43"/>
    <w:rsid w:val="00FA2221"/>
    <w:rsid w:val="00FA35FD"/>
    <w:rsid w:val="00FB6322"/>
    <w:rsid w:val="00FC210D"/>
    <w:rsid w:val="00FD3D6E"/>
    <w:rsid w:val="00FD78ED"/>
    <w:rsid w:val="00FE12A8"/>
    <w:rsid w:val="00FE2AD2"/>
    <w:rsid w:val="00FE45AF"/>
    <w:rsid w:val="00FF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B4"/>
    <w:pPr>
      <w:spacing w:before="80"/>
      <w:ind w:left="1134" w:right="708"/>
    </w:pPr>
    <w:rPr>
      <w:rFonts w:ascii="Arial" w:hAnsi="Arial"/>
      <w:sz w:val="20"/>
      <w:szCs w:val="20"/>
      <w:lang w:val="en-GB" w:eastAsia="en-US"/>
    </w:rPr>
  </w:style>
  <w:style w:type="paragraph" w:styleId="Heading1">
    <w:name w:val="heading 1"/>
    <w:aliases w:val="Section Title,Heading,Heading -s2,1,Part,Main Section,h1,Heading 11,Section Title1,Heading1,Heading -s21,11,Part1,Main Section1,h11,Heading 111,Section Title2,Heading2,Heading -s22,12,Part2,Main Section2,h12,Heading 112,Section Title3"/>
    <w:basedOn w:val="Normal"/>
    <w:next w:val="Normal"/>
    <w:link w:val="Heading1Char"/>
    <w:uiPriority w:val="99"/>
    <w:qFormat/>
    <w:rsid w:val="001B37B4"/>
    <w:pPr>
      <w:keepNext/>
      <w:tabs>
        <w:tab w:val="num" w:pos="1152"/>
      </w:tabs>
      <w:spacing w:before="200"/>
      <w:ind w:left="1152" w:right="-45" w:hanging="432"/>
      <w:outlineLvl w:val="0"/>
    </w:pPr>
    <w:rPr>
      <w:rFonts w:cs="Arial"/>
      <w:b/>
      <w:color w:val="7E6F62"/>
      <w:kern w:val="28"/>
      <w:sz w:val="24"/>
      <w:szCs w:val="24"/>
    </w:rPr>
  </w:style>
  <w:style w:type="paragraph" w:styleId="Heading2">
    <w:name w:val="heading 2"/>
    <w:aliases w:val="h2,Sub-section Title,2,Chapter Title,Heading 21,Titles,2nd level,I2,l2,título 2,list 2,1.1.1 heading,L2,A,A.B.C.,H2,Sub-section Title1,21,Chapter Title1,h21,Heading 211,Titles1,2nd level1,I21,l21,título 21,list 21,1.1.1 heading1,L21,A1"/>
    <w:basedOn w:val="Normal"/>
    <w:next w:val="Normal"/>
    <w:link w:val="Heading2Char"/>
    <w:uiPriority w:val="99"/>
    <w:qFormat/>
    <w:rsid w:val="001B37B4"/>
    <w:pPr>
      <w:keepNext/>
      <w:tabs>
        <w:tab w:val="num" w:pos="360"/>
      </w:tabs>
      <w:spacing w:before="200"/>
      <w:ind w:left="360" w:right="709" w:hanging="360"/>
      <w:outlineLvl w:val="1"/>
    </w:pPr>
    <w:rPr>
      <w:b/>
    </w:rPr>
  </w:style>
  <w:style w:type="paragraph" w:styleId="Heading3">
    <w:name w:val="heading 3"/>
    <w:aliases w:val="h3,3,Sub-sub section Title,Heading 14,H3,Task,Tsk,Criterion,RFP Heading 3,31,Sub-sub section Title1,Heading 141,H31,Task1,Tsk1,Criterion1,RFP Heading 31,32,Sub-sub section Title2,Heading 142,H32,Task2,Tsk2,Criterion2,RFP Heading 32,33"/>
    <w:basedOn w:val="Normal"/>
    <w:next w:val="Normal"/>
    <w:link w:val="Heading3Char"/>
    <w:uiPriority w:val="99"/>
    <w:qFormat/>
    <w:rsid w:val="001B37B4"/>
    <w:pPr>
      <w:keepNext/>
      <w:tabs>
        <w:tab w:val="num" w:pos="1440"/>
      </w:tabs>
      <w:spacing w:before="200"/>
      <w:ind w:left="1440" w:right="709" w:hanging="720"/>
      <w:outlineLvl w:val="2"/>
    </w:pPr>
    <w:rPr>
      <w:b/>
    </w:rPr>
  </w:style>
  <w:style w:type="paragraph" w:styleId="Heading4">
    <w:name w:val="heading 4"/>
    <w:aliases w:val="AlphaList,4,H4,Paragraph Title,AlphaList1,41,H41,Paragraph Title1,Paragraph Title 1,AlphaList2,42,H42,Paragraph Title2,Paragraph Title 2,AlphaList3,43,H43,Paragraph Title3,Paragraph Title 3,AlphaList4,44,H44,AlphaList5,45"/>
    <w:basedOn w:val="Normal"/>
    <w:next w:val="Normal"/>
    <w:link w:val="Heading4Char"/>
    <w:uiPriority w:val="99"/>
    <w:qFormat/>
    <w:rsid w:val="001B37B4"/>
    <w:pPr>
      <w:keepNext/>
      <w:tabs>
        <w:tab w:val="num" w:pos="1080"/>
        <w:tab w:val="num" w:pos="1868"/>
      </w:tabs>
      <w:spacing w:before="240" w:after="60"/>
      <w:ind w:left="2211" w:right="1134" w:hanging="1077"/>
      <w:outlineLvl w:val="3"/>
    </w:pPr>
  </w:style>
  <w:style w:type="paragraph" w:styleId="Heading5">
    <w:name w:val="heading 5"/>
    <w:aliases w:val="Blank 1,5,RFI H5 (Q),Blank 11,51,RFI H5 (Q)1,Blank 12,52,RFI H5 (Q)2,Blank 13,53,RFI H5 (Q)3,Blank 14,54,RFI H5 (Q)4,Blank 15,55,RFI H5 (Q)5,Blank 111,511,RFI H5 (Q)11,Blank 121,521,RFI H5 (Q)21,Blank 131,531,RFI H5 (Q)31,Blank 141,541,56,57"/>
    <w:basedOn w:val="Normal"/>
    <w:next w:val="Normal"/>
    <w:link w:val="Heading5Char"/>
    <w:uiPriority w:val="99"/>
    <w:qFormat/>
    <w:rsid w:val="001B37B4"/>
    <w:pPr>
      <w:tabs>
        <w:tab w:val="num" w:pos="1170"/>
        <w:tab w:val="num" w:pos="1728"/>
      </w:tabs>
      <w:spacing w:before="240" w:after="60"/>
      <w:ind w:left="1170" w:hanging="1170"/>
      <w:outlineLvl w:val="4"/>
    </w:pPr>
  </w:style>
  <w:style w:type="paragraph" w:styleId="Heading6">
    <w:name w:val="heading 6"/>
    <w:aliases w:val="Blank 2,6,RFI H1 (A),Blank 21,61,RFI H1 (A)1,Blank 22,62,RFI H1 (A)2,Blank 23,63,RFI H1 (A)3,Blank 24,64,RFI H1 (A)4,Blank 25,65,RFI H1 (A)5,Blank 211,611,RFI H1 (A)11,Blank 221,621,RFI H1 (A)21,Blank 231,631,RFI H1 (A)31,Blank 241,641,66,67"/>
    <w:basedOn w:val="Normal"/>
    <w:next w:val="Normal"/>
    <w:link w:val="Heading6Char"/>
    <w:uiPriority w:val="99"/>
    <w:qFormat/>
    <w:rsid w:val="001B37B4"/>
    <w:pPr>
      <w:tabs>
        <w:tab w:val="num" w:pos="1350"/>
        <w:tab w:val="num" w:pos="1872"/>
      </w:tabs>
      <w:spacing w:before="240" w:after="60"/>
      <w:ind w:left="1350" w:hanging="1350"/>
      <w:outlineLvl w:val="5"/>
    </w:pPr>
    <w:rPr>
      <w:i/>
    </w:rPr>
  </w:style>
  <w:style w:type="paragraph" w:styleId="Heading7">
    <w:name w:val="heading 7"/>
    <w:aliases w:val="Blank 3,7,Blank 31,71,Blank 32,72,Blank 33,73,Blank 34,74,Blank 35,75,Blank 311,711,Blank 321,721,Blank 331,731,Blank 341,741,Blank 36,76,Blank 37,77,Blank 312,712,Blank 322,722,Blank 332,732,Blank 342,742,Blank 351,751,Blank 3111,7111,7211"/>
    <w:basedOn w:val="Normal"/>
    <w:next w:val="Normal"/>
    <w:link w:val="Heading7Char"/>
    <w:uiPriority w:val="99"/>
    <w:qFormat/>
    <w:rsid w:val="001B37B4"/>
    <w:pPr>
      <w:tabs>
        <w:tab w:val="num" w:pos="1530"/>
        <w:tab w:val="num" w:pos="2016"/>
      </w:tabs>
      <w:spacing w:before="240" w:after="60"/>
      <w:ind w:left="1530" w:hanging="1530"/>
      <w:outlineLvl w:val="6"/>
    </w:pPr>
  </w:style>
  <w:style w:type="paragraph" w:styleId="Heading8">
    <w:name w:val="heading 8"/>
    <w:aliases w:val="Blank 4,8,Condition,RFI H3 (A),Blank 41,81,Condition1,RFI H3 (A)1,Blank 42,82,Condition2,RFI H3 (A)2,Blank 43,83,Condition3,RFI H3 (A)3,Blank 44,84,Condition4,RFI H3 (A)4,Blank 45,85,Condition5,RFI H3 (A)5,Blank 411,811,Condition11,Blank 421"/>
    <w:basedOn w:val="Normal"/>
    <w:next w:val="Normal"/>
    <w:link w:val="Heading8Char"/>
    <w:uiPriority w:val="99"/>
    <w:qFormat/>
    <w:rsid w:val="001B37B4"/>
    <w:pPr>
      <w:tabs>
        <w:tab w:val="num" w:pos="1710"/>
        <w:tab w:val="num" w:pos="2160"/>
      </w:tabs>
      <w:spacing w:before="240" w:after="60"/>
      <w:ind w:left="1710" w:hanging="1710"/>
      <w:outlineLvl w:val="7"/>
    </w:pPr>
    <w:rPr>
      <w:i/>
    </w:rPr>
  </w:style>
  <w:style w:type="paragraph" w:styleId="Heading9">
    <w:name w:val="heading 9"/>
    <w:aliases w:val="Blank 5,9,Cond'l Reqt.,Blank 51,91,Cond'l Reqt.1,Blank 52,92,Cond'l Reqt.2,Blank 53,93,Cond'l Reqt.3,Blank 54,94,Cond'l Reqt.4,Blank 55,95,Cond'l Reqt.5,Blank 511,911,Cond'l Reqt.11,Blank 521,921,Cond'l Reqt.21,Blank 531,931,Cond'l Reqt.31"/>
    <w:basedOn w:val="Normal"/>
    <w:next w:val="Normal"/>
    <w:link w:val="Heading9Char"/>
    <w:uiPriority w:val="99"/>
    <w:qFormat/>
    <w:rsid w:val="001B37B4"/>
    <w:pPr>
      <w:tabs>
        <w:tab w:val="num" w:pos="360"/>
      </w:tabs>
      <w:spacing w:before="240" w:after="60"/>
      <w:ind w:left="360" w:hanging="3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Heading Char,Heading -s2 Char,1 Char,Part Char,Main Section Char,h1 Char,Heading 11 Char,Section Title1 Char,Heading1 Char,Heading -s21 Char,11 Char,Part1 Char,Main Section1 Char,h11 Char,Heading 111 Char,Heading2 Char"/>
    <w:basedOn w:val="DefaultParagraphFont"/>
    <w:link w:val="Heading1"/>
    <w:uiPriority w:val="99"/>
    <w:rsid w:val="00D6636E"/>
    <w:rPr>
      <w:rFonts w:ascii="Arial" w:hAnsi="Arial" w:cs="Arial"/>
      <w:b/>
      <w:color w:val="7E6F62"/>
      <w:kern w:val="28"/>
      <w:sz w:val="24"/>
      <w:szCs w:val="24"/>
      <w:lang w:val="en-GB" w:eastAsia="en-US"/>
    </w:rPr>
  </w:style>
  <w:style w:type="character" w:customStyle="1" w:styleId="Heading2Char">
    <w:name w:val="Heading 2 Char"/>
    <w:aliases w:val="h2 Char,Sub-section Title Char,2 Char,Chapter Title Char,Heading 21 Char,Titles Char,2nd level Char,I2 Char,l2 Char,título 2 Char,list 2 Char,1.1.1 heading Char,L2 Char,A Char,A.B.C. Char,H2 Char,Sub-section Title1 Char,21 Char,h21 Char"/>
    <w:basedOn w:val="DefaultParagraphFont"/>
    <w:link w:val="Heading2"/>
    <w:uiPriority w:val="99"/>
    <w:rsid w:val="00D6636E"/>
    <w:rPr>
      <w:rFonts w:ascii="Arial" w:hAnsi="Arial"/>
      <w:b/>
      <w:sz w:val="20"/>
      <w:szCs w:val="20"/>
      <w:lang w:val="en-GB" w:eastAsia="en-US"/>
    </w:rPr>
  </w:style>
  <w:style w:type="character" w:customStyle="1" w:styleId="Heading3Char">
    <w:name w:val="Heading 3 Char"/>
    <w:aliases w:val="h3 Char,3 Char,Sub-sub section Title Char,Heading 14 Char,H3 Char,Task Char,Tsk Char,Criterion Char,RFP Heading 3 Char,31 Char,Sub-sub section Title1 Char,Heading 141 Char,H31 Char,Task1 Char,Tsk1 Char,Criterion1 Char,RFP Heading 31 Char"/>
    <w:basedOn w:val="DefaultParagraphFont"/>
    <w:link w:val="Heading3"/>
    <w:uiPriority w:val="99"/>
    <w:rsid w:val="00D6636E"/>
    <w:rPr>
      <w:rFonts w:ascii="Arial" w:hAnsi="Arial"/>
      <w:b/>
      <w:sz w:val="20"/>
      <w:szCs w:val="20"/>
      <w:lang w:val="en-GB" w:eastAsia="en-US"/>
    </w:rPr>
  </w:style>
  <w:style w:type="character" w:customStyle="1" w:styleId="Heading4Char">
    <w:name w:val="Heading 4 Char"/>
    <w:aliases w:val="AlphaList Char,4 Char,H4 Char,Paragraph Title Char,AlphaList1 Char,41 Char,H41 Char,Paragraph Title1 Char,Paragraph Title 1 Char,AlphaList2 Char,42 Char,H42 Char,Paragraph Title2 Char,Paragraph Title 2 Char,AlphaList3 Char,43 Char,44 Char"/>
    <w:basedOn w:val="DefaultParagraphFont"/>
    <w:link w:val="Heading4"/>
    <w:uiPriority w:val="99"/>
    <w:rsid w:val="00D6636E"/>
    <w:rPr>
      <w:rFonts w:ascii="Arial" w:hAnsi="Arial"/>
      <w:sz w:val="20"/>
      <w:szCs w:val="20"/>
      <w:lang w:val="en-GB" w:eastAsia="en-US"/>
    </w:rPr>
  </w:style>
  <w:style w:type="character" w:customStyle="1" w:styleId="Heading5Char">
    <w:name w:val="Heading 5 Char"/>
    <w:aliases w:val="Blank 1 Char,5 Char,RFI H5 (Q) Char,Blank 11 Char,51 Char,RFI H5 (Q)1 Char,Blank 12 Char,52 Char,RFI H5 (Q)2 Char,Blank 13 Char,53 Char,RFI H5 (Q)3 Char,Blank 14 Char,54 Char,RFI H5 (Q)4 Char,Blank 15 Char,55 Char,RFI H5 (Q)5 Char,56 Char"/>
    <w:basedOn w:val="DefaultParagraphFont"/>
    <w:link w:val="Heading5"/>
    <w:uiPriority w:val="99"/>
    <w:rsid w:val="00D6636E"/>
    <w:rPr>
      <w:rFonts w:ascii="Arial" w:hAnsi="Arial"/>
      <w:sz w:val="20"/>
      <w:szCs w:val="20"/>
      <w:lang w:val="en-GB" w:eastAsia="en-US"/>
    </w:rPr>
  </w:style>
  <w:style w:type="character" w:customStyle="1" w:styleId="Heading6Char">
    <w:name w:val="Heading 6 Char"/>
    <w:aliases w:val="Blank 2 Char,6 Char,RFI H1 (A) Char,Blank 21 Char,61 Char,RFI H1 (A)1 Char,Blank 22 Char,62 Char,RFI H1 (A)2 Char,Blank 23 Char,63 Char,RFI H1 (A)3 Char,Blank 24 Char,64 Char,RFI H1 (A)4 Char,Blank 25 Char,65 Char,RFI H1 (A)5 Char,66 Char"/>
    <w:basedOn w:val="DefaultParagraphFont"/>
    <w:link w:val="Heading6"/>
    <w:uiPriority w:val="99"/>
    <w:rsid w:val="00D6636E"/>
    <w:rPr>
      <w:rFonts w:ascii="Arial" w:hAnsi="Arial"/>
      <w:i/>
      <w:sz w:val="20"/>
      <w:szCs w:val="20"/>
      <w:lang w:val="en-GB" w:eastAsia="en-US"/>
    </w:rPr>
  </w:style>
  <w:style w:type="character" w:customStyle="1" w:styleId="Heading7Char">
    <w:name w:val="Heading 7 Char"/>
    <w:aliases w:val="Blank 3 Char,7 Char,Blank 31 Char,71 Char,Blank 32 Char,72 Char,Blank 33 Char,73 Char,Blank 34 Char,74 Char,Blank 35 Char,75 Char,Blank 311 Char,711 Char,Blank 321 Char,721 Char,Blank 331 Char,731 Char,Blank 341 Char,741 Char,76 Char"/>
    <w:basedOn w:val="DefaultParagraphFont"/>
    <w:link w:val="Heading7"/>
    <w:uiPriority w:val="99"/>
    <w:rsid w:val="00D6636E"/>
    <w:rPr>
      <w:rFonts w:ascii="Arial" w:hAnsi="Arial"/>
      <w:sz w:val="20"/>
      <w:szCs w:val="20"/>
      <w:lang w:val="en-GB" w:eastAsia="en-US"/>
    </w:rPr>
  </w:style>
  <w:style w:type="character" w:customStyle="1" w:styleId="Heading8Char">
    <w:name w:val="Heading 8 Char"/>
    <w:aliases w:val="Blank 4 Char,8 Char,Condition Char,RFI H3 (A) Char,Blank 41 Char,81 Char,Condition1 Char,RFI H3 (A)1 Char,Blank 42 Char,82 Char,Condition2 Char,RFI H3 (A)2 Char,Blank 43 Char,83 Char,Condition3 Char,RFI H3 (A)3 Char,Blank 44 Char,84 Char"/>
    <w:basedOn w:val="DefaultParagraphFont"/>
    <w:link w:val="Heading8"/>
    <w:uiPriority w:val="99"/>
    <w:rsid w:val="00D6636E"/>
    <w:rPr>
      <w:rFonts w:ascii="Arial" w:hAnsi="Arial"/>
      <w:i/>
      <w:sz w:val="20"/>
      <w:szCs w:val="20"/>
      <w:lang w:val="en-GB" w:eastAsia="en-US"/>
    </w:rPr>
  </w:style>
  <w:style w:type="character" w:customStyle="1" w:styleId="Heading9Char">
    <w:name w:val="Heading 9 Char"/>
    <w:aliases w:val="Blank 5 Char,9 Char,Cond'l Reqt. Char,Blank 51 Char,91 Char,Cond'l Reqt.1 Char,Blank 52 Char,92 Char,Cond'l Reqt.2 Char,Blank 53 Char,93 Char,Cond'l Reqt.3 Char,Blank 54 Char,94 Char,Cond'l Reqt.4 Char,Blank 55 Char,95 Char,Blank 511 Char"/>
    <w:basedOn w:val="DefaultParagraphFont"/>
    <w:link w:val="Heading9"/>
    <w:uiPriority w:val="99"/>
    <w:rsid w:val="00D6636E"/>
    <w:rPr>
      <w:rFonts w:ascii="Arial" w:hAnsi="Arial"/>
      <w:b/>
      <w:i/>
      <w:sz w:val="20"/>
      <w:szCs w:val="20"/>
      <w:lang w:val="en-GB" w:eastAsia="en-US"/>
    </w:rPr>
  </w:style>
  <w:style w:type="paragraph" w:styleId="TOC4">
    <w:name w:val="toc 4"/>
    <w:basedOn w:val="Normal"/>
    <w:next w:val="Normal"/>
    <w:uiPriority w:val="99"/>
    <w:semiHidden/>
    <w:rsid w:val="001B37B4"/>
    <w:pPr>
      <w:tabs>
        <w:tab w:val="right" w:leader="dot" w:pos="8820"/>
      </w:tabs>
      <w:ind w:left="1620" w:hanging="900"/>
    </w:pPr>
    <w:rPr>
      <w:noProof/>
    </w:rPr>
  </w:style>
  <w:style w:type="paragraph" w:customStyle="1" w:styleId="Tableheader">
    <w:name w:val="Table header"/>
    <w:basedOn w:val="Normal"/>
    <w:uiPriority w:val="99"/>
    <w:rsid w:val="001B37B4"/>
    <w:pPr>
      <w:spacing w:before="60" w:after="60"/>
      <w:ind w:left="0" w:right="-108"/>
    </w:pPr>
    <w:rPr>
      <w:b/>
      <w:sz w:val="22"/>
    </w:rPr>
  </w:style>
  <w:style w:type="character" w:styleId="PageNumber">
    <w:name w:val="page number"/>
    <w:basedOn w:val="DefaultParagraphFont"/>
    <w:uiPriority w:val="99"/>
    <w:rsid w:val="001B37B4"/>
    <w:rPr>
      <w:rFonts w:ascii="Arial" w:hAnsi="Arial" w:cs="Times New Roman"/>
      <w:sz w:val="20"/>
    </w:rPr>
  </w:style>
  <w:style w:type="paragraph" w:styleId="TOC2">
    <w:name w:val="toc 2"/>
    <w:basedOn w:val="Normal"/>
    <w:next w:val="Normal"/>
    <w:uiPriority w:val="39"/>
    <w:rsid w:val="001B37B4"/>
    <w:pPr>
      <w:tabs>
        <w:tab w:val="left" w:pos="1985"/>
        <w:tab w:val="right" w:leader="dot" w:pos="8820"/>
      </w:tabs>
      <w:ind w:left="1985" w:right="2126" w:hanging="851"/>
    </w:pPr>
    <w:rPr>
      <w:noProof/>
    </w:rPr>
  </w:style>
  <w:style w:type="paragraph" w:styleId="TOC1">
    <w:name w:val="toc 1"/>
    <w:basedOn w:val="Normal"/>
    <w:next w:val="Normal"/>
    <w:uiPriority w:val="39"/>
    <w:rsid w:val="001B37B4"/>
    <w:pPr>
      <w:tabs>
        <w:tab w:val="left" w:pos="1985"/>
        <w:tab w:val="right" w:leader="dot" w:pos="8820"/>
      </w:tabs>
      <w:spacing w:before="240" w:after="40"/>
      <w:ind w:left="1985" w:right="2126" w:hanging="851"/>
    </w:pPr>
    <w:rPr>
      <w:b/>
      <w:noProof/>
    </w:rPr>
  </w:style>
  <w:style w:type="paragraph" w:customStyle="1" w:styleId="Tabletext">
    <w:name w:val="Table text"/>
    <w:basedOn w:val="Tableheader"/>
    <w:uiPriority w:val="99"/>
    <w:rsid w:val="001B37B4"/>
    <w:rPr>
      <w:b w:val="0"/>
      <w:sz w:val="20"/>
    </w:rPr>
  </w:style>
  <w:style w:type="paragraph" w:styleId="TOC3">
    <w:name w:val="toc 3"/>
    <w:basedOn w:val="Normal"/>
    <w:next w:val="Normal"/>
    <w:uiPriority w:val="99"/>
    <w:semiHidden/>
    <w:rsid w:val="001B37B4"/>
    <w:pPr>
      <w:tabs>
        <w:tab w:val="left" w:pos="1985"/>
        <w:tab w:val="right" w:leader="dot" w:pos="8820"/>
      </w:tabs>
      <w:ind w:left="1985" w:right="2126" w:hanging="851"/>
    </w:pPr>
    <w:rPr>
      <w:noProof/>
    </w:rPr>
  </w:style>
  <w:style w:type="paragraph" w:styleId="ListBullet">
    <w:name w:val="List Bullet"/>
    <w:basedOn w:val="Normal"/>
    <w:uiPriority w:val="99"/>
    <w:rsid w:val="001B37B4"/>
    <w:pPr>
      <w:widowControl w:val="0"/>
      <w:numPr>
        <w:numId w:val="2"/>
      </w:numPr>
      <w:tabs>
        <w:tab w:val="clear" w:pos="360"/>
        <w:tab w:val="left" w:pos="1418"/>
      </w:tabs>
      <w:spacing w:before="60" w:after="20"/>
      <w:ind w:left="1418" w:right="1134" w:hanging="284"/>
    </w:pPr>
  </w:style>
  <w:style w:type="paragraph" w:styleId="ListBullet2">
    <w:name w:val="List Bullet 2"/>
    <w:basedOn w:val="Normal"/>
    <w:uiPriority w:val="99"/>
    <w:rsid w:val="001B37B4"/>
    <w:pPr>
      <w:widowControl w:val="0"/>
      <w:spacing w:before="60" w:after="20"/>
      <w:ind w:left="1702" w:right="1418" w:hanging="284"/>
    </w:pPr>
  </w:style>
  <w:style w:type="paragraph" w:styleId="ListNumber">
    <w:name w:val="List Number"/>
    <w:basedOn w:val="Normal"/>
    <w:uiPriority w:val="99"/>
    <w:rsid w:val="001B37B4"/>
    <w:pPr>
      <w:numPr>
        <w:numId w:val="1"/>
      </w:numPr>
      <w:spacing w:before="60" w:after="20"/>
      <w:ind w:left="1418" w:right="1134" w:hanging="284"/>
    </w:pPr>
  </w:style>
  <w:style w:type="paragraph" w:styleId="TOC5">
    <w:name w:val="toc 5"/>
    <w:basedOn w:val="Normal"/>
    <w:next w:val="Normal"/>
    <w:uiPriority w:val="99"/>
    <w:semiHidden/>
    <w:rsid w:val="001B37B4"/>
    <w:pPr>
      <w:tabs>
        <w:tab w:val="right" w:leader="dot" w:pos="8820"/>
      </w:tabs>
      <w:ind w:left="2160" w:hanging="1195"/>
    </w:pPr>
    <w:rPr>
      <w:noProof/>
    </w:rPr>
  </w:style>
  <w:style w:type="paragraph" w:styleId="TOC6">
    <w:name w:val="toc 6"/>
    <w:basedOn w:val="Normal"/>
    <w:next w:val="Normal"/>
    <w:uiPriority w:val="99"/>
    <w:semiHidden/>
    <w:rsid w:val="001B37B4"/>
    <w:pPr>
      <w:tabs>
        <w:tab w:val="right" w:leader="dot" w:pos="8820"/>
      </w:tabs>
      <w:ind w:left="2610" w:hanging="1415"/>
    </w:pPr>
    <w:rPr>
      <w:noProof/>
    </w:rPr>
  </w:style>
  <w:style w:type="paragraph" w:styleId="TOC7">
    <w:name w:val="toc 7"/>
    <w:basedOn w:val="Normal"/>
    <w:next w:val="Normal"/>
    <w:uiPriority w:val="99"/>
    <w:semiHidden/>
    <w:rsid w:val="001B37B4"/>
    <w:pPr>
      <w:tabs>
        <w:tab w:val="right" w:leader="dot" w:pos="8820"/>
      </w:tabs>
      <w:ind w:left="3060" w:hanging="1620"/>
    </w:pPr>
    <w:rPr>
      <w:noProof/>
    </w:rPr>
  </w:style>
  <w:style w:type="paragraph" w:styleId="TOC8">
    <w:name w:val="toc 8"/>
    <w:basedOn w:val="Normal"/>
    <w:next w:val="Normal"/>
    <w:uiPriority w:val="99"/>
    <w:semiHidden/>
    <w:rsid w:val="001B37B4"/>
    <w:pPr>
      <w:tabs>
        <w:tab w:val="right" w:leader="dot" w:pos="8820"/>
      </w:tabs>
      <w:ind w:left="3420" w:hanging="1735"/>
    </w:pPr>
    <w:rPr>
      <w:noProof/>
    </w:rPr>
  </w:style>
  <w:style w:type="paragraph" w:styleId="TOC9">
    <w:name w:val="toc 9"/>
    <w:basedOn w:val="Normal"/>
    <w:next w:val="Normal"/>
    <w:uiPriority w:val="99"/>
    <w:semiHidden/>
    <w:rsid w:val="001B37B4"/>
    <w:pPr>
      <w:tabs>
        <w:tab w:val="right" w:leader="dot" w:pos="8820"/>
      </w:tabs>
      <w:ind w:left="3960" w:hanging="2045"/>
    </w:pPr>
    <w:rPr>
      <w:noProof/>
    </w:rPr>
  </w:style>
  <w:style w:type="paragraph" w:styleId="Header">
    <w:name w:val="header"/>
    <w:basedOn w:val="Normal"/>
    <w:link w:val="HeaderChar"/>
    <w:uiPriority w:val="99"/>
    <w:rsid w:val="001B37B4"/>
    <w:pPr>
      <w:tabs>
        <w:tab w:val="center" w:pos="4153"/>
        <w:tab w:val="right" w:pos="8306"/>
      </w:tabs>
      <w:ind w:left="0" w:right="0"/>
    </w:pPr>
    <w:rPr>
      <w:sz w:val="28"/>
    </w:rPr>
  </w:style>
  <w:style w:type="character" w:customStyle="1" w:styleId="HeaderChar">
    <w:name w:val="Header Char"/>
    <w:basedOn w:val="DefaultParagraphFont"/>
    <w:link w:val="Header"/>
    <w:uiPriority w:val="99"/>
    <w:semiHidden/>
    <w:rsid w:val="00D6636E"/>
    <w:rPr>
      <w:rFonts w:ascii="Arial" w:hAnsi="Arial"/>
      <w:sz w:val="20"/>
      <w:szCs w:val="20"/>
      <w:lang w:val="en-GB" w:eastAsia="en-US"/>
    </w:rPr>
  </w:style>
  <w:style w:type="paragraph" w:styleId="Footer">
    <w:name w:val="footer"/>
    <w:basedOn w:val="Normal"/>
    <w:link w:val="FooterChar"/>
    <w:uiPriority w:val="99"/>
    <w:rsid w:val="001B37B4"/>
    <w:pPr>
      <w:tabs>
        <w:tab w:val="center" w:pos="4153"/>
        <w:tab w:val="right" w:pos="8306"/>
      </w:tabs>
    </w:pPr>
    <w:rPr>
      <w:sz w:val="18"/>
    </w:rPr>
  </w:style>
  <w:style w:type="character" w:customStyle="1" w:styleId="FooterChar">
    <w:name w:val="Footer Char"/>
    <w:basedOn w:val="DefaultParagraphFont"/>
    <w:link w:val="Footer"/>
    <w:uiPriority w:val="99"/>
    <w:semiHidden/>
    <w:rsid w:val="00D6636E"/>
    <w:rPr>
      <w:rFonts w:ascii="Arial" w:hAnsi="Arial"/>
      <w:sz w:val="20"/>
      <w:szCs w:val="20"/>
      <w:lang w:val="en-GB" w:eastAsia="en-US"/>
    </w:rPr>
  </w:style>
  <w:style w:type="paragraph" w:customStyle="1" w:styleId="Documenttitle">
    <w:name w:val="Document title"/>
    <w:next w:val="Normal"/>
    <w:uiPriority w:val="99"/>
    <w:rsid w:val="001B37B4"/>
    <w:pPr>
      <w:spacing w:before="800"/>
      <w:ind w:left="3261" w:right="709"/>
    </w:pPr>
    <w:rPr>
      <w:rFonts w:ascii="Arial" w:eastAsia="Times New Roman" w:hAnsi="Arial"/>
      <w:color w:val="000080"/>
      <w:sz w:val="48"/>
      <w:szCs w:val="20"/>
      <w:lang w:val="en-GB" w:eastAsia="en-US"/>
    </w:rPr>
  </w:style>
  <w:style w:type="paragraph" w:customStyle="1" w:styleId="Doctitlewhite">
    <w:name w:val="Doc title white"/>
    <w:basedOn w:val="Normal"/>
    <w:uiPriority w:val="99"/>
    <w:rsid w:val="001B37B4"/>
    <w:rPr>
      <w:color w:val="FFFFFF"/>
      <w:sz w:val="50"/>
    </w:rPr>
  </w:style>
  <w:style w:type="paragraph" w:customStyle="1" w:styleId="sub-headingcover">
    <w:name w:val="sub-heading cover"/>
    <w:basedOn w:val="Normal"/>
    <w:uiPriority w:val="99"/>
    <w:rsid w:val="001B37B4"/>
    <w:pPr>
      <w:ind w:left="3261" w:right="709"/>
    </w:pPr>
    <w:rPr>
      <w:b/>
      <w:noProof/>
    </w:rPr>
  </w:style>
  <w:style w:type="paragraph" w:styleId="BodyText">
    <w:name w:val="Body Text"/>
    <w:basedOn w:val="Normal"/>
    <w:link w:val="BodyTextChar"/>
    <w:uiPriority w:val="99"/>
    <w:rsid w:val="001B37B4"/>
    <w:pPr>
      <w:ind w:left="0"/>
    </w:pPr>
  </w:style>
  <w:style w:type="character" w:customStyle="1" w:styleId="BodyTextChar">
    <w:name w:val="Body Text Char"/>
    <w:basedOn w:val="DefaultParagraphFont"/>
    <w:link w:val="BodyText"/>
    <w:uiPriority w:val="99"/>
    <w:semiHidden/>
    <w:rsid w:val="00D6636E"/>
    <w:rPr>
      <w:rFonts w:ascii="Arial" w:hAnsi="Arial"/>
      <w:sz w:val="20"/>
      <w:szCs w:val="20"/>
      <w:lang w:val="en-GB" w:eastAsia="en-US"/>
    </w:rPr>
  </w:style>
  <w:style w:type="paragraph" w:customStyle="1" w:styleId="Figure">
    <w:name w:val="Figure"/>
    <w:basedOn w:val="Normal"/>
    <w:uiPriority w:val="99"/>
    <w:rsid w:val="001B37B4"/>
    <w:pPr>
      <w:spacing w:before="100" w:after="80"/>
      <w:ind w:right="709"/>
      <w:jc w:val="center"/>
    </w:pPr>
    <w:rPr>
      <w:i/>
    </w:rPr>
  </w:style>
  <w:style w:type="character" w:styleId="Hyperlink">
    <w:name w:val="Hyperlink"/>
    <w:basedOn w:val="DefaultParagraphFont"/>
    <w:uiPriority w:val="99"/>
    <w:rsid w:val="001B37B4"/>
    <w:rPr>
      <w:rFonts w:ascii="Arial" w:hAnsi="Arial" w:cs="Times New Roman"/>
      <w:color w:val="0000FF"/>
      <w:u w:val="single"/>
    </w:rPr>
  </w:style>
  <w:style w:type="paragraph" w:customStyle="1" w:styleId="Document1">
    <w:name w:val="Document 1"/>
    <w:uiPriority w:val="99"/>
    <w:rsid w:val="001B37B4"/>
    <w:pPr>
      <w:keepNext/>
      <w:keepLines/>
      <w:widowControl w:val="0"/>
      <w:tabs>
        <w:tab w:val="left" w:pos="-720"/>
      </w:tabs>
      <w:suppressAutoHyphens/>
    </w:pPr>
    <w:rPr>
      <w:rFonts w:ascii="Arial" w:eastAsia="Times New Roman" w:hAnsi="Arial"/>
      <w:sz w:val="20"/>
      <w:szCs w:val="20"/>
    </w:rPr>
  </w:style>
  <w:style w:type="paragraph" w:styleId="BodyText2">
    <w:name w:val="Body Text 2"/>
    <w:basedOn w:val="Normal"/>
    <w:link w:val="BodyText2Char"/>
    <w:uiPriority w:val="99"/>
    <w:rsid w:val="001B37B4"/>
    <w:pPr>
      <w:spacing w:after="120" w:line="480" w:lineRule="auto"/>
    </w:pPr>
  </w:style>
  <w:style w:type="character" w:customStyle="1" w:styleId="BodyText2Char">
    <w:name w:val="Body Text 2 Char"/>
    <w:basedOn w:val="DefaultParagraphFont"/>
    <w:link w:val="BodyText2"/>
    <w:uiPriority w:val="99"/>
    <w:semiHidden/>
    <w:rsid w:val="00D6636E"/>
    <w:rPr>
      <w:rFonts w:ascii="Arial" w:hAnsi="Arial"/>
      <w:sz w:val="20"/>
      <w:szCs w:val="20"/>
      <w:lang w:val="en-GB" w:eastAsia="en-US"/>
    </w:rPr>
  </w:style>
  <w:style w:type="paragraph" w:styleId="BalloonText">
    <w:name w:val="Balloon Text"/>
    <w:basedOn w:val="Normal"/>
    <w:link w:val="BalloonTextChar"/>
    <w:uiPriority w:val="99"/>
    <w:semiHidden/>
    <w:rsid w:val="001B37B4"/>
    <w:rPr>
      <w:rFonts w:ascii="Tahoma" w:hAnsi="Tahoma" w:cs="Tahoma"/>
      <w:sz w:val="16"/>
      <w:szCs w:val="16"/>
    </w:rPr>
  </w:style>
  <w:style w:type="character" w:customStyle="1" w:styleId="BalloonTextChar">
    <w:name w:val="Balloon Text Char"/>
    <w:basedOn w:val="DefaultParagraphFont"/>
    <w:link w:val="BalloonText"/>
    <w:uiPriority w:val="99"/>
    <w:semiHidden/>
    <w:rsid w:val="00D6636E"/>
    <w:rPr>
      <w:rFonts w:ascii="Times New Roman" w:hAnsi="Times New Roman"/>
      <w:sz w:val="0"/>
      <w:szCs w:val="0"/>
      <w:lang w:val="en-GB" w:eastAsia="en-US"/>
    </w:rPr>
  </w:style>
  <w:style w:type="paragraph" w:styleId="BodyTextIndent">
    <w:name w:val="Body Text Indent"/>
    <w:basedOn w:val="Normal"/>
    <w:link w:val="BodyTextIndentChar"/>
    <w:uiPriority w:val="99"/>
    <w:rsid w:val="001B37B4"/>
    <w:pPr>
      <w:spacing w:before="0"/>
      <w:ind w:left="288" w:right="0" w:hanging="288"/>
    </w:pPr>
    <w:rPr>
      <w:rFonts w:eastAsia="MS Mincho" w:cs="Arial"/>
      <w:sz w:val="18"/>
      <w:szCs w:val="18"/>
      <w:lang w:val="en-US" w:eastAsia="ja-JP"/>
    </w:rPr>
  </w:style>
  <w:style w:type="character" w:customStyle="1" w:styleId="BodyTextIndentChar">
    <w:name w:val="Body Text Indent Char"/>
    <w:basedOn w:val="DefaultParagraphFont"/>
    <w:link w:val="BodyTextIndent"/>
    <w:uiPriority w:val="99"/>
    <w:semiHidden/>
    <w:rsid w:val="00D6636E"/>
    <w:rPr>
      <w:rFonts w:ascii="Arial" w:hAnsi="Arial"/>
      <w:sz w:val="20"/>
      <w:szCs w:val="20"/>
      <w:lang w:val="en-GB" w:eastAsia="en-US"/>
    </w:rPr>
  </w:style>
  <w:style w:type="table" w:styleId="TableGrid">
    <w:name w:val="Table Grid"/>
    <w:basedOn w:val="TableNormal"/>
    <w:uiPriority w:val="99"/>
    <w:rsid w:val="001B37B4"/>
    <w:pPr>
      <w:widowControl w:val="0"/>
    </w:pPr>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1B37B4"/>
    <w:pPr>
      <w:spacing w:before="120" w:after="60"/>
      <w:ind w:left="340" w:right="301"/>
    </w:pPr>
    <w:rPr>
      <w:rFonts w:eastAsia="Times New Roman"/>
      <w:lang w:val="en-US"/>
    </w:rPr>
  </w:style>
  <w:style w:type="character" w:styleId="CommentReference">
    <w:name w:val="annotation reference"/>
    <w:basedOn w:val="DefaultParagraphFont"/>
    <w:uiPriority w:val="99"/>
    <w:semiHidden/>
    <w:rsid w:val="001B37B4"/>
    <w:rPr>
      <w:rFonts w:cs="Times New Roman"/>
      <w:sz w:val="16"/>
      <w:szCs w:val="16"/>
    </w:rPr>
  </w:style>
  <w:style w:type="paragraph" w:styleId="CommentText">
    <w:name w:val="annotation text"/>
    <w:basedOn w:val="Normal"/>
    <w:link w:val="CommentTextChar"/>
    <w:uiPriority w:val="99"/>
    <w:semiHidden/>
    <w:rsid w:val="001B37B4"/>
  </w:style>
  <w:style w:type="character" w:customStyle="1" w:styleId="CommentTextChar">
    <w:name w:val="Comment Text Char"/>
    <w:basedOn w:val="DefaultParagraphFont"/>
    <w:link w:val="CommentText"/>
    <w:uiPriority w:val="99"/>
    <w:semiHidden/>
    <w:rsid w:val="00D6636E"/>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1B37B4"/>
    <w:rPr>
      <w:b/>
      <w:bCs/>
    </w:rPr>
  </w:style>
  <w:style w:type="character" w:customStyle="1" w:styleId="CommentSubjectChar">
    <w:name w:val="Comment Subject Char"/>
    <w:basedOn w:val="CommentTextChar"/>
    <w:link w:val="CommentSubject"/>
    <w:uiPriority w:val="99"/>
    <w:semiHidden/>
    <w:rsid w:val="00D6636E"/>
    <w:rPr>
      <w:rFonts w:ascii="Arial" w:hAnsi="Arial"/>
      <w:b/>
      <w:bCs/>
      <w:sz w:val="20"/>
      <w:szCs w:val="20"/>
      <w:lang w:val="en-GB" w:eastAsia="en-US"/>
    </w:rPr>
  </w:style>
  <w:style w:type="paragraph" w:customStyle="1" w:styleId="Normal1">
    <w:name w:val="Normal1"/>
    <w:basedOn w:val="Normal"/>
    <w:uiPriority w:val="99"/>
    <w:rsid w:val="001B37B4"/>
    <w:pPr>
      <w:keepLines/>
      <w:spacing w:before="0" w:after="140" w:line="280" w:lineRule="atLeast"/>
      <w:ind w:left="1080" w:right="1"/>
      <w:jc w:val="both"/>
    </w:pPr>
    <w:rPr>
      <w:rFonts w:eastAsia="Times New Roman"/>
      <w:lang w:val="en-US" w:eastAsia="ja-JP"/>
    </w:rPr>
  </w:style>
  <w:style w:type="paragraph" w:styleId="PlainText">
    <w:name w:val="Plain Text"/>
    <w:basedOn w:val="Normal"/>
    <w:link w:val="PlainTextChar"/>
    <w:uiPriority w:val="99"/>
    <w:rsid w:val="001B37B4"/>
    <w:pPr>
      <w:spacing w:before="140"/>
      <w:ind w:left="0" w:right="0"/>
    </w:pPr>
    <w:rPr>
      <w:rFonts w:cs="Courier New"/>
    </w:rPr>
  </w:style>
  <w:style w:type="character" w:customStyle="1" w:styleId="PlainTextChar">
    <w:name w:val="Plain Text Char"/>
    <w:basedOn w:val="DefaultParagraphFont"/>
    <w:link w:val="PlainText"/>
    <w:uiPriority w:val="99"/>
    <w:semiHidden/>
    <w:rsid w:val="00D6636E"/>
    <w:rPr>
      <w:rFonts w:ascii="Courier New" w:hAnsi="Courier New" w:cs="Courier New"/>
      <w:sz w:val="20"/>
      <w:szCs w:val="20"/>
      <w:lang w:val="en-GB" w:eastAsia="en-US"/>
    </w:rPr>
  </w:style>
  <w:style w:type="paragraph" w:customStyle="1" w:styleId="Default">
    <w:name w:val="Default"/>
    <w:uiPriority w:val="99"/>
    <w:rsid w:val="001B37B4"/>
    <w:pPr>
      <w:autoSpaceDE w:val="0"/>
      <w:autoSpaceDN w:val="0"/>
      <w:adjustRightInd w:val="0"/>
    </w:pPr>
    <w:rPr>
      <w:rFonts w:ascii="Arial" w:hAnsi="Arial" w:cs="Arial"/>
      <w:color w:val="000000"/>
      <w:sz w:val="24"/>
      <w:szCs w:val="24"/>
      <w:lang w:eastAsia="en-US"/>
    </w:rPr>
  </w:style>
  <w:style w:type="paragraph" w:styleId="Title">
    <w:name w:val="Title"/>
    <w:basedOn w:val="Normal"/>
    <w:next w:val="Normal"/>
    <w:link w:val="TitleChar"/>
    <w:uiPriority w:val="99"/>
    <w:qFormat/>
    <w:rsid w:val="001B37B4"/>
    <w:pPr>
      <w:spacing w:before="240" w:after="60"/>
      <w:ind w:left="0" w:right="96"/>
      <w:outlineLvl w:val="0"/>
    </w:pPr>
    <w:rPr>
      <w:rFonts w:eastAsia="Times New Roman" w:cs="Arial"/>
      <w:b/>
      <w:bCs/>
      <w:color w:val="7E6F62"/>
      <w:kern w:val="28"/>
      <w:sz w:val="28"/>
      <w:szCs w:val="28"/>
    </w:rPr>
  </w:style>
  <w:style w:type="character" w:customStyle="1" w:styleId="TitleChar">
    <w:name w:val="Title Char"/>
    <w:basedOn w:val="DefaultParagraphFont"/>
    <w:link w:val="Title"/>
    <w:uiPriority w:val="99"/>
    <w:locked/>
    <w:rsid w:val="001B37B4"/>
    <w:rPr>
      <w:rFonts w:ascii="Arial" w:hAnsi="Arial" w:cs="Arial"/>
      <w:b/>
      <w:bCs/>
      <w:color w:val="7E6F62"/>
      <w:kern w:val="28"/>
      <w:sz w:val="28"/>
      <w:szCs w:val="28"/>
      <w:lang w:val="en-GB"/>
    </w:rPr>
  </w:style>
  <w:style w:type="character" w:styleId="Emphasis">
    <w:name w:val="Emphasis"/>
    <w:basedOn w:val="DefaultParagraphFont"/>
    <w:uiPriority w:val="99"/>
    <w:qFormat/>
    <w:rsid w:val="001B37B4"/>
    <w:rPr>
      <w:rFonts w:ascii="Arial" w:hAnsi="Arial" w:cs="Times New Roman"/>
      <w:i/>
      <w:iCs/>
      <w:color w:val="auto"/>
      <w:sz w:val="20"/>
    </w:rPr>
  </w:style>
  <w:style w:type="character" w:styleId="Strong">
    <w:name w:val="Strong"/>
    <w:basedOn w:val="DefaultParagraphFont"/>
    <w:uiPriority w:val="99"/>
    <w:qFormat/>
    <w:rsid w:val="001B37B4"/>
    <w:rPr>
      <w:rFonts w:ascii="Arial" w:hAnsi="Arial" w:cs="Times New Roman"/>
      <w:b/>
      <w:bCs/>
    </w:rPr>
  </w:style>
  <w:style w:type="paragraph" w:styleId="Subtitle">
    <w:name w:val="Subtitle"/>
    <w:basedOn w:val="Normal"/>
    <w:next w:val="Normal"/>
    <w:link w:val="SubtitleChar"/>
    <w:uiPriority w:val="99"/>
    <w:qFormat/>
    <w:rsid w:val="001B37B4"/>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99"/>
    <w:locked/>
    <w:rsid w:val="001B37B4"/>
    <w:rPr>
      <w:rFonts w:ascii="Arial" w:hAnsi="Arial" w:cs="Times New Roman"/>
      <w:sz w:val="24"/>
      <w:szCs w:val="24"/>
      <w:lang w:val="en-GB"/>
    </w:rPr>
  </w:style>
  <w:style w:type="paragraph" w:styleId="NoSpacing">
    <w:name w:val="No Spacing"/>
    <w:uiPriority w:val="99"/>
    <w:qFormat/>
    <w:rsid w:val="001B37B4"/>
    <w:pPr>
      <w:ind w:left="1134" w:right="708"/>
    </w:pPr>
    <w:rPr>
      <w:rFonts w:ascii="Arial" w:hAnsi="Arial"/>
      <w:sz w:val="20"/>
      <w:szCs w:val="20"/>
      <w:lang w:val="en-GB" w:eastAsia="en-US"/>
    </w:rPr>
  </w:style>
  <w:style w:type="character" w:styleId="SubtleEmphasis">
    <w:name w:val="Subtle Emphasis"/>
    <w:basedOn w:val="DefaultParagraphFont"/>
    <w:uiPriority w:val="99"/>
    <w:qFormat/>
    <w:rsid w:val="001B37B4"/>
    <w:rPr>
      <w:rFonts w:ascii="Arial" w:hAnsi="Arial" w:cs="Times New Roman"/>
      <w:i/>
      <w:iCs/>
      <w:color w:val="auto"/>
    </w:rPr>
  </w:style>
  <w:style w:type="character" w:styleId="IntenseEmphasis">
    <w:name w:val="Intense Emphasis"/>
    <w:basedOn w:val="DefaultParagraphFont"/>
    <w:uiPriority w:val="99"/>
    <w:qFormat/>
    <w:rsid w:val="001B37B4"/>
    <w:rPr>
      <w:rFonts w:ascii="Arial" w:hAnsi="Arial" w:cs="Times New Roman"/>
      <w:b/>
      <w:bCs/>
      <w:i/>
      <w:iCs/>
      <w:color w:val="auto"/>
    </w:rPr>
  </w:style>
  <w:style w:type="paragraph" w:styleId="IntenseQuote">
    <w:name w:val="Intense Quote"/>
    <w:basedOn w:val="Normal"/>
    <w:next w:val="Normal"/>
    <w:link w:val="IntenseQuoteChar"/>
    <w:uiPriority w:val="99"/>
    <w:qFormat/>
    <w:rsid w:val="001B37B4"/>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1B37B4"/>
    <w:rPr>
      <w:rFonts w:ascii="Arial" w:hAnsi="Arial" w:cs="Times New Roman"/>
      <w:b/>
      <w:bCs/>
      <w:i/>
      <w:iCs/>
      <w:lang w:val="en-GB"/>
    </w:rPr>
  </w:style>
  <w:style w:type="character" w:styleId="SubtleReference">
    <w:name w:val="Subtle Reference"/>
    <w:basedOn w:val="DefaultParagraphFont"/>
    <w:uiPriority w:val="99"/>
    <w:qFormat/>
    <w:rsid w:val="001B37B4"/>
    <w:rPr>
      <w:rFonts w:ascii="Arial" w:hAnsi="Arial" w:cs="Times New Roman"/>
      <w:smallCaps/>
      <w:color w:val="auto"/>
      <w:u w:val="single"/>
    </w:rPr>
  </w:style>
  <w:style w:type="character" w:styleId="IntenseReference">
    <w:name w:val="Intense Reference"/>
    <w:basedOn w:val="DefaultParagraphFont"/>
    <w:uiPriority w:val="99"/>
    <w:qFormat/>
    <w:rsid w:val="001B37B4"/>
    <w:rPr>
      <w:rFonts w:ascii="Arial" w:hAnsi="Arial" w:cs="Times New Roman"/>
      <w:b/>
      <w:bCs/>
      <w:smallCaps/>
      <w:color w:val="auto"/>
      <w:spacing w:val="5"/>
      <w:u w:val="single"/>
    </w:rPr>
  </w:style>
  <w:style w:type="character" w:styleId="BookTitle">
    <w:name w:val="Book Title"/>
    <w:basedOn w:val="DefaultParagraphFont"/>
    <w:uiPriority w:val="99"/>
    <w:qFormat/>
    <w:rsid w:val="001B37B4"/>
    <w:rPr>
      <w:rFonts w:ascii="Arial" w:hAnsi="Arial" w:cs="Times New Roman"/>
      <w:b/>
      <w:bCs/>
      <w:smallCaps/>
      <w:spacing w:val="5"/>
    </w:rPr>
  </w:style>
  <w:style w:type="character" w:styleId="PlaceholderText">
    <w:name w:val="Placeholder Text"/>
    <w:basedOn w:val="DefaultParagraphFont"/>
    <w:uiPriority w:val="99"/>
    <w:semiHidden/>
    <w:rsid w:val="001B37B4"/>
    <w:rPr>
      <w:rFonts w:cs="Times New Roman"/>
      <w:color w:val="808080"/>
    </w:rPr>
  </w:style>
  <w:style w:type="paragraph" w:styleId="FootnoteText">
    <w:name w:val="footnote text"/>
    <w:basedOn w:val="Normal"/>
    <w:link w:val="FootnoteTextChar"/>
    <w:uiPriority w:val="99"/>
    <w:rsid w:val="00555624"/>
    <w:pPr>
      <w:spacing w:before="140"/>
      <w:ind w:left="0" w:right="0"/>
    </w:pPr>
    <w:rPr>
      <w:rFonts w:ascii="Times New Roman" w:hAnsi="Times New Roman"/>
      <w:lang w:val="en-US"/>
    </w:rPr>
  </w:style>
  <w:style w:type="character" w:customStyle="1" w:styleId="FootnoteTextChar">
    <w:name w:val="Footnote Text Char"/>
    <w:basedOn w:val="DefaultParagraphFont"/>
    <w:link w:val="FootnoteText"/>
    <w:uiPriority w:val="99"/>
    <w:locked/>
    <w:rsid w:val="00555624"/>
    <w:rPr>
      <w:rFonts w:ascii="Times New Roman" w:hAnsi="Times New Roman" w:cs="Times New Roman"/>
      <w:lang w:val="en-US" w:eastAsia="en-US"/>
    </w:rPr>
  </w:style>
  <w:style w:type="character" w:styleId="FootnoteReference">
    <w:name w:val="footnote reference"/>
    <w:basedOn w:val="DefaultParagraphFont"/>
    <w:uiPriority w:val="99"/>
    <w:rsid w:val="00555624"/>
    <w:rPr>
      <w:rFonts w:cs="Times New Roman"/>
      <w:vertAlign w:val="superscript"/>
    </w:rPr>
  </w:style>
  <w:style w:type="paragraph" w:styleId="ListParagraph">
    <w:name w:val="List Paragraph"/>
    <w:basedOn w:val="Normal"/>
    <w:uiPriority w:val="34"/>
    <w:qFormat/>
    <w:rsid w:val="00BD5F08"/>
    <w:pPr>
      <w:ind w:left="720"/>
      <w:contextualSpacing/>
    </w:pPr>
  </w:style>
  <w:style w:type="paragraph" w:styleId="NormalWeb">
    <w:name w:val="Normal (Web)"/>
    <w:basedOn w:val="Normal"/>
    <w:uiPriority w:val="99"/>
    <w:semiHidden/>
    <w:unhideWhenUsed/>
    <w:rsid w:val="00113240"/>
    <w:pPr>
      <w:spacing w:before="100" w:beforeAutospacing="1" w:after="100" w:afterAutospacing="1"/>
      <w:ind w:left="0" w:right="0"/>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B4"/>
    <w:pPr>
      <w:spacing w:before="80"/>
      <w:ind w:left="1134" w:right="708"/>
    </w:pPr>
    <w:rPr>
      <w:rFonts w:ascii="Arial" w:hAnsi="Arial"/>
      <w:sz w:val="20"/>
      <w:szCs w:val="20"/>
      <w:lang w:val="en-GB" w:eastAsia="en-US"/>
    </w:rPr>
  </w:style>
  <w:style w:type="paragraph" w:styleId="Heading1">
    <w:name w:val="heading 1"/>
    <w:aliases w:val="Section Title,Heading,Heading -s2,1,Part,Main Section,h1,Heading 11,Section Title1,Heading1,Heading -s21,11,Part1,Main Section1,h11,Heading 111,Section Title2,Heading2,Heading -s22,12,Part2,Main Section2,h12,Heading 112,Section Title3"/>
    <w:basedOn w:val="Normal"/>
    <w:next w:val="Normal"/>
    <w:link w:val="Heading1Char"/>
    <w:uiPriority w:val="99"/>
    <w:qFormat/>
    <w:rsid w:val="001B37B4"/>
    <w:pPr>
      <w:keepNext/>
      <w:tabs>
        <w:tab w:val="num" w:pos="1152"/>
      </w:tabs>
      <w:spacing w:before="200"/>
      <w:ind w:left="1152" w:right="-45" w:hanging="432"/>
      <w:outlineLvl w:val="0"/>
    </w:pPr>
    <w:rPr>
      <w:rFonts w:cs="Arial"/>
      <w:b/>
      <w:color w:val="7E6F62"/>
      <w:kern w:val="28"/>
      <w:sz w:val="24"/>
      <w:szCs w:val="24"/>
    </w:rPr>
  </w:style>
  <w:style w:type="paragraph" w:styleId="Heading2">
    <w:name w:val="heading 2"/>
    <w:aliases w:val="h2,Sub-section Title,2,Chapter Title,Heading 21,Titles,2nd level,I2,l2,título 2,list 2,1.1.1 heading,L2,A,A.B.C.,H2,Sub-section Title1,21,Chapter Title1,h21,Heading 211,Titles1,2nd level1,I21,l21,título 21,list 21,1.1.1 heading1,L21,A1"/>
    <w:basedOn w:val="Normal"/>
    <w:next w:val="Normal"/>
    <w:link w:val="Heading2Char"/>
    <w:uiPriority w:val="99"/>
    <w:qFormat/>
    <w:rsid w:val="001B37B4"/>
    <w:pPr>
      <w:keepNext/>
      <w:tabs>
        <w:tab w:val="num" w:pos="360"/>
      </w:tabs>
      <w:spacing w:before="200"/>
      <w:ind w:left="360" w:right="709" w:hanging="360"/>
      <w:outlineLvl w:val="1"/>
    </w:pPr>
    <w:rPr>
      <w:b/>
    </w:rPr>
  </w:style>
  <w:style w:type="paragraph" w:styleId="Heading3">
    <w:name w:val="heading 3"/>
    <w:aliases w:val="h3,3,Sub-sub section Title,Heading 14,H3,Task,Tsk,Criterion,RFP Heading 3,31,Sub-sub section Title1,Heading 141,H31,Task1,Tsk1,Criterion1,RFP Heading 31,32,Sub-sub section Title2,Heading 142,H32,Task2,Tsk2,Criterion2,RFP Heading 32,33"/>
    <w:basedOn w:val="Normal"/>
    <w:next w:val="Normal"/>
    <w:link w:val="Heading3Char"/>
    <w:uiPriority w:val="99"/>
    <w:qFormat/>
    <w:rsid w:val="001B37B4"/>
    <w:pPr>
      <w:keepNext/>
      <w:tabs>
        <w:tab w:val="num" w:pos="1440"/>
      </w:tabs>
      <w:spacing w:before="200"/>
      <w:ind w:left="1440" w:right="709" w:hanging="720"/>
      <w:outlineLvl w:val="2"/>
    </w:pPr>
    <w:rPr>
      <w:b/>
    </w:rPr>
  </w:style>
  <w:style w:type="paragraph" w:styleId="Heading4">
    <w:name w:val="heading 4"/>
    <w:aliases w:val="AlphaList,4,H4,Paragraph Title,AlphaList1,41,H41,Paragraph Title1,Paragraph Title 1,AlphaList2,42,H42,Paragraph Title2,Paragraph Title 2,AlphaList3,43,H43,Paragraph Title3,Paragraph Title 3,AlphaList4,44,H44,AlphaList5,45"/>
    <w:basedOn w:val="Normal"/>
    <w:next w:val="Normal"/>
    <w:link w:val="Heading4Char"/>
    <w:uiPriority w:val="99"/>
    <w:qFormat/>
    <w:rsid w:val="001B37B4"/>
    <w:pPr>
      <w:keepNext/>
      <w:tabs>
        <w:tab w:val="num" w:pos="1080"/>
        <w:tab w:val="num" w:pos="1868"/>
      </w:tabs>
      <w:spacing w:before="240" w:after="60"/>
      <w:ind w:left="2211" w:right="1134" w:hanging="1077"/>
      <w:outlineLvl w:val="3"/>
    </w:pPr>
  </w:style>
  <w:style w:type="paragraph" w:styleId="Heading5">
    <w:name w:val="heading 5"/>
    <w:aliases w:val="Blank 1,5,RFI H5 (Q),Blank 11,51,RFI H5 (Q)1,Blank 12,52,RFI H5 (Q)2,Blank 13,53,RFI H5 (Q)3,Blank 14,54,RFI H5 (Q)4,Blank 15,55,RFI H5 (Q)5,Blank 111,511,RFI H5 (Q)11,Blank 121,521,RFI H5 (Q)21,Blank 131,531,RFI H5 (Q)31,Blank 141,541,56,57"/>
    <w:basedOn w:val="Normal"/>
    <w:next w:val="Normal"/>
    <w:link w:val="Heading5Char"/>
    <w:uiPriority w:val="99"/>
    <w:qFormat/>
    <w:rsid w:val="001B37B4"/>
    <w:pPr>
      <w:tabs>
        <w:tab w:val="num" w:pos="1170"/>
        <w:tab w:val="num" w:pos="1728"/>
      </w:tabs>
      <w:spacing w:before="240" w:after="60"/>
      <w:ind w:left="1170" w:hanging="1170"/>
      <w:outlineLvl w:val="4"/>
    </w:pPr>
  </w:style>
  <w:style w:type="paragraph" w:styleId="Heading6">
    <w:name w:val="heading 6"/>
    <w:aliases w:val="Blank 2,6,RFI H1 (A),Blank 21,61,RFI H1 (A)1,Blank 22,62,RFI H1 (A)2,Blank 23,63,RFI H1 (A)3,Blank 24,64,RFI H1 (A)4,Blank 25,65,RFI H1 (A)5,Blank 211,611,RFI H1 (A)11,Blank 221,621,RFI H1 (A)21,Blank 231,631,RFI H1 (A)31,Blank 241,641,66,67"/>
    <w:basedOn w:val="Normal"/>
    <w:next w:val="Normal"/>
    <w:link w:val="Heading6Char"/>
    <w:uiPriority w:val="99"/>
    <w:qFormat/>
    <w:rsid w:val="001B37B4"/>
    <w:pPr>
      <w:tabs>
        <w:tab w:val="num" w:pos="1350"/>
        <w:tab w:val="num" w:pos="1872"/>
      </w:tabs>
      <w:spacing w:before="240" w:after="60"/>
      <w:ind w:left="1350" w:hanging="1350"/>
      <w:outlineLvl w:val="5"/>
    </w:pPr>
    <w:rPr>
      <w:i/>
    </w:rPr>
  </w:style>
  <w:style w:type="paragraph" w:styleId="Heading7">
    <w:name w:val="heading 7"/>
    <w:aliases w:val="Blank 3,7,Blank 31,71,Blank 32,72,Blank 33,73,Blank 34,74,Blank 35,75,Blank 311,711,Blank 321,721,Blank 331,731,Blank 341,741,Blank 36,76,Blank 37,77,Blank 312,712,Blank 322,722,Blank 332,732,Blank 342,742,Blank 351,751,Blank 3111,7111,7211"/>
    <w:basedOn w:val="Normal"/>
    <w:next w:val="Normal"/>
    <w:link w:val="Heading7Char"/>
    <w:uiPriority w:val="99"/>
    <w:qFormat/>
    <w:rsid w:val="001B37B4"/>
    <w:pPr>
      <w:tabs>
        <w:tab w:val="num" w:pos="1530"/>
        <w:tab w:val="num" w:pos="2016"/>
      </w:tabs>
      <w:spacing w:before="240" w:after="60"/>
      <w:ind w:left="1530" w:hanging="1530"/>
      <w:outlineLvl w:val="6"/>
    </w:pPr>
  </w:style>
  <w:style w:type="paragraph" w:styleId="Heading8">
    <w:name w:val="heading 8"/>
    <w:aliases w:val="Blank 4,8,Condition,RFI H3 (A),Blank 41,81,Condition1,RFI H3 (A)1,Blank 42,82,Condition2,RFI H3 (A)2,Blank 43,83,Condition3,RFI H3 (A)3,Blank 44,84,Condition4,RFI H3 (A)4,Blank 45,85,Condition5,RFI H3 (A)5,Blank 411,811,Condition11,Blank 421"/>
    <w:basedOn w:val="Normal"/>
    <w:next w:val="Normal"/>
    <w:link w:val="Heading8Char"/>
    <w:uiPriority w:val="99"/>
    <w:qFormat/>
    <w:rsid w:val="001B37B4"/>
    <w:pPr>
      <w:tabs>
        <w:tab w:val="num" w:pos="1710"/>
        <w:tab w:val="num" w:pos="2160"/>
      </w:tabs>
      <w:spacing w:before="240" w:after="60"/>
      <w:ind w:left="1710" w:hanging="1710"/>
      <w:outlineLvl w:val="7"/>
    </w:pPr>
    <w:rPr>
      <w:i/>
    </w:rPr>
  </w:style>
  <w:style w:type="paragraph" w:styleId="Heading9">
    <w:name w:val="heading 9"/>
    <w:aliases w:val="Blank 5,9,Cond'l Reqt.,Blank 51,91,Cond'l Reqt.1,Blank 52,92,Cond'l Reqt.2,Blank 53,93,Cond'l Reqt.3,Blank 54,94,Cond'l Reqt.4,Blank 55,95,Cond'l Reqt.5,Blank 511,911,Cond'l Reqt.11,Blank 521,921,Cond'l Reqt.21,Blank 531,931,Cond'l Reqt.31"/>
    <w:basedOn w:val="Normal"/>
    <w:next w:val="Normal"/>
    <w:link w:val="Heading9Char"/>
    <w:uiPriority w:val="99"/>
    <w:qFormat/>
    <w:rsid w:val="001B37B4"/>
    <w:pPr>
      <w:tabs>
        <w:tab w:val="num" w:pos="360"/>
      </w:tabs>
      <w:spacing w:before="240" w:after="60"/>
      <w:ind w:left="360" w:hanging="3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Heading Char,Heading -s2 Char,1 Char,Part Char,Main Section Char,h1 Char,Heading 11 Char,Section Title1 Char,Heading1 Char,Heading -s21 Char,11 Char,Part1 Char,Main Section1 Char,h11 Char,Heading 111 Char,Heading2 Char"/>
    <w:basedOn w:val="DefaultParagraphFont"/>
    <w:link w:val="Heading1"/>
    <w:uiPriority w:val="99"/>
    <w:rsid w:val="00D6636E"/>
    <w:rPr>
      <w:rFonts w:ascii="Arial" w:hAnsi="Arial" w:cs="Arial"/>
      <w:b/>
      <w:color w:val="7E6F62"/>
      <w:kern w:val="28"/>
      <w:sz w:val="24"/>
      <w:szCs w:val="24"/>
      <w:lang w:val="en-GB" w:eastAsia="en-US"/>
    </w:rPr>
  </w:style>
  <w:style w:type="character" w:customStyle="1" w:styleId="Heading2Char">
    <w:name w:val="Heading 2 Char"/>
    <w:aliases w:val="h2 Char,Sub-section Title Char,2 Char,Chapter Title Char,Heading 21 Char,Titles Char,2nd level Char,I2 Char,l2 Char,título 2 Char,list 2 Char,1.1.1 heading Char,L2 Char,A Char,A.B.C. Char,H2 Char,Sub-section Title1 Char,21 Char,h21 Char"/>
    <w:basedOn w:val="DefaultParagraphFont"/>
    <w:link w:val="Heading2"/>
    <w:uiPriority w:val="99"/>
    <w:rsid w:val="00D6636E"/>
    <w:rPr>
      <w:rFonts w:ascii="Arial" w:hAnsi="Arial"/>
      <w:b/>
      <w:sz w:val="20"/>
      <w:szCs w:val="20"/>
      <w:lang w:val="en-GB" w:eastAsia="en-US"/>
    </w:rPr>
  </w:style>
  <w:style w:type="character" w:customStyle="1" w:styleId="Heading3Char">
    <w:name w:val="Heading 3 Char"/>
    <w:aliases w:val="h3 Char,3 Char,Sub-sub section Title Char,Heading 14 Char,H3 Char,Task Char,Tsk Char,Criterion Char,RFP Heading 3 Char,31 Char,Sub-sub section Title1 Char,Heading 141 Char,H31 Char,Task1 Char,Tsk1 Char,Criterion1 Char,RFP Heading 31 Char"/>
    <w:basedOn w:val="DefaultParagraphFont"/>
    <w:link w:val="Heading3"/>
    <w:uiPriority w:val="99"/>
    <w:rsid w:val="00D6636E"/>
    <w:rPr>
      <w:rFonts w:ascii="Arial" w:hAnsi="Arial"/>
      <w:b/>
      <w:sz w:val="20"/>
      <w:szCs w:val="20"/>
      <w:lang w:val="en-GB" w:eastAsia="en-US"/>
    </w:rPr>
  </w:style>
  <w:style w:type="character" w:customStyle="1" w:styleId="Heading4Char">
    <w:name w:val="Heading 4 Char"/>
    <w:aliases w:val="AlphaList Char,4 Char,H4 Char,Paragraph Title Char,AlphaList1 Char,41 Char,H41 Char,Paragraph Title1 Char,Paragraph Title 1 Char,AlphaList2 Char,42 Char,H42 Char,Paragraph Title2 Char,Paragraph Title 2 Char,AlphaList3 Char,43 Char,44 Char"/>
    <w:basedOn w:val="DefaultParagraphFont"/>
    <w:link w:val="Heading4"/>
    <w:uiPriority w:val="99"/>
    <w:rsid w:val="00D6636E"/>
    <w:rPr>
      <w:rFonts w:ascii="Arial" w:hAnsi="Arial"/>
      <w:sz w:val="20"/>
      <w:szCs w:val="20"/>
      <w:lang w:val="en-GB" w:eastAsia="en-US"/>
    </w:rPr>
  </w:style>
  <w:style w:type="character" w:customStyle="1" w:styleId="Heading5Char">
    <w:name w:val="Heading 5 Char"/>
    <w:aliases w:val="Blank 1 Char,5 Char,RFI H5 (Q) Char,Blank 11 Char,51 Char,RFI H5 (Q)1 Char,Blank 12 Char,52 Char,RFI H5 (Q)2 Char,Blank 13 Char,53 Char,RFI H5 (Q)3 Char,Blank 14 Char,54 Char,RFI H5 (Q)4 Char,Blank 15 Char,55 Char,RFI H5 (Q)5 Char,56 Char"/>
    <w:basedOn w:val="DefaultParagraphFont"/>
    <w:link w:val="Heading5"/>
    <w:uiPriority w:val="99"/>
    <w:rsid w:val="00D6636E"/>
    <w:rPr>
      <w:rFonts w:ascii="Arial" w:hAnsi="Arial"/>
      <w:sz w:val="20"/>
      <w:szCs w:val="20"/>
      <w:lang w:val="en-GB" w:eastAsia="en-US"/>
    </w:rPr>
  </w:style>
  <w:style w:type="character" w:customStyle="1" w:styleId="Heading6Char">
    <w:name w:val="Heading 6 Char"/>
    <w:aliases w:val="Blank 2 Char,6 Char,RFI H1 (A) Char,Blank 21 Char,61 Char,RFI H1 (A)1 Char,Blank 22 Char,62 Char,RFI H1 (A)2 Char,Blank 23 Char,63 Char,RFI H1 (A)3 Char,Blank 24 Char,64 Char,RFI H1 (A)4 Char,Blank 25 Char,65 Char,RFI H1 (A)5 Char,66 Char"/>
    <w:basedOn w:val="DefaultParagraphFont"/>
    <w:link w:val="Heading6"/>
    <w:uiPriority w:val="99"/>
    <w:rsid w:val="00D6636E"/>
    <w:rPr>
      <w:rFonts w:ascii="Arial" w:hAnsi="Arial"/>
      <w:i/>
      <w:sz w:val="20"/>
      <w:szCs w:val="20"/>
      <w:lang w:val="en-GB" w:eastAsia="en-US"/>
    </w:rPr>
  </w:style>
  <w:style w:type="character" w:customStyle="1" w:styleId="Heading7Char">
    <w:name w:val="Heading 7 Char"/>
    <w:aliases w:val="Blank 3 Char,7 Char,Blank 31 Char,71 Char,Blank 32 Char,72 Char,Blank 33 Char,73 Char,Blank 34 Char,74 Char,Blank 35 Char,75 Char,Blank 311 Char,711 Char,Blank 321 Char,721 Char,Blank 331 Char,731 Char,Blank 341 Char,741 Char,76 Char"/>
    <w:basedOn w:val="DefaultParagraphFont"/>
    <w:link w:val="Heading7"/>
    <w:uiPriority w:val="99"/>
    <w:rsid w:val="00D6636E"/>
    <w:rPr>
      <w:rFonts w:ascii="Arial" w:hAnsi="Arial"/>
      <w:sz w:val="20"/>
      <w:szCs w:val="20"/>
      <w:lang w:val="en-GB" w:eastAsia="en-US"/>
    </w:rPr>
  </w:style>
  <w:style w:type="character" w:customStyle="1" w:styleId="Heading8Char">
    <w:name w:val="Heading 8 Char"/>
    <w:aliases w:val="Blank 4 Char,8 Char,Condition Char,RFI H3 (A) Char,Blank 41 Char,81 Char,Condition1 Char,RFI H3 (A)1 Char,Blank 42 Char,82 Char,Condition2 Char,RFI H3 (A)2 Char,Blank 43 Char,83 Char,Condition3 Char,RFI H3 (A)3 Char,Blank 44 Char,84 Char"/>
    <w:basedOn w:val="DefaultParagraphFont"/>
    <w:link w:val="Heading8"/>
    <w:uiPriority w:val="99"/>
    <w:rsid w:val="00D6636E"/>
    <w:rPr>
      <w:rFonts w:ascii="Arial" w:hAnsi="Arial"/>
      <w:i/>
      <w:sz w:val="20"/>
      <w:szCs w:val="20"/>
      <w:lang w:val="en-GB" w:eastAsia="en-US"/>
    </w:rPr>
  </w:style>
  <w:style w:type="character" w:customStyle="1" w:styleId="Heading9Char">
    <w:name w:val="Heading 9 Char"/>
    <w:aliases w:val="Blank 5 Char,9 Char,Cond'l Reqt. Char,Blank 51 Char,91 Char,Cond'l Reqt.1 Char,Blank 52 Char,92 Char,Cond'l Reqt.2 Char,Blank 53 Char,93 Char,Cond'l Reqt.3 Char,Blank 54 Char,94 Char,Cond'l Reqt.4 Char,Blank 55 Char,95 Char,Blank 511 Char"/>
    <w:basedOn w:val="DefaultParagraphFont"/>
    <w:link w:val="Heading9"/>
    <w:uiPriority w:val="99"/>
    <w:rsid w:val="00D6636E"/>
    <w:rPr>
      <w:rFonts w:ascii="Arial" w:hAnsi="Arial"/>
      <w:b/>
      <w:i/>
      <w:sz w:val="20"/>
      <w:szCs w:val="20"/>
      <w:lang w:val="en-GB" w:eastAsia="en-US"/>
    </w:rPr>
  </w:style>
  <w:style w:type="paragraph" w:styleId="TOC4">
    <w:name w:val="toc 4"/>
    <w:basedOn w:val="Normal"/>
    <w:next w:val="Normal"/>
    <w:uiPriority w:val="99"/>
    <w:semiHidden/>
    <w:rsid w:val="001B37B4"/>
    <w:pPr>
      <w:tabs>
        <w:tab w:val="right" w:leader="dot" w:pos="8820"/>
      </w:tabs>
      <w:ind w:left="1620" w:hanging="900"/>
    </w:pPr>
    <w:rPr>
      <w:noProof/>
    </w:rPr>
  </w:style>
  <w:style w:type="paragraph" w:customStyle="1" w:styleId="Tableheader">
    <w:name w:val="Table header"/>
    <w:basedOn w:val="Normal"/>
    <w:uiPriority w:val="99"/>
    <w:rsid w:val="001B37B4"/>
    <w:pPr>
      <w:spacing w:before="60" w:after="60"/>
      <w:ind w:left="0" w:right="-108"/>
    </w:pPr>
    <w:rPr>
      <w:b/>
      <w:sz w:val="22"/>
    </w:rPr>
  </w:style>
  <w:style w:type="character" w:styleId="PageNumber">
    <w:name w:val="page number"/>
    <w:basedOn w:val="DefaultParagraphFont"/>
    <w:uiPriority w:val="99"/>
    <w:rsid w:val="001B37B4"/>
    <w:rPr>
      <w:rFonts w:ascii="Arial" w:hAnsi="Arial" w:cs="Times New Roman"/>
      <w:sz w:val="20"/>
    </w:rPr>
  </w:style>
  <w:style w:type="paragraph" w:styleId="TOC2">
    <w:name w:val="toc 2"/>
    <w:basedOn w:val="Normal"/>
    <w:next w:val="Normal"/>
    <w:uiPriority w:val="39"/>
    <w:rsid w:val="001B37B4"/>
    <w:pPr>
      <w:tabs>
        <w:tab w:val="left" w:pos="1985"/>
        <w:tab w:val="right" w:leader="dot" w:pos="8820"/>
      </w:tabs>
      <w:ind w:left="1985" w:right="2126" w:hanging="851"/>
    </w:pPr>
    <w:rPr>
      <w:noProof/>
    </w:rPr>
  </w:style>
  <w:style w:type="paragraph" w:styleId="TOC1">
    <w:name w:val="toc 1"/>
    <w:basedOn w:val="Normal"/>
    <w:next w:val="Normal"/>
    <w:uiPriority w:val="39"/>
    <w:rsid w:val="001B37B4"/>
    <w:pPr>
      <w:tabs>
        <w:tab w:val="left" w:pos="1985"/>
        <w:tab w:val="right" w:leader="dot" w:pos="8820"/>
      </w:tabs>
      <w:spacing w:before="240" w:after="40"/>
      <w:ind w:left="1985" w:right="2126" w:hanging="851"/>
    </w:pPr>
    <w:rPr>
      <w:b/>
      <w:noProof/>
    </w:rPr>
  </w:style>
  <w:style w:type="paragraph" w:customStyle="1" w:styleId="Tabletext">
    <w:name w:val="Table text"/>
    <w:basedOn w:val="Tableheader"/>
    <w:uiPriority w:val="99"/>
    <w:rsid w:val="001B37B4"/>
    <w:rPr>
      <w:b w:val="0"/>
      <w:sz w:val="20"/>
    </w:rPr>
  </w:style>
  <w:style w:type="paragraph" w:styleId="TOC3">
    <w:name w:val="toc 3"/>
    <w:basedOn w:val="Normal"/>
    <w:next w:val="Normal"/>
    <w:uiPriority w:val="99"/>
    <w:semiHidden/>
    <w:rsid w:val="001B37B4"/>
    <w:pPr>
      <w:tabs>
        <w:tab w:val="left" w:pos="1985"/>
        <w:tab w:val="right" w:leader="dot" w:pos="8820"/>
      </w:tabs>
      <w:ind w:left="1985" w:right="2126" w:hanging="851"/>
    </w:pPr>
    <w:rPr>
      <w:noProof/>
    </w:rPr>
  </w:style>
  <w:style w:type="paragraph" w:styleId="ListBullet">
    <w:name w:val="List Bullet"/>
    <w:basedOn w:val="Normal"/>
    <w:uiPriority w:val="99"/>
    <w:rsid w:val="001B37B4"/>
    <w:pPr>
      <w:widowControl w:val="0"/>
      <w:numPr>
        <w:numId w:val="2"/>
      </w:numPr>
      <w:tabs>
        <w:tab w:val="clear" w:pos="360"/>
        <w:tab w:val="left" w:pos="1418"/>
      </w:tabs>
      <w:spacing w:before="60" w:after="20"/>
      <w:ind w:left="1418" w:right="1134" w:hanging="284"/>
    </w:pPr>
  </w:style>
  <w:style w:type="paragraph" w:styleId="ListBullet2">
    <w:name w:val="List Bullet 2"/>
    <w:basedOn w:val="Normal"/>
    <w:uiPriority w:val="99"/>
    <w:rsid w:val="001B37B4"/>
    <w:pPr>
      <w:widowControl w:val="0"/>
      <w:spacing w:before="60" w:after="20"/>
      <w:ind w:left="1702" w:right="1418" w:hanging="284"/>
    </w:pPr>
  </w:style>
  <w:style w:type="paragraph" w:styleId="ListNumber">
    <w:name w:val="List Number"/>
    <w:basedOn w:val="Normal"/>
    <w:uiPriority w:val="99"/>
    <w:rsid w:val="001B37B4"/>
    <w:pPr>
      <w:numPr>
        <w:numId w:val="1"/>
      </w:numPr>
      <w:spacing w:before="60" w:after="20"/>
      <w:ind w:left="1418" w:right="1134" w:hanging="284"/>
    </w:pPr>
  </w:style>
  <w:style w:type="paragraph" w:styleId="TOC5">
    <w:name w:val="toc 5"/>
    <w:basedOn w:val="Normal"/>
    <w:next w:val="Normal"/>
    <w:uiPriority w:val="99"/>
    <w:semiHidden/>
    <w:rsid w:val="001B37B4"/>
    <w:pPr>
      <w:tabs>
        <w:tab w:val="right" w:leader="dot" w:pos="8820"/>
      </w:tabs>
      <w:ind w:left="2160" w:hanging="1195"/>
    </w:pPr>
    <w:rPr>
      <w:noProof/>
    </w:rPr>
  </w:style>
  <w:style w:type="paragraph" w:styleId="TOC6">
    <w:name w:val="toc 6"/>
    <w:basedOn w:val="Normal"/>
    <w:next w:val="Normal"/>
    <w:uiPriority w:val="99"/>
    <w:semiHidden/>
    <w:rsid w:val="001B37B4"/>
    <w:pPr>
      <w:tabs>
        <w:tab w:val="right" w:leader="dot" w:pos="8820"/>
      </w:tabs>
      <w:ind w:left="2610" w:hanging="1415"/>
    </w:pPr>
    <w:rPr>
      <w:noProof/>
    </w:rPr>
  </w:style>
  <w:style w:type="paragraph" w:styleId="TOC7">
    <w:name w:val="toc 7"/>
    <w:basedOn w:val="Normal"/>
    <w:next w:val="Normal"/>
    <w:uiPriority w:val="99"/>
    <w:semiHidden/>
    <w:rsid w:val="001B37B4"/>
    <w:pPr>
      <w:tabs>
        <w:tab w:val="right" w:leader="dot" w:pos="8820"/>
      </w:tabs>
      <w:ind w:left="3060" w:hanging="1620"/>
    </w:pPr>
    <w:rPr>
      <w:noProof/>
    </w:rPr>
  </w:style>
  <w:style w:type="paragraph" w:styleId="TOC8">
    <w:name w:val="toc 8"/>
    <w:basedOn w:val="Normal"/>
    <w:next w:val="Normal"/>
    <w:uiPriority w:val="99"/>
    <w:semiHidden/>
    <w:rsid w:val="001B37B4"/>
    <w:pPr>
      <w:tabs>
        <w:tab w:val="right" w:leader="dot" w:pos="8820"/>
      </w:tabs>
      <w:ind w:left="3420" w:hanging="1735"/>
    </w:pPr>
    <w:rPr>
      <w:noProof/>
    </w:rPr>
  </w:style>
  <w:style w:type="paragraph" w:styleId="TOC9">
    <w:name w:val="toc 9"/>
    <w:basedOn w:val="Normal"/>
    <w:next w:val="Normal"/>
    <w:uiPriority w:val="99"/>
    <w:semiHidden/>
    <w:rsid w:val="001B37B4"/>
    <w:pPr>
      <w:tabs>
        <w:tab w:val="right" w:leader="dot" w:pos="8820"/>
      </w:tabs>
      <w:ind w:left="3960" w:hanging="2045"/>
    </w:pPr>
    <w:rPr>
      <w:noProof/>
    </w:rPr>
  </w:style>
  <w:style w:type="paragraph" w:styleId="Header">
    <w:name w:val="header"/>
    <w:basedOn w:val="Normal"/>
    <w:link w:val="HeaderChar"/>
    <w:uiPriority w:val="99"/>
    <w:rsid w:val="001B37B4"/>
    <w:pPr>
      <w:tabs>
        <w:tab w:val="center" w:pos="4153"/>
        <w:tab w:val="right" w:pos="8306"/>
      </w:tabs>
      <w:ind w:left="0" w:right="0"/>
    </w:pPr>
    <w:rPr>
      <w:sz w:val="28"/>
    </w:rPr>
  </w:style>
  <w:style w:type="character" w:customStyle="1" w:styleId="HeaderChar">
    <w:name w:val="Header Char"/>
    <w:basedOn w:val="DefaultParagraphFont"/>
    <w:link w:val="Header"/>
    <w:uiPriority w:val="99"/>
    <w:semiHidden/>
    <w:rsid w:val="00D6636E"/>
    <w:rPr>
      <w:rFonts w:ascii="Arial" w:hAnsi="Arial"/>
      <w:sz w:val="20"/>
      <w:szCs w:val="20"/>
      <w:lang w:val="en-GB" w:eastAsia="en-US"/>
    </w:rPr>
  </w:style>
  <w:style w:type="paragraph" w:styleId="Footer">
    <w:name w:val="footer"/>
    <w:basedOn w:val="Normal"/>
    <w:link w:val="FooterChar"/>
    <w:uiPriority w:val="99"/>
    <w:rsid w:val="001B37B4"/>
    <w:pPr>
      <w:tabs>
        <w:tab w:val="center" w:pos="4153"/>
        <w:tab w:val="right" w:pos="8306"/>
      </w:tabs>
    </w:pPr>
    <w:rPr>
      <w:sz w:val="18"/>
    </w:rPr>
  </w:style>
  <w:style w:type="character" w:customStyle="1" w:styleId="FooterChar">
    <w:name w:val="Footer Char"/>
    <w:basedOn w:val="DefaultParagraphFont"/>
    <w:link w:val="Footer"/>
    <w:uiPriority w:val="99"/>
    <w:semiHidden/>
    <w:rsid w:val="00D6636E"/>
    <w:rPr>
      <w:rFonts w:ascii="Arial" w:hAnsi="Arial"/>
      <w:sz w:val="20"/>
      <w:szCs w:val="20"/>
      <w:lang w:val="en-GB" w:eastAsia="en-US"/>
    </w:rPr>
  </w:style>
  <w:style w:type="paragraph" w:customStyle="1" w:styleId="Documenttitle">
    <w:name w:val="Document title"/>
    <w:next w:val="Normal"/>
    <w:uiPriority w:val="99"/>
    <w:rsid w:val="001B37B4"/>
    <w:pPr>
      <w:spacing w:before="800"/>
      <w:ind w:left="3261" w:right="709"/>
    </w:pPr>
    <w:rPr>
      <w:rFonts w:ascii="Arial" w:eastAsia="Times New Roman" w:hAnsi="Arial"/>
      <w:color w:val="000080"/>
      <w:sz w:val="48"/>
      <w:szCs w:val="20"/>
      <w:lang w:val="en-GB" w:eastAsia="en-US"/>
    </w:rPr>
  </w:style>
  <w:style w:type="paragraph" w:customStyle="1" w:styleId="Doctitlewhite">
    <w:name w:val="Doc title white"/>
    <w:basedOn w:val="Normal"/>
    <w:uiPriority w:val="99"/>
    <w:rsid w:val="001B37B4"/>
    <w:rPr>
      <w:color w:val="FFFFFF"/>
      <w:sz w:val="50"/>
    </w:rPr>
  </w:style>
  <w:style w:type="paragraph" w:customStyle="1" w:styleId="sub-headingcover">
    <w:name w:val="sub-heading cover"/>
    <w:basedOn w:val="Normal"/>
    <w:uiPriority w:val="99"/>
    <w:rsid w:val="001B37B4"/>
    <w:pPr>
      <w:ind w:left="3261" w:right="709"/>
    </w:pPr>
    <w:rPr>
      <w:b/>
      <w:noProof/>
    </w:rPr>
  </w:style>
  <w:style w:type="paragraph" w:styleId="BodyText">
    <w:name w:val="Body Text"/>
    <w:basedOn w:val="Normal"/>
    <w:link w:val="BodyTextChar"/>
    <w:uiPriority w:val="99"/>
    <w:rsid w:val="001B37B4"/>
    <w:pPr>
      <w:ind w:left="0"/>
    </w:pPr>
  </w:style>
  <w:style w:type="character" w:customStyle="1" w:styleId="BodyTextChar">
    <w:name w:val="Body Text Char"/>
    <w:basedOn w:val="DefaultParagraphFont"/>
    <w:link w:val="BodyText"/>
    <w:uiPriority w:val="99"/>
    <w:semiHidden/>
    <w:rsid w:val="00D6636E"/>
    <w:rPr>
      <w:rFonts w:ascii="Arial" w:hAnsi="Arial"/>
      <w:sz w:val="20"/>
      <w:szCs w:val="20"/>
      <w:lang w:val="en-GB" w:eastAsia="en-US"/>
    </w:rPr>
  </w:style>
  <w:style w:type="paragraph" w:customStyle="1" w:styleId="Figure">
    <w:name w:val="Figure"/>
    <w:basedOn w:val="Normal"/>
    <w:uiPriority w:val="99"/>
    <w:rsid w:val="001B37B4"/>
    <w:pPr>
      <w:spacing w:before="100" w:after="80"/>
      <w:ind w:right="709"/>
      <w:jc w:val="center"/>
    </w:pPr>
    <w:rPr>
      <w:i/>
    </w:rPr>
  </w:style>
  <w:style w:type="character" w:styleId="Hyperlink">
    <w:name w:val="Hyperlink"/>
    <w:basedOn w:val="DefaultParagraphFont"/>
    <w:uiPriority w:val="99"/>
    <w:rsid w:val="001B37B4"/>
    <w:rPr>
      <w:rFonts w:ascii="Arial" w:hAnsi="Arial" w:cs="Times New Roman"/>
      <w:color w:val="0000FF"/>
      <w:u w:val="single"/>
    </w:rPr>
  </w:style>
  <w:style w:type="paragraph" w:customStyle="1" w:styleId="Document1">
    <w:name w:val="Document 1"/>
    <w:uiPriority w:val="99"/>
    <w:rsid w:val="001B37B4"/>
    <w:pPr>
      <w:keepNext/>
      <w:keepLines/>
      <w:widowControl w:val="0"/>
      <w:tabs>
        <w:tab w:val="left" w:pos="-720"/>
      </w:tabs>
      <w:suppressAutoHyphens/>
    </w:pPr>
    <w:rPr>
      <w:rFonts w:ascii="Arial" w:eastAsia="Times New Roman" w:hAnsi="Arial"/>
      <w:sz w:val="20"/>
      <w:szCs w:val="20"/>
    </w:rPr>
  </w:style>
  <w:style w:type="paragraph" w:styleId="BodyText2">
    <w:name w:val="Body Text 2"/>
    <w:basedOn w:val="Normal"/>
    <w:link w:val="BodyText2Char"/>
    <w:uiPriority w:val="99"/>
    <w:rsid w:val="001B37B4"/>
    <w:pPr>
      <w:spacing w:after="120" w:line="480" w:lineRule="auto"/>
    </w:pPr>
  </w:style>
  <w:style w:type="character" w:customStyle="1" w:styleId="BodyText2Char">
    <w:name w:val="Body Text 2 Char"/>
    <w:basedOn w:val="DefaultParagraphFont"/>
    <w:link w:val="BodyText2"/>
    <w:uiPriority w:val="99"/>
    <w:semiHidden/>
    <w:rsid w:val="00D6636E"/>
    <w:rPr>
      <w:rFonts w:ascii="Arial" w:hAnsi="Arial"/>
      <w:sz w:val="20"/>
      <w:szCs w:val="20"/>
      <w:lang w:val="en-GB" w:eastAsia="en-US"/>
    </w:rPr>
  </w:style>
  <w:style w:type="paragraph" w:styleId="BalloonText">
    <w:name w:val="Balloon Text"/>
    <w:basedOn w:val="Normal"/>
    <w:link w:val="BalloonTextChar"/>
    <w:uiPriority w:val="99"/>
    <w:semiHidden/>
    <w:rsid w:val="001B37B4"/>
    <w:rPr>
      <w:rFonts w:ascii="Tahoma" w:hAnsi="Tahoma" w:cs="Tahoma"/>
      <w:sz w:val="16"/>
      <w:szCs w:val="16"/>
    </w:rPr>
  </w:style>
  <w:style w:type="character" w:customStyle="1" w:styleId="BalloonTextChar">
    <w:name w:val="Balloon Text Char"/>
    <w:basedOn w:val="DefaultParagraphFont"/>
    <w:link w:val="BalloonText"/>
    <w:uiPriority w:val="99"/>
    <w:semiHidden/>
    <w:rsid w:val="00D6636E"/>
    <w:rPr>
      <w:rFonts w:ascii="Times New Roman" w:hAnsi="Times New Roman"/>
      <w:sz w:val="0"/>
      <w:szCs w:val="0"/>
      <w:lang w:val="en-GB" w:eastAsia="en-US"/>
    </w:rPr>
  </w:style>
  <w:style w:type="paragraph" w:styleId="BodyTextIndent">
    <w:name w:val="Body Text Indent"/>
    <w:basedOn w:val="Normal"/>
    <w:link w:val="BodyTextIndentChar"/>
    <w:uiPriority w:val="99"/>
    <w:rsid w:val="001B37B4"/>
    <w:pPr>
      <w:spacing w:before="0"/>
      <w:ind w:left="288" w:right="0" w:hanging="288"/>
    </w:pPr>
    <w:rPr>
      <w:rFonts w:eastAsia="MS Mincho" w:cs="Arial"/>
      <w:sz w:val="18"/>
      <w:szCs w:val="18"/>
      <w:lang w:val="en-US" w:eastAsia="ja-JP"/>
    </w:rPr>
  </w:style>
  <w:style w:type="character" w:customStyle="1" w:styleId="BodyTextIndentChar">
    <w:name w:val="Body Text Indent Char"/>
    <w:basedOn w:val="DefaultParagraphFont"/>
    <w:link w:val="BodyTextIndent"/>
    <w:uiPriority w:val="99"/>
    <w:semiHidden/>
    <w:rsid w:val="00D6636E"/>
    <w:rPr>
      <w:rFonts w:ascii="Arial" w:hAnsi="Arial"/>
      <w:sz w:val="20"/>
      <w:szCs w:val="20"/>
      <w:lang w:val="en-GB" w:eastAsia="en-US"/>
    </w:rPr>
  </w:style>
  <w:style w:type="table" w:styleId="TableGrid">
    <w:name w:val="Table Grid"/>
    <w:basedOn w:val="TableNormal"/>
    <w:uiPriority w:val="99"/>
    <w:rsid w:val="001B37B4"/>
    <w:pPr>
      <w:widowControl w:val="0"/>
    </w:pPr>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1B37B4"/>
    <w:pPr>
      <w:spacing w:before="120" w:after="60"/>
      <w:ind w:left="340" w:right="301"/>
    </w:pPr>
    <w:rPr>
      <w:rFonts w:eastAsia="Times New Roman"/>
      <w:lang w:val="en-US"/>
    </w:rPr>
  </w:style>
  <w:style w:type="character" w:styleId="CommentReference">
    <w:name w:val="annotation reference"/>
    <w:basedOn w:val="DefaultParagraphFont"/>
    <w:uiPriority w:val="99"/>
    <w:semiHidden/>
    <w:rsid w:val="001B37B4"/>
    <w:rPr>
      <w:rFonts w:cs="Times New Roman"/>
      <w:sz w:val="16"/>
      <w:szCs w:val="16"/>
    </w:rPr>
  </w:style>
  <w:style w:type="paragraph" w:styleId="CommentText">
    <w:name w:val="annotation text"/>
    <w:basedOn w:val="Normal"/>
    <w:link w:val="CommentTextChar"/>
    <w:uiPriority w:val="99"/>
    <w:semiHidden/>
    <w:rsid w:val="001B37B4"/>
  </w:style>
  <w:style w:type="character" w:customStyle="1" w:styleId="CommentTextChar">
    <w:name w:val="Comment Text Char"/>
    <w:basedOn w:val="DefaultParagraphFont"/>
    <w:link w:val="CommentText"/>
    <w:uiPriority w:val="99"/>
    <w:semiHidden/>
    <w:rsid w:val="00D6636E"/>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1B37B4"/>
    <w:rPr>
      <w:b/>
      <w:bCs/>
    </w:rPr>
  </w:style>
  <w:style w:type="character" w:customStyle="1" w:styleId="CommentSubjectChar">
    <w:name w:val="Comment Subject Char"/>
    <w:basedOn w:val="CommentTextChar"/>
    <w:link w:val="CommentSubject"/>
    <w:uiPriority w:val="99"/>
    <w:semiHidden/>
    <w:rsid w:val="00D6636E"/>
    <w:rPr>
      <w:rFonts w:ascii="Arial" w:hAnsi="Arial"/>
      <w:b/>
      <w:bCs/>
      <w:sz w:val="20"/>
      <w:szCs w:val="20"/>
      <w:lang w:val="en-GB" w:eastAsia="en-US"/>
    </w:rPr>
  </w:style>
  <w:style w:type="paragraph" w:customStyle="1" w:styleId="Normal1">
    <w:name w:val="Normal1"/>
    <w:basedOn w:val="Normal"/>
    <w:uiPriority w:val="99"/>
    <w:rsid w:val="001B37B4"/>
    <w:pPr>
      <w:keepLines/>
      <w:spacing w:before="0" w:after="140" w:line="280" w:lineRule="atLeast"/>
      <w:ind w:left="1080" w:right="1"/>
      <w:jc w:val="both"/>
    </w:pPr>
    <w:rPr>
      <w:rFonts w:eastAsia="Times New Roman"/>
      <w:lang w:val="en-US" w:eastAsia="ja-JP"/>
    </w:rPr>
  </w:style>
  <w:style w:type="paragraph" w:styleId="PlainText">
    <w:name w:val="Plain Text"/>
    <w:basedOn w:val="Normal"/>
    <w:link w:val="PlainTextChar"/>
    <w:uiPriority w:val="99"/>
    <w:rsid w:val="001B37B4"/>
    <w:pPr>
      <w:spacing w:before="140"/>
      <w:ind w:left="0" w:right="0"/>
    </w:pPr>
    <w:rPr>
      <w:rFonts w:cs="Courier New"/>
    </w:rPr>
  </w:style>
  <w:style w:type="character" w:customStyle="1" w:styleId="PlainTextChar">
    <w:name w:val="Plain Text Char"/>
    <w:basedOn w:val="DefaultParagraphFont"/>
    <w:link w:val="PlainText"/>
    <w:uiPriority w:val="99"/>
    <w:semiHidden/>
    <w:rsid w:val="00D6636E"/>
    <w:rPr>
      <w:rFonts w:ascii="Courier New" w:hAnsi="Courier New" w:cs="Courier New"/>
      <w:sz w:val="20"/>
      <w:szCs w:val="20"/>
      <w:lang w:val="en-GB" w:eastAsia="en-US"/>
    </w:rPr>
  </w:style>
  <w:style w:type="paragraph" w:customStyle="1" w:styleId="Default">
    <w:name w:val="Default"/>
    <w:uiPriority w:val="99"/>
    <w:rsid w:val="001B37B4"/>
    <w:pPr>
      <w:autoSpaceDE w:val="0"/>
      <w:autoSpaceDN w:val="0"/>
      <w:adjustRightInd w:val="0"/>
    </w:pPr>
    <w:rPr>
      <w:rFonts w:ascii="Arial" w:hAnsi="Arial" w:cs="Arial"/>
      <w:color w:val="000000"/>
      <w:sz w:val="24"/>
      <w:szCs w:val="24"/>
      <w:lang w:eastAsia="en-US"/>
    </w:rPr>
  </w:style>
  <w:style w:type="paragraph" w:styleId="Title">
    <w:name w:val="Title"/>
    <w:basedOn w:val="Normal"/>
    <w:next w:val="Normal"/>
    <w:link w:val="TitleChar"/>
    <w:uiPriority w:val="99"/>
    <w:qFormat/>
    <w:rsid w:val="001B37B4"/>
    <w:pPr>
      <w:spacing w:before="240" w:after="60"/>
      <w:ind w:left="0" w:right="96"/>
      <w:outlineLvl w:val="0"/>
    </w:pPr>
    <w:rPr>
      <w:rFonts w:eastAsia="Times New Roman" w:cs="Arial"/>
      <w:b/>
      <w:bCs/>
      <w:color w:val="7E6F62"/>
      <w:kern w:val="28"/>
      <w:sz w:val="28"/>
      <w:szCs w:val="28"/>
    </w:rPr>
  </w:style>
  <w:style w:type="character" w:customStyle="1" w:styleId="TitleChar">
    <w:name w:val="Title Char"/>
    <w:basedOn w:val="DefaultParagraphFont"/>
    <w:link w:val="Title"/>
    <w:uiPriority w:val="99"/>
    <w:locked/>
    <w:rsid w:val="001B37B4"/>
    <w:rPr>
      <w:rFonts w:ascii="Arial" w:hAnsi="Arial" w:cs="Arial"/>
      <w:b/>
      <w:bCs/>
      <w:color w:val="7E6F62"/>
      <w:kern w:val="28"/>
      <w:sz w:val="28"/>
      <w:szCs w:val="28"/>
      <w:lang w:val="en-GB"/>
    </w:rPr>
  </w:style>
  <w:style w:type="character" w:styleId="Emphasis">
    <w:name w:val="Emphasis"/>
    <w:basedOn w:val="DefaultParagraphFont"/>
    <w:uiPriority w:val="99"/>
    <w:qFormat/>
    <w:rsid w:val="001B37B4"/>
    <w:rPr>
      <w:rFonts w:ascii="Arial" w:hAnsi="Arial" w:cs="Times New Roman"/>
      <w:i/>
      <w:iCs/>
      <w:color w:val="auto"/>
      <w:sz w:val="20"/>
    </w:rPr>
  </w:style>
  <w:style w:type="character" w:styleId="Strong">
    <w:name w:val="Strong"/>
    <w:basedOn w:val="DefaultParagraphFont"/>
    <w:uiPriority w:val="99"/>
    <w:qFormat/>
    <w:rsid w:val="001B37B4"/>
    <w:rPr>
      <w:rFonts w:ascii="Arial" w:hAnsi="Arial" w:cs="Times New Roman"/>
      <w:b/>
      <w:bCs/>
    </w:rPr>
  </w:style>
  <w:style w:type="paragraph" w:styleId="Subtitle">
    <w:name w:val="Subtitle"/>
    <w:basedOn w:val="Normal"/>
    <w:next w:val="Normal"/>
    <w:link w:val="SubtitleChar"/>
    <w:uiPriority w:val="99"/>
    <w:qFormat/>
    <w:rsid w:val="001B37B4"/>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99"/>
    <w:locked/>
    <w:rsid w:val="001B37B4"/>
    <w:rPr>
      <w:rFonts w:ascii="Arial" w:hAnsi="Arial" w:cs="Times New Roman"/>
      <w:sz w:val="24"/>
      <w:szCs w:val="24"/>
      <w:lang w:val="en-GB"/>
    </w:rPr>
  </w:style>
  <w:style w:type="paragraph" w:styleId="NoSpacing">
    <w:name w:val="No Spacing"/>
    <w:uiPriority w:val="99"/>
    <w:qFormat/>
    <w:rsid w:val="001B37B4"/>
    <w:pPr>
      <w:ind w:left="1134" w:right="708"/>
    </w:pPr>
    <w:rPr>
      <w:rFonts w:ascii="Arial" w:hAnsi="Arial"/>
      <w:sz w:val="20"/>
      <w:szCs w:val="20"/>
      <w:lang w:val="en-GB" w:eastAsia="en-US"/>
    </w:rPr>
  </w:style>
  <w:style w:type="character" w:styleId="SubtleEmphasis">
    <w:name w:val="Subtle Emphasis"/>
    <w:basedOn w:val="DefaultParagraphFont"/>
    <w:uiPriority w:val="99"/>
    <w:qFormat/>
    <w:rsid w:val="001B37B4"/>
    <w:rPr>
      <w:rFonts w:ascii="Arial" w:hAnsi="Arial" w:cs="Times New Roman"/>
      <w:i/>
      <w:iCs/>
      <w:color w:val="auto"/>
    </w:rPr>
  </w:style>
  <w:style w:type="character" w:styleId="IntenseEmphasis">
    <w:name w:val="Intense Emphasis"/>
    <w:basedOn w:val="DefaultParagraphFont"/>
    <w:uiPriority w:val="99"/>
    <w:qFormat/>
    <w:rsid w:val="001B37B4"/>
    <w:rPr>
      <w:rFonts w:ascii="Arial" w:hAnsi="Arial" w:cs="Times New Roman"/>
      <w:b/>
      <w:bCs/>
      <w:i/>
      <w:iCs/>
      <w:color w:val="auto"/>
    </w:rPr>
  </w:style>
  <w:style w:type="paragraph" w:styleId="IntenseQuote">
    <w:name w:val="Intense Quote"/>
    <w:basedOn w:val="Normal"/>
    <w:next w:val="Normal"/>
    <w:link w:val="IntenseQuoteChar"/>
    <w:uiPriority w:val="99"/>
    <w:qFormat/>
    <w:rsid w:val="001B37B4"/>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1B37B4"/>
    <w:rPr>
      <w:rFonts w:ascii="Arial" w:hAnsi="Arial" w:cs="Times New Roman"/>
      <w:b/>
      <w:bCs/>
      <w:i/>
      <w:iCs/>
      <w:lang w:val="en-GB"/>
    </w:rPr>
  </w:style>
  <w:style w:type="character" w:styleId="SubtleReference">
    <w:name w:val="Subtle Reference"/>
    <w:basedOn w:val="DefaultParagraphFont"/>
    <w:uiPriority w:val="99"/>
    <w:qFormat/>
    <w:rsid w:val="001B37B4"/>
    <w:rPr>
      <w:rFonts w:ascii="Arial" w:hAnsi="Arial" w:cs="Times New Roman"/>
      <w:smallCaps/>
      <w:color w:val="auto"/>
      <w:u w:val="single"/>
    </w:rPr>
  </w:style>
  <w:style w:type="character" w:styleId="IntenseReference">
    <w:name w:val="Intense Reference"/>
    <w:basedOn w:val="DefaultParagraphFont"/>
    <w:uiPriority w:val="99"/>
    <w:qFormat/>
    <w:rsid w:val="001B37B4"/>
    <w:rPr>
      <w:rFonts w:ascii="Arial" w:hAnsi="Arial" w:cs="Times New Roman"/>
      <w:b/>
      <w:bCs/>
      <w:smallCaps/>
      <w:color w:val="auto"/>
      <w:spacing w:val="5"/>
      <w:u w:val="single"/>
    </w:rPr>
  </w:style>
  <w:style w:type="character" w:styleId="BookTitle">
    <w:name w:val="Book Title"/>
    <w:basedOn w:val="DefaultParagraphFont"/>
    <w:uiPriority w:val="99"/>
    <w:qFormat/>
    <w:rsid w:val="001B37B4"/>
    <w:rPr>
      <w:rFonts w:ascii="Arial" w:hAnsi="Arial" w:cs="Times New Roman"/>
      <w:b/>
      <w:bCs/>
      <w:smallCaps/>
      <w:spacing w:val="5"/>
    </w:rPr>
  </w:style>
  <w:style w:type="character" w:styleId="PlaceholderText">
    <w:name w:val="Placeholder Text"/>
    <w:basedOn w:val="DefaultParagraphFont"/>
    <w:uiPriority w:val="99"/>
    <w:semiHidden/>
    <w:rsid w:val="001B37B4"/>
    <w:rPr>
      <w:rFonts w:cs="Times New Roman"/>
      <w:color w:val="808080"/>
    </w:rPr>
  </w:style>
  <w:style w:type="paragraph" w:styleId="FootnoteText">
    <w:name w:val="footnote text"/>
    <w:basedOn w:val="Normal"/>
    <w:link w:val="FootnoteTextChar"/>
    <w:uiPriority w:val="99"/>
    <w:rsid w:val="00555624"/>
    <w:pPr>
      <w:spacing w:before="140"/>
      <w:ind w:left="0" w:right="0"/>
    </w:pPr>
    <w:rPr>
      <w:rFonts w:ascii="Times New Roman" w:hAnsi="Times New Roman"/>
      <w:lang w:val="en-US"/>
    </w:rPr>
  </w:style>
  <w:style w:type="character" w:customStyle="1" w:styleId="FootnoteTextChar">
    <w:name w:val="Footnote Text Char"/>
    <w:basedOn w:val="DefaultParagraphFont"/>
    <w:link w:val="FootnoteText"/>
    <w:uiPriority w:val="99"/>
    <w:locked/>
    <w:rsid w:val="00555624"/>
    <w:rPr>
      <w:rFonts w:ascii="Times New Roman" w:hAnsi="Times New Roman" w:cs="Times New Roman"/>
      <w:lang w:val="en-US" w:eastAsia="en-US"/>
    </w:rPr>
  </w:style>
  <w:style w:type="character" w:styleId="FootnoteReference">
    <w:name w:val="footnote reference"/>
    <w:basedOn w:val="DefaultParagraphFont"/>
    <w:uiPriority w:val="99"/>
    <w:rsid w:val="00555624"/>
    <w:rPr>
      <w:rFonts w:cs="Times New Roman"/>
      <w:vertAlign w:val="superscript"/>
    </w:rPr>
  </w:style>
  <w:style w:type="paragraph" w:styleId="ListParagraph">
    <w:name w:val="List Paragraph"/>
    <w:basedOn w:val="Normal"/>
    <w:uiPriority w:val="34"/>
    <w:qFormat/>
    <w:rsid w:val="00BD5F08"/>
    <w:pPr>
      <w:ind w:left="720"/>
      <w:contextualSpacing/>
    </w:pPr>
  </w:style>
  <w:style w:type="paragraph" w:styleId="NormalWeb">
    <w:name w:val="Normal (Web)"/>
    <w:basedOn w:val="Normal"/>
    <w:uiPriority w:val="99"/>
    <w:semiHidden/>
    <w:unhideWhenUsed/>
    <w:rsid w:val="00113240"/>
    <w:pPr>
      <w:spacing w:before="100" w:beforeAutospacing="1" w:after="100" w:afterAutospacing="1"/>
      <w:ind w:left="0" w:right="0"/>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9491">
      <w:bodyDiv w:val="1"/>
      <w:marLeft w:val="0"/>
      <w:marRight w:val="0"/>
      <w:marTop w:val="0"/>
      <w:marBottom w:val="0"/>
      <w:divBdr>
        <w:top w:val="none" w:sz="0" w:space="0" w:color="auto"/>
        <w:left w:val="none" w:sz="0" w:space="0" w:color="auto"/>
        <w:bottom w:val="none" w:sz="0" w:space="0" w:color="auto"/>
        <w:right w:val="none" w:sz="0" w:space="0" w:color="auto"/>
      </w:divBdr>
    </w:div>
    <w:div w:id="298654197">
      <w:bodyDiv w:val="1"/>
      <w:marLeft w:val="0"/>
      <w:marRight w:val="0"/>
      <w:marTop w:val="0"/>
      <w:marBottom w:val="0"/>
      <w:divBdr>
        <w:top w:val="none" w:sz="0" w:space="0" w:color="auto"/>
        <w:left w:val="none" w:sz="0" w:space="0" w:color="auto"/>
        <w:bottom w:val="none" w:sz="0" w:space="0" w:color="auto"/>
        <w:right w:val="none" w:sz="0" w:space="0" w:color="auto"/>
      </w:divBdr>
    </w:div>
    <w:div w:id="1059129035">
      <w:bodyDiv w:val="1"/>
      <w:marLeft w:val="0"/>
      <w:marRight w:val="0"/>
      <w:marTop w:val="0"/>
      <w:marBottom w:val="0"/>
      <w:divBdr>
        <w:top w:val="none" w:sz="0" w:space="0" w:color="auto"/>
        <w:left w:val="none" w:sz="0" w:space="0" w:color="auto"/>
        <w:bottom w:val="none" w:sz="0" w:space="0" w:color="auto"/>
        <w:right w:val="none" w:sz="0" w:space="0" w:color="auto"/>
      </w:divBdr>
    </w:div>
    <w:div w:id="1135099119">
      <w:marLeft w:val="0"/>
      <w:marRight w:val="0"/>
      <w:marTop w:val="0"/>
      <w:marBottom w:val="0"/>
      <w:divBdr>
        <w:top w:val="none" w:sz="0" w:space="0" w:color="auto"/>
        <w:left w:val="none" w:sz="0" w:space="0" w:color="auto"/>
        <w:bottom w:val="none" w:sz="0" w:space="0" w:color="auto"/>
        <w:right w:val="none" w:sz="0" w:space="0" w:color="auto"/>
      </w:divBdr>
    </w:div>
    <w:div w:id="1135099121">
      <w:marLeft w:val="0"/>
      <w:marRight w:val="0"/>
      <w:marTop w:val="0"/>
      <w:marBottom w:val="0"/>
      <w:divBdr>
        <w:top w:val="none" w:sz="0" w:space="0" w:color="auto"/>
        <w:left w:val="none" w:sz="0" w:space="0" w:color="auto"/>
        <w:bottom w:val="none" w:sz="0" w:space="0" w:color="auto"/>
        <w:right w:val="none" w:sz="0" w:space="0" w:color="auto"/>
      </w:divBdr>
    </w:div>
    <w:div w:id="1135099122">
      <w:marLeft w:val="0"/>
      <w:marRight w:val="0"/>
      <w:marTop w:val="0"/>
      <w:marBottom w:val="0"/>
      <w:divBdr>
        <w:top w:val="none" w:sz="0" w:space="0" w:color="auto"/>
        <w:left w:val="none" w:sz="0" w:space="0" w:color="auto"/>
        <w:bottom w:val="none" w:sz="0" w:space="0" w:color="auto"/>
        <w:right w:val="none" w:sz="0" w:space="0" w:color="auto"/>
      </w:divBdr>
    </w:div>
    <w:div w:id="1135099124">
      <w:marLeft w:val="0"/>
      <w:marRight w:val="0"/>
      <w:marTop w:val="0"/>
      <w:marBottom w:val="0"/>
      <w:divBdr>
        <w:top w:val="none" w:sz="0" w:space="0" w:color="auto"/>
        <w:left w:val="none" w:sz="0" w:space="0" w:color="auto"/>
        <w:bottom w:val="none" w:sz="0" w:space="0" w:color="auto"/>
        <w:right w:val="none" w:sz="0" w:space="0" w:color="auto"/>
      </w:divBdr>
    </w:div>
    <w:div w:id="1135099125">
      <w:marLeft w:val="0"/>
      <w:marRight w:val="0"/>
      <w:marTop w:val="0"/>
      <w:marBottom w:val="0"/>
      <w:divBdr>
        <w:top w:val="none" w:sz="0" w:space="0" w:color="auto"/>
        <w:left w:val="none" w:sz="0" w:space="0" w:color="auto"/>
        <w:bottom w:val="none" w:sz="0" w:space="0" w:color="auto"/>
        <w:right w:val="none" w:sz="0" w:space="0" w:color="auto"/>
      </w:divBdr>
    </w:div>
    <w:div w:id="1135099126">
      <w:marLeft w:val="0"/>
      <w:marRight w:val="0"/>
      <w:marTop w:val="0"/>
      <w:marBottom w:val="0"/>
      <w:divBdr>
        <w:top w:val="none" w:sz="0" w:space="0" w:color="auto"/>
        <w:left w:val="none" w:sz="0" w:space="0" w:color="auto"/>
        <w:bottom w:val="none" w:sz="0" w:space="0" w:color="auto"/>
        <w:right w:val="none" w:sz="0" w:space="0" w:color="auto"/>
      </w:divBdr>
      <w:divsChild>
        <w:div w:id="1135099118">
          <w:marLeft w:val="0"/>
          <w:marRight w:val="0"/>
          <w:marTop w:val="0"/>
          <w:marBottom w:val="0"/>
          <w:divBdr>
            <w:top w:val="none" w:sz="0" w:space="0" w:color="auto"/>
            <w:left w:val="none" w:sz="0" w:space="0" w:color="auto"/>
            <w:bottom w:val="none" w:sz="0" w:space="0" w:color="auto"/>
            <w:right w:val="none" w:sz="0" w:space="0" w:color="auto"/>
          </w:divBdr>
          <w:divsChild>
            <w:div w:id="1135099120">
              <w:marLeft w:val="0"/>
              <w:marRight w:val="0"/>
              <w:marTop w:val="0"/>
              <w:marBottom w:val="0"/>
              <w:divBdr>
                <w:top w:val="none" w:sz="0" w:space="0" w:color="auto"/>
                <w:left w:val="none" w:sz="0" w:space="0" w:color="auto"/>
                <w:bottom w:val="none" w:sz="0" w:space="0" w:color="auto"/>
                <w:right w:val="none" w:sz="0" w:space="0" w:color="auto"/>
              </w:divBdr>
              <w:divsChild>
                <w:div w:id="1135099129">
                  <w:marLeft w:val="0"/>
                  <w:marRight w:val="0"/>
                  <w:marTop w:val="0"/>
                  <w:marBottom w:val="0"/>
                  <w:divBdr>
                    <w:top w:val="none" w:sz="0" w:space="0" w:color="auto"/>
                    <w:left w:val="none" w:sz="0" w:space="0" w:color="auto"/>
                    <w:bottom w:val="none" w:sz="0" w:space="0" w:color="auto"/>
                    <w:right w:val="none" w:sz="0" w:space="0" w:color="auto"/>
                  </w:divBdr>
                  <w:divsChild>
                    <w:div w:id="11350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9127">
      <w:marLeft w:val="0"/>
      <w:marRight w:val="0"/>
      <w:marTop w:val="0"/>
      <w:marBottom w:val="0"/>
      <w:divBdr>
        <w:top w:val="none" w:sz="0" w:space="0" w:color="auto"/>
        <w:left w:val="none" w:sz="0" w:space="0" w:color="auto"/>
        <w:bottom w:val="none" w:sz="0" w:space="0" w:color="auto"/>
        <w:right w:val="none" w:sz="0" w:space="0" w:color="auto"/>
      </w:divBdr>
    </w:div>
    <w:div w:id="1135099128">
      <w:marLeft w:val="0"/>
      <w:marRight w:val="0"/>
      <w:marTop w:val="0"/>
      <w:marBottom w:val="0"/>
      <w:divBdr>
        <w:top w:val="none" w:sz="0" w:space="0" w:color="auto"/>
        <w:left w:val="none" w:sz="0" w:space="0" w:color="auto"/>
        <w:bottom w:val="none" w:sz="0" w:space="0" w:color="auto"/>
        <w:right w:val="none" w:sz="0" w:space="0" w:color="auto"/>
      </w:divBdr>
    </w:div>
    <w:div w:id="1135099130">
      <w:marLeft w:val="0"/>
      <w:marRight w:val="0"/>
      <w:marTop w:val="0"/>
      <w:marBottom w:val="0"/>
      <w:divBdr>
        <w:top w:val="none" w:sz="0" w:space="0" w:color="auto"/>
        <w:left w:val="none" w:sz="0" w:space="0" w:color="auto"/>
        <w:bottom w:val="none" w:sz="0" w:space="0" w:color="auto"/>
        <w:right w:val="none" w:sz="0" w:space="0" w:color="auto"/>
      </w:divBdr>
    </w:div>
    <w:div w:id="1185897954">
      <w:bodyDiv w:val="1"/>
      <w:marLeft w:val="0"/>
      <w:marRight w:val="0"/>
      <w:marTop w:val="0"/>
      <w:marBottom w:val="0"/>
      <w:divBdr>
        <w:top w:val="none" w:sz="0" w:space="0" w:color="auto"/>
        <w:left w:val="none" w:sz="0" w:space="0" w:color="auto"/>
        <w:bottom w:val="none" w:sz="0" w:space="0" w:color="auto"/>
        <w:right w:val="none" w:sz="0" w:space="0" w:color="auto"/>
      </w:divBdr>
    </w:div>
    <w:div w:id="1279337433">
      <w:bodyDiv w:val="1"/>
      <w:marLeft w:val="0"/>
      <w:marRight w:val="0"/>
      <w:marTop w:val="0"/>
      <w:marBottom w:val="0"/>
      <w:divBdr>
        <w:top w:val="none" w:sz="0" w:space="0" w:color="auto"/>
        <w:left w:val="none" w:sz="0" w:space="0" w:color="auto"/>
        <w:bottom w:val="none" w:sz="0" w:space="0" w:color="auto"/>
        <w:right w:val="none" w:sz="0" w:space="0" w:color="auto"/>
      </w:divBdr>
    </w:div>
    <w:div w:id="1595433120">
      <w:bodyDiv w:val="1"/>
      <w:marLeft w:val="0"/>
      <w:marRight w:val="0"/>
      <w:marTop w:val="0"/>
      <w:marBottom w:val="0"/>
      <w:divBdr>
        <w:top w:val="none" w:sz="0" w:space="0" w:color="auto"/>
        <w:left w:val="none" w:sz="0" w:space="0" w:color="auto"/>
        <w:bottom w:val="none" w:sz="0" w:space="0" w:color="auto"/>
        <w:right w:val="none" w:sz="0" w:space="0" w:color="auto"/>
      </w:divBdr>
    </w:div>
    <w:div w:id="20067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hyperlink" Target="http://www.iso20022.org/documents/general/InvestmentRoadmap.pdf" TargetMode="External"/><Relationship Id="rId39" Type="http://schemas.openxmlformats.org/officeDocument/2006/relationships/image" Target="media/image18.emf"/><Relationship Id="rId21" Type="http://schemas.openxmlformats.org/officeDocument/2006/relationships/image" Target="media/image6.emf"/><Relationship Id="rId34" Type="http://schemas.openxmlformats.org/officeDocument/2006/relationships/image" Target="media/image13.emf"/><Relationship Id="rId42" Type="http://schemas.openxmlformats.org/officeDocument/2006/relationships/hyperlink" Target="http://www.businessdictionary.com/definition/promissory-note.html" TargetMode="External"/><Relationship Id="rId47" Type="http://schemas.openxmlformats.org/officeDocument/2006/relationships/hyperlink" Target="http://www.investorwords.com/9376/cut_down_on.html" TargetMode="External"/><Relationship Id="rId50" Type="http://schemas.openxmlformats.org/officeDocument/2006/relationships/image" Target="media/image20.emf"/><Relationship Id="rId55" Type="http://schemas.openxmlformats.org/officeDocument/2006/relationships/hyperlink" Target="http://www.iccwbo.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hyperlink" Target="http://www.iso20022.org/documents/general/InvestmentRoadmap.pdf" TargetMode="External"/><Relationship Id="rId41" Type="http://schemas.openxmlformats.org/officeDocument/2006/relationships/hyperlink" Target="http://www.businessdictionary.com/definition/bill-of-exchange-BOE.html" TargetMode="External"/><Relationship Id="rId54" Type="http://schemas.openxmlformats.org/officeDocument/2006/relationships/image" Target="media/image23.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hyperlink" Target="http://www.iso20022.org/documents/general/InvestmentRoadmap.pdf" TargetMode="External"/><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yperlink" Target="http://www.businessdictionary.com/definition/receipt.html" TargetMode="External"/><Relationship Id="rId53" Type="http://schemas.openxmlformats.org/officeDocument/2006/relationships/image" Target="media/image22.emf"/><Relationship Id="rId58"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hyperlink" Target="http://www.iccwbo.org" TargetMode="External"/><Relationship Id="rId57" Type="http://schemas.openxmlformats.org/officeDocument/2006/relationships/hyperlink" Target="http://www.iccwbo.org/" TargetMode="External"/><Relationship Id="rId61"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image" Target="media/image12.emf"/><Relationship Id="rId44" Type="http://schemas.openxmlformats.org/officeDocument/2006/relationships/hyperlink" Target="http://www.businessdictionary.com/definition/pay.html" TargetMode="External"/><Relationship Id="rId52" Type="http://schemas.openxmlformats.org/officeDocument/2006/relationships/hyperlink" Target="http://www.iccwbo.org" TargetMode="External"/><Relationship Id="rId60"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hyperlink" Target="http://www.iso20022.org/documents/general/InvestmentRoadmap.pdf" TargetMode="External"/><Relationship Id="rId35" Type="http://schemas.openxmlformats.org/officeDocument/2006/relationships/image" Target="media/image14.emf"/><Relationship Id="rId43" Type="http://schemas.openxmlformats.org/officeDocument/2006/relationships/hyperlink" Target="http://www.businessdictionary.com/definition/buyer.html" TargetMode="External"/><Relationship Id="rId48" Type="http://schemas.openxmlformats.org/officeDocument/2006/relationships/hyperlink" Target="http://www.investorwords.com/1365/deferred_payment.html" TargetMode="External"/><Relationship Id="rId56" Type="http://schemas.openxmlformats.org/officeDocument/2006/relationships/hyperlink" Target="http://www.iccwbo.org/" TargetMode="External"/><Relationship Id="rId8" Type="http://schemas.openxmlformats.org/officeDocument/2006/relationships/endnotes" Target="endnotes.xml"/><Relationship Id="rId51" Type="http://schemas.openxmlformats.org/officeDocument/2006/relationships/image" Target="media/image2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iso20022.org/documents/general/InvestmentRoadmap.pdf" TargetMode="External"/><Relationship Id="rId33" Type="http://schemas.openxmlformats.org/officeDocument/2006/relationships/hyperlink" Target="http://www.iso20022.org/documents/general/InvestmentRoadmap.pdf" TargetMode="External"/><Relationship Id="rId38" Type="http://schemas.openxmlformats.org/officeDocument/2006/relationships/image" Target="media/image17.jpeg"/><Relationship Id="rId46" Type="http://schemas.openxmlformats.org/officeDocument/2006/relationships/hyperlink" Target="http://www.businessdictionary.com/definition/goods.html" TargetMode="External"/><Relationship Id="rId5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ech\Local%20Settings\Temporary%20Internet%20Files\Content.IE5\F03EEPSZ\BUSINESS_PROPOSAL_Letter_v1_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4F58-5DA2-4C9B-BD76-E8FE5171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BUSINESS_PROPOSAL_Letter_v1_1[1]</Template>
  <TotalTime>18</TotalTime>
  <Pages>61</Pages>
  <Words>10225</Words>
  <Characters>62391</Characters>
  <Application>Microsoft Office Word</Application>
  <DocSecurity>0</DocSecurity>
  <Lines>519</Lines>
  <Paragraphs>144</Paragraphs>
  <ScaleCrop>false</ScaleCrop>
  <HeadingPairs>
    <vt:vector size="2" baseType="variant">
      <vt:variant>
        <vt:lpstr>Title</vt:lpstr>
      </vt:variant>
      <vt:variant>
        <vt:i4>1</vt:i4>
      </vt:variant>
    </vt:vector>
  </HeadingPairs>
  <TitlesOfParts>
    <vt:vector size="1" baseType="lpstr">
      <vt:lpstr>Standards Messaging Landscape</vt:lpstr>
    </vt:vector>
  </TitlesOfParts>
  <Company>SWIFT para América Latina</Company>
  <LinksUpToDate>false</LinksUpToDate>
  <CharactersWithSpaces>72472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Messaging Landscape</dc:title>
  <dc:subject>Standards</dc:subject>
  <dc:creator>FVD</dc:creator>
  <cp:lastModifiedBy>DERIDDER Karin</cp:lastModifiedBy>
  <cp:revision>3</cp:revision>
  <cp:lastPrinted>2012-11-14T08:53:00Z</cp:lastPrinted>
  <dcterms:created xsi:type="dcterms:W3CDTF">2013-04-10T09:29:00Z</dcterms:created>
  <dcterms:modified xsi:type="dcterms:W3CDTF">2013-04-10T09:47:00Z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