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63" w:rsidRPr="0068202E" w:rsidRDefault="00AA3098" w:rsidP="002B7263">
      <w:pPr>
        <w:pStyle w:val="Title"/>
        <w:tabs>
          <w:tab w:val="center" w:pos="4890"/>
          <w:tab w:val="left" w:pos="8864"/>
        </w:tabs>
        <w:spacing w:after="120"/>
        <w:rPr>
          <w:rFonts w:cs="Arial"/>
          <w:b/>
          <w:bCs/>
          <w:sz w:val="40"/>
          <w:szCs w:val="40"/>
        </w:rPr>
      </w:pPr>
      <w:r w:rsidRPr="00AA3098">
        <w:rPr>
          <w:rFonts w:cs="Arial"/>
          <w:b/>
          <w:bCs/>
          <w:noProof/>
          <w:sz w:val="40"/>
          <w:szCs w:val="40"/>
          <w:u w:val="none"/>
          <w:lang w:val="en-US"/>
        </w:rPr>
        <w:pict>
          <v:rect id="_x0000_s1037" style="position:absolute;left:0;text-align:left;margin-left:-4.95pt;margin-top:.55pt;width:473pt;height:34.4pt;z-index:-251656192" filled="f" strokecolor="silver"/>
        </w:pict>
      </w:r>
      <w:r w:rsidR="002B7263">
        <w:rPr>
          <w:rFonts w:cs="Arial"/>
          <w:b/>
          <w:bCs/>
          <w:noProof/>
          <w:sz w:val="40"/>
          <w:szCs w:val="40"/>
          <w:u w:val="none"/>
          <w:lang w:val="en-US"/>
        </w:rPr>
        <w:t xml:space="preserve">Athens - </w:t>
      </w:r>
      <w:r w:rsidR="002B7263" w:rsidRPr="0068202E">
        <w:rPr>
          <w:rFonts w:cs="Arial"/>
          <w:b/>
          <w:bCs/>
          <w:sz w:val="40"/>
          <w:szCs w:val="40"/>
          <w:u w:val="none"/>
        </w:rPr>
        <w:t xml:space="preserve">SMPG meeting: </w:t>
      </w:r>
      <w:r w:rsidR="002B7263">
        <w:rPr>
          <w:rFonts w:cs="Arial"/>
          <w:b/>
          <w:bCs/>
          <w:sz w:val="40"/>
          <w:szCs w:val="40"/>
          <w:u w:val="none"/>
        </w:rPr>
        <w:t>April</w:t>
      </w:r>
      <w:r w:rsidR="002B7263" w:rsidRPr="0068202E">
        <w:rPr>
          <w:rFonts w:cs="Arial"/>
          <w:b/>
          <w:bCs/>
          <w:sz w:val="40"/>
          <w:szCs w:val="40"/>
          <w:u w:val="none"/>
        </w:rPr>
        <w:t xml:space="preserve"> </w:t>
      </w:r>
      <w:r w:rsidR="002B7263">
        <w:rPr>
          <w:rFonts w:cs="Arial"/>
          <w:b/>
          <w:bCs/>
          <w:sz w:val="40"/>
          <w:szCs w:val="40"/>
          <w:u w:val="none"/>
        </w:rPr>
        <w:t xml:space="preserve">24 – 26, </w:t>
      </w:r>
      <w:r w:rsidR="002B7263" w:rsidRPr="0068202E">
        <w:rPr>
          <w:rFonts w:cs="Arial"/>
          <w:b/>
          <w:bCs/>
          <w:sz w:val="40"/>
          <w:szCs w:val="40"/>
          <w:u w:val="none"/>
        </w:rPr>
        <w:t>20</w:t>
      </w:r>
      <w:r w:rsidR="002B7263">
        <w:rPr>
          <w:rFonts w:cs="Arial"/>
          <w:b/>
          <w:bCs/>
          <w:sz w:val="40"/>
          <w:szCs w:val="40"/>
          <w:u w:val="none"/>
        </w:rPr>
        <w:t>12</w:t>
      </w:r>
      <w:r w:rsidRPr="0068202E">
        <w:rPr>
          <w:rFonts w:cs="Arial"/>
          <w:b/>
          <w:bCs/>
          <w:color w:val="FFFFFF"/>
          <w:sz w:val="40"/>
          <w:szCs w:val="40"/>
        </w:rPr>
        <w:fldChar w:fldCharType="begin">
          <w:ffData>
            <w:name w:val="Check3"/>
            <w:enabled/>
            <w:calcOnExit w:val="0"/>
            <w:checkBox>
              <w:sizeAuto/>
              <w:default w:val="0"/>
              <w:checked w:val="0"/>
            </w:checkBox>
          </w:ffData>
        </w:fldChar>
      </w:r>
      <w:bookmarkStart w:id="0" w:name="Check3"/>
      <w:r w:rsidR="002B7263" w:rsidRPr="0068202E">
        <w:rPr>
          <w:rFonts w:cs="Arial"/>
          <w:b/>
          <w:bCs/>
          <w:color w:val="FFFFFF"/>
          <w:sz w:val="40"/>
          <w:szCs w:val="40"/>
        </w:rPr>
        <w:instrText xml:space="preserve"> FORMCHECKBOX </w:instrText>
      </w:r>
      <w:r w:rsidRPr="0068202E">
        <w:rPr>
          <w:rFonts w:cs="Arial"/>
          <w:b/>
          <w:bCs/>
          <w:color w:val="FFFFFF"/>
          <w:sz w:val="40"/>
          <w:szCs w:val="40"/>
        </w:rPr>
      </w:r>
      <w:r w:rsidRPr="0068202E">
        <w:rPr>
          <w:rFonts w:cs="Arial"/>
          <w:b/>
          <w:bCs/>
          <w:color w:val="FFFFFF"/>
          <w:sz w:val="40"/>
          <w:szCs w:val="40"/>
        </w:rPr>
        <w:fldChar w:fldCharType="end"/>
      </w:r>
      <w:bookmarkEnd w:id="0"/>
    </w:p>
    <w:tbl>
      <w:tblPr>
        <w:tblW w:w="5850" w:type="dxa"/>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2"/>
      </w:tblGrid>
      <w:tr w:rsidR="002B7263" w:rsidRPr="007B2B7D" w:rsidTr="00F963B6">
        <w:trPr>
          <w:trHeight w:val="1685"/>
        </w:trPr>
        <w:tc>
          <w:tcPr>
            <w:tcW w:w="5850" w:type="dxa"/>
            <w:tcBorders>
              <w:top w:val="single" w:sz="4" w:space="0" w:color="C0C0C0"/>
              <w:left w:val="single" w:sz="4" w:space="0" w:color="C0C0C0"/>
              <w:bottom w:val="single" w:sz="4" w:space="0" w:color="C0C0C0"/>
              <w:right w:val="single" w:sz="4" w:space="0" w:color="C0C0C0"/>
            </w:tcBorders>
          </w:tcPr>
          <w:p w:rsidR="002B7263" w:rsidRPr="00382502" w:rsidRDefault="00AA3098" w:rsidP="00F963B6">
            <w:pPr>
              <w:rPr>
                <w:rFonts w:cs="Arial"/>
                <w:b/>
                <w:noProof/>
                <w:color w:val="000000" w:themeColor="text1"/>
                <w:sz w:val="32"/>
                <w:szCs w:val="32"/>
                <w:lang w:val="en-GB"/>
              </w:rPr>
            </w:pPr>
            <w:r w:rsidRPr="00AA3098">
              <w:rPr>
                <w:rFonts w:cs="Arial"/>
                <w:b/>
                <w:noProof/>
                <w:color w:val="000000" w:themeColor="text1"/>
                <w:sz w:val="32"/>
                <w:szCs w:val="32"/>
                <w:u w:val="single"/>
              </w:rPr>
              <w:pict>
                <v:group id="_x0000_s1038" editas="canvas" style="position:absolute;left:0;text-align:left;margin-left:-185.85pt;margin-top:.6pt;width:178.15pt;height:173.75pt;z-index:251661312" coordorigin="732,1715" coordsize="3563,34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732;top:1715;width:3563;height:3475" o:preferrelative="f" stroked="t" strokecolor="silver">
                    <v:fill o:detectmouseclick="t"/>
                    <v:imagedata gain="19661f" blacklevel="22938f"/>
                    <v:path o:extrusionok="t" o:connecttype="none"/>
                    <o:lock v:ext="edit" text="t"/>
                  </v:shape>
                  <v:rect id="_x0000_s1040" style="position:absolute;left:1184;top:1715;width:62;height:253;mso-wrap-style:none" filled="f" stroked="f">
                    <v:textbox style="mso-next-textbox:#_x0000_s1040;mso-fit-shape-to-text:t" inset="0,0,0,0">
                      <w:txbxContent>
                        <w:p w:rsidR="00386D34" w:rsidRDefault="00386D34" w:rsidP="002B7263">
                          <w:r>
                            <w:rPr>
                              <w:color w:val="000000"/>
                            </w:rPr>
                            <w:t xml:space="preserve"> </w:t>
                          </w:r>
                        </w:p>
                      </w:txbxContent>
                    </v:textbox>
                  </v:rect>
                  <v:shape id="_x0000_s1041" type="#_x0000_t75" style="position:absolute;left:732;top:2048;width:3488;height:3142">
                    <v:imagedata r:id="rId7" o:title=""/>
                  </v:shape>
                </v:group>
              </w:pict>
            </w:r>
            <w:r w:rsidR="002B7263" w:rsidRPr="00382502">
              <w:rPr>
                <w:rFonts w:cs="Arial"/>
                <w:b/>
                <w:noProof/>
                <w:color w:val="000000" w:themeColor="text1"/>
                <w:sz w:val="32"/>
                <w:szCs w:val="32"/>
                <w:lang w:val="en-GB"/>
              </w:rPr>
              <w:t>Meeting Venue:</w:t>
            </w:r>
          </w:p>
          <w:p w:rsidR="002B7263" w:rsidRPr="00382502" w:rsidRDefault="002B7263" w:rsidP="00F963B6">
            <w:pPr>
              <w:rPr>
                <w:rFonts w:cs="Arial"/>
                <w:noProof/>
                <w:color w:val="000080"/>
                <w:sz w:val="32"/>
                <w:szCs w:val="32"/>
                <w:lang w:val="en-GB"/>
              </w:rPr>
            </w:pPr>
          </w:p>
          <w:p w:rsidR="002B7263" w:rsidRPr="00382502" w:rsidRDefault="002B7263" w:rsidP="00F963B6">
            <w:pPr>
              <w:jc w:val="center"/>
              <w:rPr>
                <w:rFonts w:cs="Arial"/>
                <w:b/>
                <w:color w:val="0000FF"/>
                <w:sz w:val="28"/>
                <w:szCs w:val="28"/>
                <w:lang w:val="en-GB"/>
              </w:rPr>
            </w:pPr>
            <w:r w:rsidRPr="00382502">
              <w:rPr>
                <w:rFonts w:cs="Arial"/>
                <w:b/>
                <w:color w:val="0000FF"/>
                <w:sz w:val="28"/>
                <w:szCs w:val="28"/>
                <w:lang w:val="en-GB"/>
              </w:rPr>
              <w:t>DIVANI PALACE ACROPOLIS Hotel</w:t>
            </w:r>
          </w:p>
          <w:p w:rsidR="002B7263" w:rsidRPr="00094B9F" w:rsidRDefault="002B7263" w:rsidP="00F963B6">
            <w:pPr>
              <w:jc w:val="center"/>
              <w:rPr>
                <w:rFonts w:cs="Arial"/>
                <w:color w:val="0000FF"/>
                <w:sz w:val="28"/>
                <w:szCs w:val="28"/>
              </w:rPr>
            </w:pPr>
            <w:r w:rsidRPr="00094B9F">
              <w:rPr>
                <w:rFonts w:cs="Arial"/>
                <w:color w:val="0000FF"/>
                <w:sz w:val="28"/>
                <w:szCs w:val="28"/>
              </w:rPr>
              <w:t>19-25 Parthenonos str.</w:t>
            </w:r>
          </w:p>
          <w:p w:rsidR="002B7263" w:rsidRPr="002F36B4" w:rsidRDefault="002B7263" w:rsidP="00F963B6">
            <w:pPr>
              <w:jc w:val="center"/>
              <w:rPr>
                <w:rFonts w:ascii="Calibri" w:hAnsi="Calibri"/>
                <w:b/>
                <w:lang w:val="fr-FR"/>
              </w:rPr>
            </w:pPr>
            <w:r w:rsidRPr="00094B9F">
              <w:rPr>
                <w:rFonts w:cs="Arial"/>
                <w:color w:val="0000FF"/>
                <w:sz w:val="28"/>
                <w:szCs w:val="28"/>
              </w:rPr>
              <w:t>117 42 Athens - Greece</w:t>
            </w:r>
          </w:p>
        </w:tc>
      </w:tr>
      <w:tr w:rsidR="002B7263" w:rsidRPr="007B2B7D" w:rsidTr="002B7263">
        <w:trPr>
          <w:trHeight w:val="1808"/>
        </w:trPr>
        <w:tc>
          <w:tcPr>
            <w:tcW w:w="5850" w:type="dxa"/>
            <w:tcBorders>
              <w:top w:val="single" w:sz="4" w:space="0" w:color="C0C0C0"/>
              <w:left w:val="single" w:sz="4" w:space="0" w:color="C0C0C0"/>
              <w:bottom w:val="single" w:sz="4" w:space="0" w:color="C0C0C0"/>
              <w:right w:val="single" w:sz="4" w:space="0" w:color="C0C0C0"/>
            </w:tcBorders>
            <w:vAlign w:val="center"/>
          </w:tcPr>
          <w:p w:rsidR="002B7263" w:rsidRPr="002F36B4" w:rsidRDefault="00AA3098" w:rsidP="00F963B6">
            <w:pPr>
              <w:pStyle w:val="Header"/>
              <w:rPr>
                <w:b/>
                <w:sz w:val="26"/>
              </w:rPr>
            </w:pPr>
            <w:r w:rsidRPr="00AA3098">
              <w:rPr>
                <w:b/>
                <w:sz w:val="26"/>
              </w:rPr>
              <w:pict>
                <v:shape id="_x0000_i1025" type="#_x0000_t75" style="width:284.25pt;height:66pt">
                  <v:imagedata r:id="rId8" o:title="EETlogoEn-1line"/>
                </v:shape>
              </w:pict>
            </w:r>
          </w:p>
        </w:tc>
      </w:tr>
    </w:tbl>
    <w:p w:rsidR="002B7263" w:rsidRDefault="002B7263" w:rsidP="002B7263">
      <w:pPr>
        <w:rPr>
          <w:b/>
          <w:bCs/>
          <w:color w:val="FF0000"/>
          <w:lang w:val="de-DE"/>
        </w:rPr>
      </w:pPr>
    </w:p>
    <w:p w:rsidR="002B7263" w:rsidRPr="00DE74DE" w:rsidRDefault="002B7263" w:rsidP="009D665C">
      <w:pPr>
        <w:spacing w:before="20" w:after="20"/>
        <w:jc w:val="center"/>
        <w:rPr>
          <w:b/>
          <w:bCs/>
          <w:color w:val="0000FF"/>
          <w:lang w:val="en-GB"/>
        </w:rPr>
      </w:pPr>
      <w:r w:rsidRPr="00DE74DE">
        <w:rPr>
          <w:b/>
          <w:bCs/>
          <w:color w:val="0000FF"/>
          <w:u w:val="single"/>
          <w:lang w:val="en-GB"/>
        </w:rPr>
        <w:t>Dress Code</w:t>
      </w:r>
      <w:r>
        <w:rPr>
          <w:b/>
          <w:bCs/>
          <w:color w:val="0000FF"/>
          <w:lang w:val="en-GB"/>
        </w:rPr>
        <w:t>: Business Casual</w:t>
      </w:r>
    </w:p>
    <w:p w:rsidR="002B7263" w:rsidRPr="00AF750B" w:rsidRDefault="002B7263" w:rsidP="002B7263">
      <w:pPr>
        <w:rPr>
          <w:b/>
          <w:bCs/>
          <w:color w:val="FF0000"/>
          <w:lang w:val="de-DE"/>
        </w:rPr>
      </w:pPr>
    </w:p>
    <w:tbl>
      <w:tblPr>
        <w:tblW w:w="0" w:type="auto"/>
        <w:tblLayout w:type="fixed"/>
        <w:tblCellMar>
          <w:left w:w="0" w:type="dxa"/>
          <w:right w:w="0" w:type="dxa"/>
        </w:tblCellMar>
        <w:tblLook w:val="04A0"/>
      </w:tblPr>
      <w:tblGrid>
        <w:gridCol w:w="105"/>
        <w:gridCol w:w="105"/>
        <w:gridCol w:w="1590"/>
        <w:gridCol w:w="120"/>
        <w:gridCol w:w="3318"/>
        <w:gridCol w:w="2160"/>
        <w:gridCol w:w="2070"/>
        <w:gridCol w:w="58"/>
        <w:gridCol w:w="30"/>
        <w:gridCol w:w="30"/>
      </w:tblGrid>
      <w:tr w:rsidR="002B7263" w:rsidTr="00F963B6">
        <w:trPr>
          <w:cantSplit/>
        </w:trPr>
        <w:tc>
          <w:tcPr>
            <w:tcW w:w="9556" w:type="dxa"/>
            <w:gridSpan w:val="9"/>
            <w:tcBorders>
              <w:top w:val="single" w:sz="8" w:space="0" w:color="auto"/>
              <w:left w:val="single" w:sz="8" w:space="0" w:color="auto"/>
              <w:bottom w:val="double" w:sz="4"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2B7263" w:rsidRDefault="002B7263" w:rsidP="00F963B6">
            <w:pPr>
              <w:rPr>
                <w:rFonts w:eastAsiaTheme="minorHAnsi" w:cs="Arial"/>
                <w:sz w:val="28"/>
                <w:szCs w:val="28"/>
              </w:rPr>
            </w:pPr>
            <w:r>
              <w:rPr>
                <w:sz w:val="28"/>
                <w:szCs w:val="28"/>
              </w:rPr>
              <w:t>Tuesday 24th of April</w:t>
            </w:r>
          </w:p>
        </w:tc>
        <w:tc>
          <w:tcPr>
            <w:tcW w:w="30" w:type="dxa"/>
            <w:vAlign w:val="center"/>
            <w:hideMark/>
          </w:tcPr>
          <w:p w:rsidR="002B7263" w:rsidRDefault="002B7263" w:rsidP="00F963B6">
            <w:pPr>
              <w:rPr>
                <w:rFonts w:ascii="Calibri" w:eastAsiaTheme="minorHAnsi" w:hAnsi="Calibri"/>
                <w:szCs w:val="22"/>
              </w:rPr>
            </w:pPr>
            <w:r>
              <w:t> </w:t>
            </w:r>
          </w:p>
        </w:tc>
      </w:tr>
      <w:tr w:rsidR="002B7263" w:rsidTr="00F963B6">
        <w:trPr>
          <w:cantSplit/>
        </w:trPr>
        <w:tc>
          <w:tcPr>
            <w:tcW w:w="9556" w:type="dxa"/>
            <w:gridSpan w:val="9"/>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B7263" w:rsidRPr="000E17D1" w:rsidRDefault="002B7263" w:rsidP="00F963B6">
            <w:pPr>
              <w:pStyle w:val="BlockText"/>
              <w:shd w:val="clear" w:color="auto" w:fill="FFFFFF"/>
              <w:spacing w:before="0"/>
              <w:jc w:val="left"/>
              <w:rPr>
                <w:sz w:val="20"/>
              </w:rPr>
            </w:pPr>
            <w:r w:rsidRPr="000E17D1">
              <w:rPr>
                <w:sz w:val="20"/>
              </w:rPr>
              <w:t>Morning</w:t>
            </w:r>
          </w:p>
        </w:tc>
        <w:tc>
          <w:tcPr>
            <w:tcW w:w="30" w:type="dxa"/>
            <w:vAlign w:val="center"/>
            <w:hideMark/>
          </w:tcPr>
          <w:p w:rsidR="002B7263" w:rsidRDefault="002B7263" w:rsidP="00F963B6">
            <w:pPr>
              <w:rPr>
                <w:rFonts w:ascii="Calibri" w:eastAsiaTheme="minorHAnsi" w:hAnsi="Calibri"/>
                <w:szCs w:val="22"/>
              </w:rPr>
            </w:pPr>
            <w:r>
              <w:t> </w:t>
            </w:r>
          </w:p>
        </w:tc>
      </w:tr>
      <w:tr w:rsidR="002B7263" w:rsidTr="00F963B6">
        <w:trPr>
          <w:gridAfter w:val="1"/>
          <w:wAfter w:w="30" w:type="dxa"/>
          <w:cantSplit/>
        </w:trPr>
        <w:tc>
          <w:tcPr>
            <w:tcW w:w="210" w:type="dxa"/>
            <w:gridSpan w:val="2"/>
            <w:vAlign w:val="center"/>
            <w:hideMark/>
          </w:tcPr>
          <w:p w:rsidR="002B7263" w:rsidRDefault="002B7263" w:rsidP="00F963B6">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09:00 – 09:30</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Welcome Coffee + Registration</w:t>
            </w:r>
          </w:p>
        </w:tc>
      </w:tr>
      <w:tr w:rsidR="002B7263" w:rsidTr="00F963B6">
        <w:trPr>
          <w:gridAfter w:val="1"/>
          <w:wAfter w:w="30" w:type="dxa"/>
          <w:cantSplit/>
        </w:trPr>
        <w:tc>
          <w:tcPr>
            <w:tcW w:w="210" w:type="dxa"/>
            <w:gridSpan w:val="2"/>
            <w:vAlign w:val="center"/>
            <w:hideMark/>
          </w:tcPr>
          <w:p w:rsidR="002B7263" w:rsidRDefault="002B7263" w:rsidP="00F963B6">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09:30 – 10:45</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4563A" w:rsidRPr="000B4E8D" w:rsidRDefault="0034563A" w:rsidP="0034563A">
            <w:pPr>
              <w:rPr>
                <w:rFonts w:cs="Arial"/>
                <w:b/>
                <w:sz w:val="20"/>
              </w:rPr>
            </w:pPr>
            <w:r w:rsidRPr="000B4E8D">
              <w:rPr>
                <w:rFonts w:cs="Arial"/>
                <w:b/>
                <w:sz w:val="20"/>
              </w:rPr>
              <w:t>General Session</w:t>
            </w:r>
          </w:p>
          <w:p w:rsidR="0034563A" w:rsidRDefault="0034563A" w:rsidP="0034563A">
            <w:pPr>
              <w:rPr>
                <w:rFonts w:eastAsiaTheme="minorHAnsi" w:cs="Arial"/>
                <w:sz w:val="20"/>
              </w:rPr>
            </w:pPr>
          </w:p>
          <w:p w:rsidR="0034563A" w:rsidRDefault="0034563A" w:rsidP="0034563A">
            <w:pPr>
              <w:rPr>
                <w:rFonts w:cs="Arial"/>
                <w:sz w:val="20"/>
              </w:rPr>
            </w:pPr>
            <w:r>
              <w:rPr>
                <w:rFonts w:cs="Arial"/>
                <w:sz w:val="20"/>
              </w:rPr>
              <w:t>1.  Welcome address (Karla Mc Kenna - Chair)</w:t>
            </w:r>
          </w:p>
          <w:p w:rsidR="0034563A" w:rsidRDefault="0034563A" w:rsidP="0034563A">
            <w:pPr>
              <w:rPr>
                <w:rFonts w:cs="Arial"/>
                <w:sz w:val="20"/>
              </w:rPr>
            </w:pPr>
            <w:r>
              <w:rPr>
                <w:rFonts w:cs="Arial"/>
                <w:sz w:val="20"/>
              </w:rPr>
              <w:t>2.  Meeting schedule overview (Jacques Littré – General Secretary)</w:t>
            </w:r>
          </w:p>
          <w:p w:rsidR="0034563A" w:rsidRDefault="0034563A" w:rsidP="0034563A">
            <w:pPr>
              <w:rPr>
                <w:rFonts w:cs="Arial"/>
                <w:sz w:val="20"/>
              </w:rPr>
            </w:pPr>
            <w:r>
              <w:rPr>
                <w:rFonts w:cs="Arial"/>
                <w:sz w:val="20"/>
              </w:rPr>
              <w:t>3</w:t>
            </w:r>
            <w:r w:rsidRPr="00CC6F48">
              <w:rPr>
                <w:rFonts w:cs="Arial"/>
                <w:sz w:val="20"/>
              </w:rPr>
              <w:t xml:space="preserve">. </w:t>
            </w:r>
            <w:r>
              <w:rPr>
                <w:rFonts w:cs="Arial"/>
                <w:sz w:val="20"/>
              </w:rPr>
              <w:t xml:space="preserve"> Regional updates - ABMF Status Reporting (Taketoshi Mori – APAC Regional Director)</w:t>
            </w:r>
          </w:p>
          <w:p w:rsidR="0034563A" w:rsidRDefault="0034563A" w:rsidP="0034563A">
            <w:pPr>
              <w:rPr>
                <w:rFonts w:cs="Arial"/>
                <w:sz w:val="20"/>
              </w:rPr>
            </w:pPr>
            <w:r>
              <w:rPr>
                <w:rFonts w:cs="Arial"/>
                <w:sz w:val="20"/>
              </w:rPr>
              <w:t>4.  Regulatory u</w:t>
            </w:r>
            <w:r w:rsidRPr="006F74A0">
              <w:rPr>
                <w:rFonts w:cs="Arial"/>
                <w:sz w:val="20"/>
              </w:rPr>
              <w:t xml:space="preserve">pdate </w:t>
            </w:r>
            <w:r>
              <w:rPr>
                <w:rFonts w:cs="Arial"/>
                <w:sz w:val="20"/>
              </w:rPr>
              <w:t>(r</w:t>
            </w:r>
            <w:r w:rsidRPr="006F74A0">
              <w:rPr>
                <w:rFonts w:cs="Arial"/>
                <w:sz w:val="20"/>
              </w:rPr>
              <w:t xml:space="preserve">eporting / </w:t>
            </w:r>
            <w:r>
              <w:rPr>
                <w:rFonts w:cs="Arial"/>
                <w:sz w:val="20"/>
              </w:rPr>
              <w:t>t</w:t>
            </w:r>
            <w:r w:rsidRPr="006F74A0">
              <w:rPr>
                <w:rFonts w:cs="Arial"/>
                <w:sz w:val="20"/>
              </w:rPr>
              <w:t xml:space="preserve">rade </w:t>
            </w:r>
            <w:r>
              <w:rPr>
                <w:rFonts w:cs="Arial"/>
                <w:sz w:val="20"/>
              </w:rPr>
              <w:t>r</w:t>
            </w:r>
            <w:r w:rsidRPr="006F74A0">
              <w:rPr>
                <w:rFonts w:cs="Arial"/>
                <w:sz w:val="20"/>
              </w:rPr>
              <w:t>epository mechanism</w:t>
            </w:r>
            <w:r>
              <w:rPr>
                <w:rFonts w:cs="Arial"/>
                <w:sz w:val="20"/>
              </w:rPr>
              <w:t>s) and LEI Progress Status (Rudolf Siebel - Vice Chair)</w:t>
            </w:r>
          </w:p>
          <w:p w:rsidR="002B7263" w:rsidRPr="000B4E8D" w:rsidRDefault="002B7263" w:rsidP="00F963B6">
            <w:pPr>
              <w:rPr>
                <w:rFonts w:cs="Arial"/>
                <w:sz w:val="20"/>
              </w:rPr>
            </w:pPr>
          </w:p>
        </w:tc>
      </w:tr>
      <w:tr w:rsidR="002B7263" w:rsidTr="00F963B6">
        <w:trPr>
          <w:gridAfter w:val="1"/>
          <w:wAfter w:w="30" w:type="dxa"/>
          <w:cantSplit/>
        </w:trPr>
        <w:tc>
          <w:tcPr>
            <w:tcW w:w="210" w:type="dxa"/>
            <w:gridSpan w:val="2"/>
            <w:vAlign w:val="center"/>
            <w:hideMark/>
          </w:tcPr>
          <w:p w:rsidR="002B7263" w:rsidRDefault="002B7263" w:rsidP="00F963B6">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10:45 – 11:00</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Coffee Break</w:t>
            </w:r>
          </w:p>
        </w:tc>
      </w:tr>
      <w:tr w:rsidR="002B7263" w:rsidTr="00F963B6">
        <w:trPr>
          <w:gridAfter w:val="1"/>
          <w:wAfter w:w="30" w:type="dxa"/>
          <w:cantSplit/>
        </w:trPr>
        <w:tc>
          <w:tcPr>
            <w:tcW w:w="210" w:type="dxa"/>
            <w:gridSpan w:val="2"/>
            <w:tcBorders>
              <w:top w:val="nil"/>
              <w:left w:val="nil"/>
              <w:bottom w:val="single" w:sz="8" w:space="0" w:color="auto"/>
              <w:right w:val="nil"/>
            </w:tcBorders>
            <w:vAlign w:val="center"/>
            <w:hideMark/>
          </w:tcPr>
          <w:p w:rsidR="002B7263" w:rsidRDefault="002B7263" w:rsidP="00F963B6">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11:00 – 12:30</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9D665C" w:rsidP="00F963B6">
            <w:pPr>
              <w:rPr>
                <w:rFonts w:cs="Arial"/>
                <w:b/>
                <w:sz w:val="20"/>
              </w:rPr>
            </w:pPr>
            <w:r>
              <w:rPr>
                <w:rFonts w:cs="Arial"/>
                <w:b/>
                <w:sz w:val="20"/>
              </w:rPr>
              <w:t xml:space="preserve">- </w:t>
            </w:r>
            <w:r w:rsidR="002B7263" w:rsidRPr="000B4E8D">
              <w:rPr>
                <w:rFonts w:cs="Arial"/>
                <w:b/>
                <w:sz w:val="20"/>
              </w:rPr>
              <w:t>General Session (Continued)</w:t>
            </w:r>
            <w:r>
              <w:rPr>
                <w:rFonts w:cs="Arial"/>
                <w:b/>
                <w:sz w:val="20"/>
              </w:rPr>
              <w:t xml:space="preserve"> - </w:t>
            </w:r>
          </w:p>
          <w:p w:rsidR="0034563A" w:rsidRDefault="0034563A" w:rsidP="0034563A">
            <w:pPr>
              <w:pStyle w:val="PlainText"/>
              <w:rPr>
                <w:rFonts w:ascii="Arial" w:hAnsi="Arial" w:cs="Arial"/>
              </w:rPr>
            </w:pPr>
            <w:r>
              <w:rPr>
                <w:rFonts w:ascii="Arial" w:hAnsi="Arial" w:cs="Arial"/>
              </w:rPr>
              <w:t>5</w:t>
            </w:r>
            <w:r w:rsidRPr="00CC6F48">
              <w:rPr>
                <w:rFonts w:ascii="Arial" w:hAnsi="Arial" w:cs="Arial"/>
              </w:rPr>
              <w:t>. SMPG By-laws update presentation</w:t>
            </w:r>
            <w:r>
              <w:rPr>
                <w:rFonts w:ascii="Arial" w:hAnsi="Arial" w:cs="Arial"/>
              </w:rPr>
              <w:t xml:space="preserve"> and Q&amp;A (Karla McKenna – Chair &amp; Armin Borries – EMEA Regional Director)</w:t>
            </w:r>
          </w:p>
          <w:p w:rsidR="002B7263" w:rsidRPr="00CC6F48" w:rsidRDefault="0034563A" w:rsidP="0034563A">
            <w:pPr>
              <w:pStyle w:val="PlainText"/>
              <w:rPr>
                <w:rFonts w:ascii="Arial" w:hAnsi="Arial" w:cs="Arial"/>
              </w:rPr>
            </w:pPr>
            <w:r>
              <w:rPr>
                <w:rFonts w:ascii="Arial" w:hAnsi="Arial" w:cs="Arial"/>
              </w:rPr>
              <w:t>6. Next SMPG meeting in Fall – Feedback on proposed dates (Karla Mc Kenna – Chair &amp; Rudolf Siebel – Vice Chair)</w:t>
            </w:r>
          </w:p>
        </w:tc>
      </w:tr>
      <w:tr w:rsidR="002B7263" w:rsidTr="00F963B6">
        <w:trPr>
          <w:gridAfter w:val="1"/>
          <w:wAfter w:w="30" w:type="dxa"/>
          <w:cantSplit/>
        </w:trPr>
        <w:tc>
          <w:tcPr>
            <w:tcW w:w="105" w:type="dxa"/>
            <w:vAlign w:val="center"/>
            <w:hideMark/>
          </w:tcPr>
          <w:p w:rsidR="002B7263" w:rsidRDefault="002B7263" w:rsidP="00F963B6">
            <w:pPr>
              <w:rPr>
                <w:rFonts w:ascii="Calibri" w:eastAsiaTheme="minorHAnsi" w:hAnsi="Calibri"/>
                <w:sz w:val="24"/>
                <w:szCs w:val="24"/>
              </w:rPr>
            </w:pPr>
            <w:r>
              <w:t> </w:t>
            </w:r>
          </w:p>
        </w:tc>
        <w:tc>
          <w:tcPr>
            <w:tcW w:w="1815" w:type="dxa"/>
            <w:gridSpan w:val="3"/>
            <w:tcBorders>
              <w:top w:val="nil"/>
              <w:left w:val="single" w:sz="8" w:space="0" w:color="auto"/>
              <w:bottom w:val="double" w:sz="4" w:space="0" w:color="auto"/>
              <w:right w:val="single" w:sz="8" w:space="0" w:color="auto"/>
            </w:tcBorders>
            <w:shd w:val="clear" w:color="auto" w:fill="auto"/>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12:30 – 13:30</w:t>
            </w:r>
          </w:p>
        </w:tc>
        <w:tc>
          <w:tcPr>
            <w:tcW w:w="7636" w:type="dxa"/>
            <w:gridSpan w:val="5"/>
            <w:tcBorders>
              <w:top w:val="nil"/>
              <w:left w:val="nil"/>
              <w:bottom w:val="double" w:sz="4" w:space="0" w:color="auto"/>
              <w:right w:val="single" w:sz="8" w:space="0" w:color="auto"/>
            </w:tcBorders>
            <w:shd w:val="clear" w:color="auto" w:fill="auto"/>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Lunch</w:t>
            </w:r>
          </w:p>
        </w:tc>
      </w:tr>
      <w:tr w:rsidR="002B7263" w:rsidTr="00F963B6">
        <w:trPr>
          <w:gridAfter w:val="1"/>
          <w:wAfter w:w="30" w:type="dxa"/>
          <w:cantSplit/>
        </w:trPr>
        <w:tc>
          <w:tcPr>
            <w:tcW w:w="9526" w:type="dxa"/>
            <w:gridSpan w:val="8"/>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 xml:space="preserve">Afternoon </w:t>
            </w:r>
          </w:p>
        </w:tc>
        <w:tc>
          <w:tcPr>
            <w:tcW w:w="30" w:type="dxa"/>
            <w:vAlign w:val="center"/>
            <w:hideMark/>
          </w:tcPr>
          <w:p w:rsidR="002B7263" w:rsidRDefault="002B7263" w:rsidP="00F963B6">
            <w:pPr>
              <w:rPr>
                <w:rFonts w:asciiTheme="minorHAnsi" w:eastAsiaTheme="minorEastAsia" w:hAnsiTheme="minorHAnsi" w:cstheme="minorBidi"/>
                <w:szCs w:val="22"/>
              </w:rPr>
            </w:pPr>
          </w:p>
        </w:tc>
      </w:tr>
      <w:tr w:rsidR="002B7263" w:rsidTr="00F963B6">
        <w:trPr>
          <w:gridAfter w:val="1"/>
          <w:wAfter w:w="30" w:type="dxa"/>
          <w:cantSplit/>
        </w:trPr>
        <w:tc>
          <w:tcPr>
            <w:tcW w:w="210" w:type="dxa"/>
            <w:gridSpan w:val="2"/>
            <w:vAlign w:val="center"/>
            <w:hideMark/>
          </w:tcPr>
          <w:p w:rsidR="002B7263" w:rsidRDefault="002B7263" w:rsidP="00F963B6">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13:30 – 15:15</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0B4E8D" w:rsidRDefault="009D665C" w:rsidP="00F963B6">
            <w:pPr>
              <w:pStyle w:val="BlockText"/>
              <w:shd w:val="clear" w:color="auto" w:fill="FFFFFF"/>
              <w:spacing w:before="0"/>
              <w:jc w:val="left"/>
              <w:rPr>
                <w:b/>
                <w:sz w:val="20"/>
              </w:rPr>
            </w:pPr>
            <w:r>
              <w:rPr>
                <w:b/>
                <w:sz w:val="20"/>
              </w:rPr>
              <w:t xml:space="preserve">- </w:t>
            </w:r>
            <w:r w:rsidR="002B7263" w:rsidRPr="000B4E8D">
              <w:rPr>
                <w:b/>
                <w:sz w:val="20"/>
              </w:rPr>
              <w:t>General Session (Continued)</w:t>
            </w:r>
            <w:r>
              <w:rPr>
                <w:b/>
                <w:sz w:val="20"/>
              </w:rPr>
              <w:t xml:space="preserve"> - </w:t>
            </w:r>
          </w:p>
          <w:p w:rsidR="002B7263" w:rsidRDefault="0034563A" w:rsidP="00F963B6">
            <w:pPr>
              <w:pStyle w:val="BlockText"/>
              <w:shd w:val="clear" w:color="auto" w:fill="FFFFFF"/>
              <w:spacing w:before="0"/>
              <w:jc w:val="left"/>
              <w:rPr>
                <w:sz w:val="20"/>
              </w:rPr>
            </w:pPr>
            <w:r>
              <w:rPr>
                <w:sz w:val="20"/>
              </w:rPr>
              <w:t>7. “MyStandards” SMPG adoption - tool demonstration and Q&amp;A (Janice Chapman / Evelyne Piron / Jacques Littré – WG Facilitators)</w:t>
            </w:r>
          </w:p>
        </w:tc>
      </w:tr>
      <w:tr w:rsidR="002B7263" w:rsidTr="00F963B6">
        <w:trPr>
          <w:gridAfter w:val="1"/>
          <w:wAfter w:w="30" w:type="dxa"/>
          <w:cantSplit/>
        </w:trPr>
        <w:tc>
          <w:tcPr>
            <w:tcW w:w="210" w:type="dxa"/>
            <w:gridSpan w:val="2"/>
            <w:vAlign w:val="center"/>
            <w:hideMark/>
          </w:tcPr>
          <w:p w:rsidR="002B7263" w:rsidRDefault="002B7263" w:rsidP="00F963B6">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15:15 – 15:30</w:t>
            </w:r>
          </w:p>
        </w:tc>
        <w:tc>
          <w:tcPr>
            <w:tcW w:w="763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Coffee Break</w:t>
            </w:r>
          </w:p>
        </w:tc>
      </w:tr>
      <w:tr w:rsidR="002B7263" w:rsidTr="003B6859">
        <w:trPr>
          <w:gridAfter w:val="1"/>
          <w:wAfter w:w="30" w:type="dxa"/>
          <w:cantSplit/>
          <w:trHeight w:val="506"/>
        </w:trPr>
        <w:tc>
          <w:tcPr>
            <w:tcW w:w="210" w:type="dxa"/>
            <w:gridSpan w:val="2"/>
            <w:vAlign w:val="center"/>
            <w:hideMark/>
          </w:tcPr>
          <w:p w:rsidR="002B7263" w:rsidRDefault="002B7263" w:rsidP="00F963B6">
            <w:pPr>
              <w:rPr>
                <w:rFonts w:ascii="Calibri" w:eastAsiaTheme="minorHAnsi" w:hAnsi="Calibri"/>
                <w:sz w:val="24"/>
                <w:szCs w:val="24"/>
              </w:rPr>
            </w:pPr>
            <w:r>
              <w:t> </w:t>
            </w:r>
          </w:p>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15:30 – 17:30</w:t>
            </w:r>
          </w:p>
        </w:tc>
        <w:tc>
          <w:tcPr>
            <w:tcW w:w="3318" w:type="dxa"/>
            <w:tcBorders>
              <w:top w:val="nil"/>
              <w:left w:val="nil"/>
              <w:bottom w:val="single" w:sz="8" w:space="0" w:color="auto"/>
              <w:right w:val="single" w:sz="8" w:space="0" w:color="auto"/>
            </w:tcBorders>
            <w:shd w:val="clear" w:color="auto" w:fill="33CC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b/>
                <w:sz w:val="20"/>
              </w:rPr>
            </w:pPr>
            <w:r w:rsidRPr="003B6859">
              <w:rPr>
                <w:b/>
                <w:sz w:val="20"/>
              </w:rPr>
              <w:t>Corporate Action</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Settlement and Reconciliation</w:t>
            </w:r>
          </w:p>
        </w:tc>
        <w:tc>
          <w:tcPr>
            <w:tcW w:w="2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Investment Funds</w:t>
            </w:r>
          </w:p>
        </w:tc>
      </w:tr>
      <w:tr w:rsidR="003B6859" w:rsidTr="003B6859">
        <w:trPr>
          <w:gridAfter w:val="1"/>
          <w:wAfter w:w="30" w:type="dxa"/>
          <w:cantSplit/>
          <w:trHeight w:val="506"/>
        </w:trPr>
        <w:tc>
          <w:tcPr>
            <w:tcW w:w="210" w:type="dxa"/>
            <w:gridSpan w:val="2"/>
            <w:vAlign w:val="center"/>
            <w:hideMark/>
          </w:tcPr>
          <w:p w:rsidR="003B6859" w:rsidRDefault="003B6859" w:rsidP="00F963B6"/>
        </w:tc>
        <w:tc>
          <w:tcPr>
            <w:tcW w:w="17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6859" w:rsidRDefault="003B6859" w:rsidP="00F963B6">
            <w:pPr>
              <w:rPr>
                <w:rFonts w:cs="Arial"/>
                <w:sz w:val="20"/>
              </w:rPr>
            </w:pPr>
            <w:r>
              <w:rPr>
                <w:rFonts w:cs="Arial"/>
                <w:sz w:val="20"/>
              </w:rPr>
              <w:t>17:30 – 18:30</w:t>
            </w:r>
          </w:p>
        </w:tc>
        <w:tc>
          <w:tcPr>
            <w:tcW w:w="3318" w:type="dxa"/>
            <w:tcBorders>
              <w:top w:val="nil"/>
              <w:left w:val="nil"/>
              <w:bottom w:val="single" w:sz="8" w:space="0" w:color="auto"/>
              <w:right w:val="single" w:sz="8" w:space="0" w:color="auto"/>
            </w:tcBorders>
            <w:shd w:val="clear" w:color="auto" w:fill="33CCFF"/>
            <w:tcMar>
              <w:top w:w="0" w:type="dxa"/>
              <w:left w:w="108" w:type="dxa"/>
              <w:bottom w:w="0" w:type="dxa"/>
              <w:right w:w="108" w:type="dxa"/>
            </w:tcMar>
            <w:vAlign w:val="center"/>
            <w:hideMark/>
          </w:tcPr>
          <w:p w:rsidR="003B6859" w:rsidRPr="003B6859" w:rsidRDefault="003B6859" w:rsidP="00F963B6">
            <w:pPr>
              <w:pStyle w:val="BlockText"/>
              <w:shd w:val="clear" w:color="auto" w:fill="FFFFFF"/>
              <w:spacing w:before="0"/>
              <w:jc w:val="left"/>
              <w:rPr>
                <w:b/>
                <w:sz w:val="20"/>
              </w:rPr>
            </w:pPr>
            <w:r>
              <w:rPr>
                <w:b/>
                <w:sz w:val="20"/>
              </w:rPr>
              <w:t xml:space="preserve">CA Tax Subgroup Conference Call (Tentative – To </w:t>
            </w:r>
            <w:r w:rsidR="00EE4FA3">
              <w:rPr>
                <w:b/>
                <w:sz w:val="20"/>
              </w:rPr>
              <w:t>Be c</w:t>
            </w:r>
            <w:r>
              <w:rPr>
                <w:b/>
                <w:sz w:val="20"/>
              </w:rPr>
              <w:t>onfirmed)</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6859" w:rsidRPr="003B6859" w:rsidRDefault="003B6859" w:rsidP="00F963B6">
            <w:pPr>
              <w:pStyle w:val="BlockText"/>
              <w:shd w:val="clear" w:color="auto" w:fill="FFFFFF"/>
              <w:spacing w:before="0"/>
              <w:jc w:val="left"/>
              <w:rPr>
                <w:sz w:val="20"/>
              </w:rPr>
            </w:pPr>
          </w:p>
        </w:tc>
        <w:tc>
          <w:tcPr>
            <w:tcW w:w="21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6859" w:rsidRPr="003B6859" w:rsidRDefault="003B6859" w:rsidP="00F963B6">
            <w:pPr>
              <w:pStyle w:val="BlockText"/>
              <w:shd w:val="clear" w:color="auto" w:fill="FFFFFF"/>
              <w:spacing w:before="0"/>
              <w:jc w:val="left"/>
              <w:rPr>
                <w:sz w:val="20"/>
              </w:rPr>
            </w:pPr>
          </w:p>
        </w:tc>
      </w:tr>
      <w:tr w:rsidR="002B7263" w:rsidTr="003B6859">
        <w:trPr>
          <w:gridAfter w:val="1"/>
          <w:wAfter w:w="30" w:type="dxa"/>
        </w:trPr>
        <w:tc>
          <w:tcPr>
            <w:tcW w:w="105" w:type="dxa"/>
            <w:vAlign w:val="center"/>
            <w:hideMark/>
          </w:tcPr>
          <w:p w:rsidR="002B7263" w:rsidRDefault="002B7263" w:rsidP="00F963B6">
            <w:pPr>
              <w:rPr>
                <w:rFonts w:asciiTheme="minorHAnsi" w:eastAsiaTheme="minorEastAsia" w:hAnsiTheme="minorHAnsi" w:cstheme="minorBidi"/>
                <w:szCs w:val="22"/>
              </w:rPr>
            </w:pPr>
          </w:p>
        </w:tc>
        <w:tc>
          <w:tcPr>
            <w:tcW w:w="105" w:type="dxa"/>
            <w:vAlign w:val="center"/>
            <w:hideMark/>
          </w:tcPr>
          <w:p w:rsidR="002B7263" w:rsidRDefault="002B7263" w:rsidP="00F963B6">
            <w:pPr>
              <w:rPr>
                <w:rFonts w:asciiTheme="minorHAnsi" w:eastAsiaTheme="minorEastAsia" w:hAnsiTheme="minorHAnsi" w:cstheme="minorBidi"/>
                <w:szCs w:val="22"/>
              </w:rPr>
            </w:pPr>
          </w:p>
        </w:tc>
        <w:tc>
          <w:tcPr>
            <w:tcW w:w="1590" w:type="dxa"/>
            <w:vAlign w:val="center"/>
            <w:hideMark/>
          </w:tcPr>
          <w:p w:rsidR="002B7263" w:rsidRDefault="002B7263" w:rsidP="00F963B6">
            <w:pPr>
              <w:rPr>
                <w:rFonts w:asciiTheme="minorHAnsi" w:eastAsiaTheme="minorEastAsia" w:hAnsiTheme="minorHAnsi" w:cstheme="minorBidi"/>
                <w:szCs w:val="22"/>
              </w:rPr>
            </w:pPr>
          </w:p>
        </w:tc>
        <w:tc>
          <w:tcPr>
            <w:tcW w:w="120" w:type="dxa"/>
            <w:vAlign w:val="center"/>
            <w:hideMark/>
          </w:tcPr>
          <w:p w:rsidR="002B7263" w:rsidRDefault="002B7263" w:rsidP="00F963B6">
            <w:pPr>
              <w:rPr>
                <w:rFonts w:asciiTheme="minorHAnsi" w:eastAsiaTheme="minorEastAsia" w:hAnsiTheme="minorHAnsi" w:cstheme="minorBidi"/>
                <w:szCs w:val="22"/>
              </w:rPr>
            </w:pPr>
          </w:p>
        </w:tc>
        <w:tc>
          <w:tcPr>
            <w:tcW w:w="3318" w:type="dxa"/>
            <w:vAlign w:val="center"/>
            <w:hideMark/>
          </w:tcPr>
          <w:p w:rsidR="002B7263" w:rsidRDefault="002B7263" w:rsidP="00F963B6">
            <w:pPr>
              <w:rPr>
                <w:rFonts w:asciiTheme="minorHAnsi" w:eastAsiaTheme="minorEastAsia" w:hAnsiTheme="minorHAnsi" w:cstheme="minorBidi"/>
                <w:szCs w:val="22"/>
              </w:rPr>
            </w:pPr>
          </w:p>
        </w:tc>
        <w:tc>
          <w:tcPr>
            <w:tcW w:w="2160" w:type="dxa"/>
            <w:vAlign w:val="center"/>
            <w:hideMark/>
          </w:tcPr>
          <w:p w:rsidR="002B7263" w:rsidRDefault="002B7263" w:rsidP="00F963B6">
            <w:pPr>
              <w:rPr>
                <w:rFonts w:asciiTheme="minorHAnsi" w:eastAsiaTheme="minorEastAsia" w:hAnsiTheme="minorHAnsi" w:cstheme="minorBidi"/>
                <w:szCs w:val="22"/>
              </w:rPr>
            </w:pPr>
          </w:p>
        </w:tc>
        <w:tc>
          <w:tcPr>
            <w:tcW w:w="2070" w:type="dxa"/>
            <w:vAlign w:val="center"/>
            <w:hideMark/>
          </w:tcPr>
          <w:p w:rsidR="002B7263" w:rsidRDefault="002B7263" w:rsidP="00F963B6">
            <w:pPr>
              <w:rPr>
                <w:rFonts w:asciiTheme="minorHAnsi" w:eastAsiaTheme="minorEastAsia" w:hAnsiTheme="minorHAnsi" w:cstheme="minorBidi"/>
                <w:szCs w:val="22"/>
              </w:rPr>
            </w:pPr>
          </w:p>
        </w:tc>
        <w:tc>
          <w:tcPr>
            <w:tcW w:w="88" w:type="dxa"/>
            <w:gridSpan w:val="2"/>
            <w:vAlign w:val="center"/>
            <w:hideMark/>
          </w:tcPr>
          <w:p w:rsidR="002B7263" w:rsidRDefault="002B7263" w:rsidP="00F963B6">
            <w:pPr>
              <w:rPr>
                <w:rFonts w:asciiTheme="minorHAnsi" w:eastAsiaTheme="minorEastAsia" w:hAnsiTheme="minorHAnsi" w:cstheme="minorBidi"/>
                <w:szCs w:val="22"/>
              </w:rPr>
            </w:pPr>
          </w:p>
        </w:tc>
      </w:tr>
      <w:tr w:rsidR="002B7263" w:rsidTr="003B6859">
        <w:trPr>
          <w:gridAfter w:val="1"/>
          <w:wAfter w:w="30" w:type="dxa"/>
        </w:trPr>
        <w:tc>
          <w:tcPr>
            <w:tcW w:w="105" w:type="dxa"/>
            <w:vAlign w:val="center"/>
            <w:hideMark/>
          </w:tcPr>
          <w:p w:rsidR="002B7263" w:rsidRDefault="002B7263" w:rsidP="00F963B6">
            <w:pPr>
              <w:rPr>
                <w:rFonts w:asciiTheme="minorHAnsi" w:eastAsiaTheme="minorEastAsia" w:hAnsiTheme="minorHAnsi" w:cstheme="minorBidi"/>
                <w:szCs w:val="22"/>
              </w:rPr>
            </w:pPr>
          </w:p>
        </w:tc>
        <w:tc>
          <w:tcPr>
            <w:tcW w:w="105" w:type="dxa"/>
            <w:vAlign w:val="center"/>
            <w:hideMark/>
          </w:tcPr>
          <w:p w:rsidR="002B7263" w:rsidRDefault="002B7263" w:rsidP="00F963B6">
            <w:pPr>
              <w:rPr>
                <w:rFonts w:asciiTheme="minorHAnsi" w:eastAsiaTheme="minorEastAsia" w:hAnsiTheme="minorHAnsi" w:cstheme="minorBidi"/>
                <w:szCs w:val="22"/>
              </w:rPr>
            </w:pPr>
          </w:p>
        </w:tc>
        <w:tc>
          <w:tcPr>
            <w:tcW w:w="1590" w:type="dxa"/>
            <w:vAlign w:val="center"/>
            <w:hideMark/>
          </w:tcPr>
          <w:p w:rsidR="002B7263" w:rsidRDefault="002B7263" w:rsidP="00F963B6">
            <w:pPr>
              <w:rPr>
                <w:rFonts w:asciiTheme="minorHAnsi" w:eastAsiaTheme="minorEastAsia" w:hAnsiTheme="minorHAnsi" w:cstheme="minorBidi"/>
                <w:szCs w:val="22"/>
              </w:rPr>
            </w:pPr>
          </w:p>
        </w:tc>
        <w:tc>
          <w:tcPr>
            <w:tcW w:w="120" w:type="dxa"/>
            <w:vAlign w:val="center"/>
            <w:hideMark/>
          </w:tcPr>
          <w:p w:rsidR="002B7263" w:rsidRDefault="002B7263" w:rsidP="00F963B6">
            <w:pPr>
              <w:rPr>
                <w:rFonts w:asciiTheme="minorHAnsi" w:eastAsiaTheme="minorEastAsia" w:hAnsiTheme="minorHAnsi" w:cstheme="minorBidi"/>
                <w:szCs w:val="22"/>
              </w:rPr>
            </w:pPr>
          </w:p>
        </w:tc>
        <w:tc>
          <w:tcPr>
            <w:tcW w:w="3318" w:type="dxa"/>
            <w:vAlign w:val="center"/>
            <w:hideMark/>
          </w:tcPr>
          <w:p w:rsidR="002B7263" w:rsidRDefault="002B7263" w:rsidP="00F963B6">
            <w:pPr>
              <w:rPr>
                <w:rFonts w:asciiTheme="minorHAnsi" w:eastAsiaTheme="minorEastAsia" w:hAnsiTheme="minorHAnsi" w:cstheme="minorBidi"/>
                <w:szCs w:val="22"/>
              </w:rPr>
            </w:pPr>
          </w:p>
        </w:tc>
        <w:tc>
          <w:tcPr>
            <w:tcW w:w="2160" w:type="dxa"/>
            <w:vAlign w:val="center"/>
            <w:hideMark/>
          </w:tcPr>
          <w:p w:rsidR="002B7263" w:rsidRDefault="002B7263" w:rsidP="00F963B6">
            <w:pPr>
              <w:rPr>
                <w:rFonts w:asciiTheme="minorHAnsi" w:eastAsiaTheme="minorEastAsia" w:hAnsiTheme="minorHAnsi" w:cstheme="minorBidi"/>
                <w:szCs w:val="22"/>
              </w:rPr>
            </w:pPr>
          </w:p>
        </w:tc>
        <w:tc>
          <w:tcPr>
            <w:tcW w:w="2070" w:type="dxa"/>
            <w:vAlign w:val="center"/>
            <w:hideMark/>
          </w:tcPr>
          <w:p w:rsidR="002B7263" w:rsidRDefault="002B7263" w:rsidP="00F963B6">
            <w:pPr>
              <w:rPr>
                <w:rFonts w:asciiTheme="minorHAnsi" w:eastAsiaTheme="minorEastAsia" w:hAnsiTheme="minorHAnsi" w:cstheme="minorBidi"/>
                <w:szCs w:val="22"/>
              </w:rPr>
            </w:pPr>
          </w:p>
        </w:tc>
        <w:tc>
          <w:tcPr>
            <w:tcW w:w="88" w:type="dxa"/>
            <w:gridSpan w:val="2"/>
            <w:vAlign w:val="center"/>
            <w:hideMark/>
          </w:tcPr>
          <w:p w:rsidR="002B7263" w:rsidRDefault="002B7263" w:rsidP="00F963B6">
            <w:pPr>
              <w:rPr>
                <w:rFonts w:asciiTheme="minorHAnsi" w:eastAsiaTheme="minorEastAsia" w:hAnsiTheme="minorHAnsi" w:cstheme="minorBidi"/>
                <w:szCs w:val="22"/>
              </w:rPr>
            </w:pPr>
          </w:p>
        </w:tc>
      </w:tr>
    </w:tbl>
    <w:p w:rsidR="002B7263" w:rsidRDefault="002B7263" w:rsidP="002B7263">
      <w:pPr>
        <w:pStyle w:val="BlockText"/>
        <w:shd w:val="clear" w:color="auto" w:fill="FFFFFF"/>
        <w:spacing w:before="0"/>
        <w:rPr>
          <w:rFonts w:eastAsiaTheme="minorHAnsi"/>
          <w:b/>
          <w:bCs/>
          <w:sz w:val="20"/>
        </w:rPr>
      </w:pPr>
    </w:p>
    <w:tbl>
      <w:tblPr>
        <w:tblW w:w="0" w:type="auto"/>
        <w:tblCellMar>
          <w:left w:w="0" w:type="dxa"/>
          <w:right w:w="0" w:type="dxa"/>
        </w:tblCellMar>
        <w:tblLook w:val="04A0"/>
      </w:tblPr>
      <w:tblGrid>
        <w:gridCol w:w="105"/>
        <w:gridCol w:w="1701"/>
        <w:gridCol w:w="2268"/>
        <w:gridCol w:w="1164"/>
        <w:gridCol w:w="1536"/>
        <w:gridCol w:w="624"/>
        <w:gridCol w:w="2076"/>
      </w:tblGrid>
      <w:tr w:rsidR="002B7263" w:rsidTr="00F963B6">
        <w:trPr>
          <w:cantSplit/>
          <w:trHeight w:val="391"/>
        </w:trPr>
        <w:tc>
          <w:tcPr>
            <w:tcW w:w="9474" w:type="dxa"/>
            <w:gridSpan w:val="7"/>
            <w:tcBorders>
              <w:top w:val="single" w:sz="8" w:space="0" w:color="auto"/>
              <w:left w:val="single" w:sz="8" w:space="0" w:color="auto"/>
              <w:bottom w:val="double" w:sz="4"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2B7263" w:rsidRDefault="002B7263" w:rsidP="00F963B6">
            <w:pPr>
              <w:rPr>
                <w:rFonts w:eastAsiaTheme="minorHAnsi" w:cs="Arial"/>
                <w:sz w:val="28"/>
                <w:szCs w:val="28"/>
              </w:rPr>
            </w:pPr>
            <w:r>
              <w:rPr>
                <w:sz w:val="28"/>
                <w:szCs w:val="28"/>
              </w:rPr>
              <w:t>Wednesday 25th of April</w:t>
            </w:r>
          </w:p>
        </w:tc>
      </w:tr>
      <w:tr w:rsidR="002B7263" w:rsidTr="00F963B6">
        <w:trPr>
          <w:cantSplit/>
        </w:trPr>
        <w:tc>
          <w:tcPr>
            <w:tcW w:w="9474" w:type="dxa"/>
            <w:gridSpan w:val="7"/>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 xml:space="preserve">Morning </w:t>
            </w:r>
          </w:p>
        </w:tc>
      </w:tr>
      <w:tr w:rsidR="002B7263" w:rsidTr="003B6859">
        <w:trPr>
          <w:cantSplit/>
        </w:trPr>
        <w:tc>
          <w:tcPr>
            <w:tcW w:w="105" w:type="dxa"/>
            <w:vAlign w:val="center"/>
            <w:hideMark/>
          </w:tcPr>
          <w:p w:rsidR="002B7263" w:rsidRDefault="002B7263" w:rsidP="00F963B6">
            <w:pPr>
              <w:rPr>
                <w:rFonts w:ascii="Calibri" w:eastAsiaTheme="minorHAnsi" w:hAnsi="Calibri"/>
                <w:sz w:val="24"/>
                <w:szCs w:val="24"/>
              </w:rPr>
            </w:pPr>
            <w:r>
              <w:lastRenderedPageBreak/>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09:00 – 10:30</w:t>
            </w:r>
          </w:p>
        </w:tc>
        <w:tc>
          <w:tcPr>
            <w:tcW w:w="3432" w:type="dxa"/>
            <w:gridSpan w:val="2"/>
            <w:tcBorders>
              <w:top w:val="nil"/>
              <w:left w:val="nil"/>
              <w:bottom w:val="single" w:sz="8" w:space="0" w:color="auto"/>
              <w:right w:val="single" w:sz="8" w:space="0" w:color="auto"/>
            </w:tcBorders>
            <w:shd w:val="clear" w:color="auto" w:fill="33CCFF"/>
            <w:tcMar>
              <w:top w:w="0" w:type="dxa"/>
              <w:left w:w="108" w:type="dxa"/>
              <w:bottom w:w="0" w:type="dxa"/>
              <w:right w:w="108" w:type="dxa"/>
            </w:tcMar>
            <w:vAlign w:val="center"/>
            <w:hideMark/>
          </w:tcPr>
          <w:p w:rsidR="002B7263" w:rsidRPr="003B6859" w:rsidRDefault="002B7263" w:rsidP="00EE4FA3">
            <w:pPr>
              <w:pStyle w:val="BlockText"/>
              <w:shd w:val="clear" w:color="auto" w:fill="FFFFFF"/>
              <w:spacing w:before="0"/>
              <w:jc w:val="left"/>
              <w:rPr>
                <w:b/>
                <w:sz w:val="20"/>
              </w:rPr>
            </w:pPr>
            <w:r w:rsidRPr="003B6859">
              <w:rPr>
                <w:b/>
                <w:sz w:val="20"/>
              </w:rPr>
              <w:t>Corporate Action</w:t>
            </w:r>
            <w:r w:rsidR="00EE4FA3">
              <w:rPr>
                <w:b/>
                <w:sz w:val="20"/>
              </w:rPr>
              <w:t xml:space="preserve"> &amp; Interaction with IF WG (Tentative – To be confirmed)</w:t>
            </w:r>
          </w:p>
        </w:tc>
        <w:tc>
          <w:tcPr>
            <w:tcW w:w="21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Settlement and Reconciliation</w:t>
            </w:r>
          </w:p>
        </w:tc>
        <w:tc>
          <w:tcPr>
            <w:tcW w:w="2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Investment Funds</w:t>
            </w:r>
          </w:p>
        </w:tc>
      </w:tr>
      <w:tr w:rsidR="002B7263" w:rsidTr="00F963B6">
        <w:trPr>
          <w:cantSplit/>
        </w:trPr>
        <w:tc>
          <w:tcPr>
            <w:tcW w:w="105" w:type="dxa"/>
            <w:vAlign w:val="center"/>
            <w:hideMark/>
          </w:tcPr>
          <w:p w:rsidR="002B7263" w:rsidRDefault="002B7263"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10:30 – 10:45</w:t>
            </w:r>
          </w:p>
        </w:tc>
        <w:tc>
          <w:tcPr>
            <w:tcW w:w="766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Coffee Break</w:t>
            </w:r>
          </w:p>
        </w:tc>
      </w:tr>
      <w:tr w:rsidR="002B7263" w:rsidTr="003B6859">
        <w:trPr>
          <w:cantSplit/>
        </w:trPr>
        <w:tc>
          <w:tcPr>
            <w:tcW w:w="105" w:type="dxa"/>
            <w:vAlign w:val="center"/>
            <w:hideMark/>
          </w:tcPr>
          <w:p w:rsidR="002B7263" w:rsidRDefault="002B7263"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10:45 – 12:15</w:t>
            </w:r>
          </w:p>
        </w:tc>
        <w:tc>
          <w:tcPr>
            <w:tcW w:w="3432" w:type="dxa"/>
            <w:gridSpan w:val="2"/>
            <w:tcBorders>
              <w:top w:val="nil"/>
              <w:left w:val="nil"/>
              <w:bottom w:val="single" w:sz="8" w:space="0" w:color="auto"/>
              <w:right w:val="single" w:sz="8" w:space="0" w:color="auto"/>
            </w:tcBorders>
            <w:shd w:val="clear" w:color="auto" w:fill="33CC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b/>
                <w:sz w:val="20"/>
              </w:rPr>
            </w:pPr>
            <w:r w:rsidRPr="003B6859">
              <w:rPr>
                <w:b/>
                <w:sz w:val="20"/>
              </w:rPr>
              <w:t>Corporate Action</w:t>
            </w:r>
          </w:p>
        </w:tc>
        <w:tc>
          <w:tcPr>
            <w:tcW w:w="21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Settlement and Reconciliation</w:t>
            </w:r>
          </w:p>
        </w:tc>
        <w:tc>
          <w:tcPr>
            <w:tcW w:w="2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Investment Funds</w:t>
            </w:r>
          </w:p>
        </w:tc>
      </w:tr>
      <w:tr w:rsidR="002B7263" w:rsidTr="00F963B6">
        <w:trPr>
          <w:cantSplit/>
        </w:trPr>
        <w:tc>
          <w:tcPr>
            <w:tcW w:w="105" w:type="dxa"/>
            <w:tcBorders>
              <w:top w:val="nil"/>
              <w:left w:val="nil"/>
              <w:bottom w:val="double" w:sz="4" w:space="0" w:color="auto"/>
              <w:right w:val="nil"/>
            </w:tcBorders>
            <w:vAlign w:val="center"/>
            <w:hideMark/>
          </w:tcPr>
          <w:p w:rsidR="002B7263" w:rsidRDefault="002B7263"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12:15 – 13:15</w:t>
            </w:r>
          </w:p>
        </w:tc>
        <w:tc>
          <w:tcPr>
            <w:tcW w:w="766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Lunch</w:t>
            </w:r>
          </w:p>
        </w:tc>
      </w:tr>
      <w:tr w:rsidR="002B7263" w:rsidTr="00F963B6">
        <w:trPr>
          <w:cantSplit/>
        </w:trPr>
        <w:tc>
          <w:tcPr>
            <w:tcW w:w="9474" w:type="dxa"/>
            <w:gridSpan w:val="7"/>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 xml:space="preserve">Afternoon </w:t>
            </w:r>
          </w:p>
        </w:tc>
      </w:tr>
      <w:tr w:rsidR="003B6859" w:rsidTr="003B6859">
        <w:trPr>
          <w:cantSplit/>
          <w:trHeight w:val="448"/>
        </w:trPr>
        <w:tc>
          <w:tcPr>
            <w:tcW w:w="105" w:type="dxa"/>
            <w:vAlign w:val="center"/>
            <w:hideMark/>
          </w:tcPr>
          <w:p w:rsidR="003B6859" w:rsidRDefault="003B6859"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6859" w:rsidRDefault="003B6859" w:rsidP="00F963B6">
            <w:pPr>
              <w:rPr>
                <w:rFonts w:eastAsiaTheme="minorHAnsi" w:cs="Arial"/>
                <w:sz w:val="20"/>
              </w:rPr>
            </w:pPr>
            <w:r>
              <w:rPr>
                <w:rFonts w:cs="Arial"/>
                <w:sz w:val="20"/>
              </w:rPr>
              <w:t>13:15 – 15:15</w:t>
            </w:r>
          </w:p>
        </w:tc>
        <w:tc>
          <w:tcPr>
            <w:tcW w:w="3432" w:type="dxa"/>
            <w:gridSpan w:val="2"/>
            <w:tcBorders>
              <w:top w:val="nil"/>
              <w:left w:val="nil"/>
              <w:bottom w:val="single" w:sz="8" w:space="0" w:color="auto"/>
              <w:right w:val="single" w:sz="8" w:space="0" w:color="auto"/>
            </w:tcBorders>
            <w:shd w:val="clear" w:color="auto" w:fill="33CCFF"/>
            <w:tcMar>
              <w:top w:w="0" w:type="dxa"/>
              <w:left w:w="108" w:type="dxa"/>
              <w:bottom w:w="0" w:type="dxa"/>
              <w:right w:w="108" w:type="dxa"/>
            </w:tcMar>
            <w:vAlign w:val="center"/>
            <w:hideMark/>
          </w:tcPr>
          <w:p w:rsidR="003B6859" w:rsidRPr="003B6859" w:rsidRDefault="003B6859" w:rsidP="003B6859">
            <w:pPr>
              <w:pStyle w:val="BlockText"/>
              <w:shd w:val="clear" w:color="auto" w:fill="FFFFFF"/>
              <w:spacing w:before="0"/>
              <w:rPr>
                <w:b/>
                <w:sz w:val="20"/>
              </w:rPr>
            </w:pPr>
            <w:r w:rsidRPr="003B6859">
              <w:rPr>
                <w:b/>
                <w:sz w:val="20"/>
              </w:rPr>
              <w:t>Corporate Action</w:t>
            </w:r>
          </w:p>
        </w:tc>
        <w:tc>
          <w:tcPr>
            <w:tcW w:w="2160" w:type="dxa"/>
            <w:gridSpan w:val="2"/>
            <w:tcBorders>
              <w:top w:val="nil"/>
              <w:left w:val="nil"/>
              <w:bottom w:val="single" w:sz="8" w:space="0" w:color="auto"/>
              <w:right w:val="single" w:sz="8" w:space="0" w:color="auto"/>
            </w:tcBorders>
            <w:shd w:val="clear" w:color="auto" w:fill="FFFFFF" w:themeFill="background1"/>
            <w:vAlign w:val="center"/>
          </w:tcPr>
          <w:p w:rsidR="003B6859" w:rsidRPr="003B6859" w:rsidRDefault="003B6859" w:rsidP="003B6859">
            <w:pPr>
              <w:pStyle w:val="BlockText"/>
              <w:shd w:val="clear" w:color="auto" w:fill="FFFFFF"/>
              <w:spacing w:before="0"/>
              <w:ind w:left="90"/>
              <w:jc w:val="left"/>
              <w:rPr>
                <w:color w:val="808080" w:themeColor="background1" w:themeShade="80"/>
                <w:sz w:val="20"/>
              </w:rPr>
            </w:pPr>
            <w:r w:rsidRPr="003B6859">
              <w:rPr>
                <w:color w:val="808080" w:themeColor="background1" w:themeShade="80"/>
                <w:sz w:val="20"/>
              </w:rPr>
              <w:t>Settlement and Reconciliation</w:t>
            </w:r>
          </w:p>
        </w:tc>
        <w:tc>
          <w:tcPr>
            <w:tcW w:w="2076" w:type="dxa"/>
            <w:tcBorders>
              <w:top w:val="nil"/>
              <w:left w:val="nil"/>
              <w:bottom w:val="single" w:sz="8" w:space="0" w:color="auto"/>
              <w:right w:val="single" w:sz="8" w:space="0" w:color="auto"/>
            </w:tcBorders>
            <w:shd w:val="clear" w:color="auto" w:fill="FFFFFF" w:themeFill="background1"/>
            <w:vAlign w:val="center"/>
          </w:tcPr>
          <w:p w:rsidR="003B6859" w:rsidRPr="003B6859" w:rsidRDefault="003B6859" w:rsidP="003B6859">
            <w:pPr>
              <w:pStyle w:val="BlockText"/>
              <w:shd w:val="clear" w:color="auto" w:fill="FFFFFF"/>
              <w:spacing w:before="0"/>
              <w:ind w:left="90"/>
              <w:jc w:val="left"/>
              <w:rPr>
                <w:color w:val="808080" w:themeColor="background1" w:themeShade="80"/>
                <w:sz w:val="20"/>
              </w:rPr>
            </w:pPr>
            <w:r w:rsidRPr="003B6859">
              <w:rPr>
                <w:color w:val="808080" w:themeColor="background1" w:themeShade="80"/>
                <w:sz w:val="20"/>
              </w:rPr>
              <w:t>Investment Funds</w:t>
            </w:r>
          </w:p>
        </w:tc>
      </w:tr>
      <w:tr w:rsidR="003B6859" w:rsidTr="00F963B6">
        <w:trPr>
          <w:cantSplit/>
          <w:trHeight w:val="132"/>
        </w:trPr>
        <w:tc>
          <w:tcPr>
            <w:tcW w:w="105" w:type="dxa"/>
            <w:vAlign w:val="center"/>
            <w:hideMark/>
          </w:tcPr>
          <w:p w:rsidR="003B6859" w:rsidRDefault="003B6859"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6859" w:rsidRDefault="003B6859" w:rsidP="00F963B6">
            <w:pPr>
              <w:rPr>
                <w:rFonts w:eastAsiaTheme="minorHAnsi" w:cs="Arial"/>
                <w:sz w:val="20"/>
              </w:rPr>
            </w:pPr>
            <w:r>
              <w:rPr>
                <w:rFonts w:cs="Arial"/>
                <w:sz w:val="20"/>
              </w:rPr>
              <w:t>15:15 – 15:30</w:t>
            </w:r>
          </w:p>
        </w:tc>
        <w:tc>
          <w:tcPr>
            <w:tcW w:w="7668"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6859" w:rsidRDefault="003B6859" w:rsidP="00F963B6">
            <w:pPr>
              <w:pStyle w:val="BlockText"/>
              <w:shd w:val="clear" w:color="auto" w:fill="FFFFFF"/>
              <w:spacing w:before="0"/>
              <w:jc w:val="left"/>
              <w:rPr>
                <w:sz w:val="20"/>
              </w:rPr>
            </w:pPr>
            <w:r>
              <w:rPr>
                <w:sz w:val="20"/>
              </w:rPr>
              <w:t>Coffee Break</w:t>
            </w:r>
          </w:p>
        </w:tc>
      </w:tr>
      <w:tr w:rsidR="003B6859" w:rsidTr="003B6859">
        <w:trPr>
          <w:cantSplit/>
          <w:trHeight w:val="132"/>
        </w:trPr>
        <w:tc>
          <w:tcPr>
            <w:tcW w:w="105" w:type="dxa"/>
            <w:tcBorders>
              <w:top w:val="nil"/>
              <w:left w:val="nil"/>
              <w:bottom w:val="double" w:sz="4" w:space="0" w:color="auto"/>
              <w:right w:val="nil"/>
            </w:tcBorders>
            <w:vAlign w:val="center"/>
            <w:hideMark/>
          </w:tcPr>
          <w:p w:rsidR="003B6859" w:rsidRDefault="003B6859"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B6859" w:rsidRDefault="003B6859" w:rsidP="00F963B6">
            <w:pPr>
              <w:rPr>
                <w:rFonts w:eastAsiaTheme="minorHAnsi" w:cs="Arial"/>
                <w:sz w:val="20"/>
              </w:rPr>
            </w:pPr>
            <w:r>
              <w:rPr>
                <w:rFonts w:cs="Arial"/>
                <w:sz w:val="20"/>
              </w:rPr>
              <w:t>15:30 – 17:30</w:t>
            </w:r>
          </w:p>
        </w:tc>
        <w:tc>
          <w:tcPr>
            <w:tcW w:w="3432" w:type="dxa"/>
            <w:gridSpan w:val="2"/>
            <w:tcBorders>
              <w:top w:val="nil"/>
              <w:left w:val="nil"/>
              <w:bottom w:val="single" w:sz="8" w:space="0" w:color="auto"/>
              <w:right w:val="single" w:sz="8" w:space="0" w:color="auto"/>
            </w:tcBorders>
            <w:shd w:val="clear" w:color="auto" w:fill="33CCFF"/>
            <w:tcMar>
              <w:top w:w="0" w:type="dxa"/>
              <w:left w:w="108" w:type="dxa"/>
              <w:bottom w:w="0" w:type="dxa"/>
              <w:right w:w="108" w:type="dxa"/>
            </w:tcMar>
            <w:vAlign w:val="center"/>
            <w:hideMark/>
          </w:tcPr>
          <w:p w:rsidR="003B6859" w:rsidRPr="003B6859" w:rsidRDefault="003B6859" w:rsidP="00F963B6">
            <w:pPr>
              <w:pStyle w:val="BlockText"/>
              <w:shd w:val="clear" w:color="auto" w:fill="FFFFFF"/>
              <w:spacing w:before="0"/>
              <w:jc w:val="left"/>
              <w:rPr>
                <w:b/>
                <w:sz w:val="20"/>
              </w:rPr>
            </w:pPr>
            <w:r w:rsidRPr="003B6859">
              <w:rPr>
                <w:b/>
                <w:sz w:val="20"/>
              </w:rPr>
              <w:t>Corporate Action</w:t>
            </w:r>
          </w:p>
        </w:tc>
        <w:tc>
          <w:tcPr>
            <w:tcW w:w="21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6859" w:rsidRPr="003B6859" w:rsidRDefault="003B6859"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Settlement and Reconciliation</w:t>
            </w:r>
          </w:p>
        </w:tc>
        <w:tc>
          <w:tcPr>
            <w:tcW w:w="2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6859" w:rsidRPr="003B6859" w:rsidRDefault="003B6859"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Investment Funds</w:t>
            </w:r>
          </w:p>
        </w:tc>
      </w:tr>
      <w:tr w:rsidR="003B6859" w:rsidTr="00F963B6">
        <w:trPr>
          <w:cantSplit/>
        </w:trPr>
        <w:tc>
          <w:tcPr>
            <w:tcW w:w="9474" w:type="dxa"/>
            <w:gridSpan w:val="7"/>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3B6859" w:rsidRDefault="003B6859" w:rsidP="00F963B6">
            <w:pPr>
              <w:pStyle w:val="BlockText"/>
              <w:shd w:val="clear" w:color="auto" w:fill="FFFFFF"/>
              <w:spacing w:before="0"/>
              <w:jc w:val="left"/>
              <w:rPr>
                <w:sz w:val="20"/>
              </w:rPr>
            </w:pPr>
            <w:r>
              <w:rPr>
                <w:sz w:val="20"/>
              </w:rPr>
              <w:t>Evening</w:t>
            </w:r>
          </w:p>
        </w:tc>
      </w:tr>
      <w:tr w:rsidR="003B6859" w:rsidTr="00F963B6">
        <w:trPr>
          <w:cantSplit/>
        </w:trPr>
        <w:tc>
          <w:tcPr>
            <w:tcW w:w="105" w:type="dxa"/>
            <w:vAlign w:val="center"/>
            <w:hideMark/>
          </w:tcPr>
          <w:p w:rsidR="003B6859" w:rsidRDefault="003B6859" w:rsidP="00F963B6">
            <w:pPr>
              <w:rPr>
                <w:rFonts w:ascii="Calibri" w:eastAsiaTheme="minorHAnsi" w:hAnsi="Calibri"/>
                <w:sz w:val="24"/>
                <w:szCs w:val="24"/>
              </w:rPr>
            </w:pPr>
            <w:r>
              <w:t> </w:t>
            </w:r>
          </w:p>
        </w:tc>
        <w:tc>
          <w:tcPr>
            <w:tcW w:w="17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3B6859" w:rsidRDefault="003B6859" w:rsidP="00F963B6">
            <w:pPr>
              <w:rPr>
                <w:rFonts w:eastAsiaTheme="minorHAnsi" w:cs="Arial"/>
                <w:sz w:val="20"/>
              </w:rPr>
            </w:pPr>
            <w:r>
              <w:rPr>
                <w:sz w:val="20"/>
              </w:rPr>
              <w:t xml:space="preserve">19:00 - </w:t>
            </w:r>
          </w:p>
        </w:tc>
        <w:tc>
          <w:tcPr>
            <w:tcW w:w="7668" w:type="dxa"/>
            <w:gridSpan w:val="5"/>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3B6859" w:rsidRPr="00D84922" w:rsidRDefault="003B6859" w:rsidP="00F963B6">
            <w:pPr>
              <w:pStyle w:val="BlockText"/>
              <w:shd w:val="clear" w:color="auto" w:fill="FFFFFF"/>
              <w:spacing w:before="0"/>
              <w:jc w:val="center"/>
              <w:rPr>
                <w:rFonts w:cs="Arial"/>
                <w:b/>
                <w:bCs/>
                <w:iCs/>
                <w:sz w:val="20"/>
              </w:rPr>
            </w:pPr>
            <w:r w:rsidRPr="00D84922">
              <w:rPr>
                <w:rFonts w:cs="Arial"/>
                <w:b/>
                <w:sz w:val="20"/>
              </w:rPr>
              <w:t>Coktail Dinner hosted by the</w:t>
            </w:r>
            <w:r w:rsidRPr="00D84922">
              <w:rPr>
                <w:rFonts w:cs="Arial"/>
                <w:b/>
                <w:bCs/>
                <w:iCs/>
                <w:sz w:val="20"/>
              </w:rPr>
              <w:t xml:space="preserve"> Hellenic Bank Association </w:t>
            </w:r>
          </w:p>
          <w:p w:rsidR="003B6859" w:rsidRPr="000E17D1" w:rsidRDefault="003B6859" w:rsidP="00F963B6">
            <w:pPr>
              <w:pStyle w:val="BlockText"/>
              <w:shd w:val="clear" w:color="auto" w:fill="FFFFFF"/>
              <w:spacing w:before="0"/>
              <w:jc w:val="center"/>
              <w:rPr>
                <w:rFonts w:cs="Arial"/>
                <w:sz w:val="20"/>
              </w:rPr>
            </w:pPr>
            <w:r w:rsidRPr="00D84922">
              <w:rPr>
                <w:rFonts w:cs="Arial"/>
                <w:b/>
                <w:bCs/>
                <w:iCs/>
                <w:sz w:val="20"/>
              </w:rPr>
              <w:t>(attendance confirmation required)</w:t>
            </w:r>
          </w:p>
        </w:tc>
      </w:tr>
      <w:tr w:rsidR="003B6859" w:rsidTr="00F963B6">
        <w:tc>
          <w:tcPr>
            <w:tcW w:w="105" w:type="dxa"/>
            <w:vAlign w:val="center"/>
            <w:hideMark/>
          </w:tcPr>
          <w:p w:rsidR="003B6859" w:rsidRDefault="003B6859" w:rsidP="00F963B6">
            <w:pPr>
              <w:rPr>
                <w:rFonts w:asciiTheme="minorHAnsi" w:eastAsiaTheme="minorEastAsia" w:hAnsiTheme="minorHAnsi" w:cstheme="minorBidi"/>
                <w:szCs w:val="22"/>
              </w:rPr>
            </w:pPr>
          </w:p>
        </w:tc>
        <w:tc>
          <w:tcPr>
            <w:tcW w:w="1701" w:type="dxa"/>
            <w:tcBorders>
              <w:top w:val="single" w:sz="4" w:space="0" w:color="auto"/>
            </w:tcBorders>
            <w:vAlign w:val="center"/>
            <w:hideMark/>
          </w:tcPr>
          <w:p w:rsidR="003B6859" w:rsidRDefault="003B6859" w:rsidP="00F963B6">
            <w:pPr>
              <w:rPr>
                <w:rFonts w:asciiTheme="minorHAnsi" w:eastAsiaTheme="minorEastAsia" w:hAnsiTheme="minorHAnsi" w:cstheme="minorBidi"/>
                <w:szCs w:val="22"/>
              </w:rPr>
            </w:pPr>
          </w:p>
        </w:tc>
        <w:tc>
          <w:tcPr>
            <w:tcW w:w="2268" w:type="dxa"/>
            <w:tcBorders>
              <w:top w:val="single" w:sz="4" w:space="0" w:color="auto"/>
            </w:tcBorders>
            <w:vAlign w:val="center"/>
            <w:hideMark/>
          </w:tcPr>
          <w:p w:rsidR="003B6859" w:rsidRDefault="003B6859" w:rsidP="00F963B6">
            <w:pPr>
              <w:rPr>
                <w:rFonts w:asciiTheme="minorHAnsi" w:eastAsiaTheme="minorEastAsia" w:hAnsiTheme="minorHAnsi" w:cstheme="minorBidi"/>
                <w:szCs w:val="22"/>
              </w:rPr>
            </w:pPr>
          </w:p>
        </w:tc>
        <w:tc>
          <w:tcPr>
            <w:tcW w:w="2700" w:type="dxa"/>
            <w:gridSpan w:val="2"/>
            <w:tcBorders>
              <w:top w:val="single" w:sz="4" w:space="0" w:color="auto"/>
            </w:tcBorders>
            <w:vAlign w:val="center"/>
            <w:hideMark/>
          </w:tcPr>
          <w:p w:rsidR="003B6859" w:rsidRDefault="003B6859" w:rsidP="00F963B6">
            <w:pPr>
              <w:rPr>
                <w:rFonts w:asciiTheme="minorHAnsi" w:eastAsiaTheme="minorEastAsia" w:hAnsiTheme="minorHAnsi" w:cstheme="minorBidi"/>
                <w:szCs w:val="22"/>
              </w:rPr>
            </w:pPr>
          </w:p>
        </w:tc>
        <w:tc>
          <w:tcPr>
            <w:tcW w:w="2700" w:type="dxa"/>
            <w:gridSpan w:val="2"/>
            <w:tcBorders>
              <w:top w:val="single" w:sz="4" w:space="0" w:color="auto"/>
            </w:tcBorders>
            <w:vAlign w:val="center"/>
            <w:hideMark/>
          </w:tcPr>
          <w:p w:rsidR="003B6859" w:rsidRDefault="003B6859" w:rsidP="00F963B6">
            <w:pPr>
              <w:rPr>
                <w:rFonts w:asciiTheme="minorHAnsi" w:eastAsiaTheme="minorEastAsia" w:hAnsiTheme="minorHAnsi" w:cstheme="minorBidi"/>
                <w:szCs w:val="22"/>
              </w:rPr>
            </w:pPr>
          </w:p>
        </w:tc>
      </w:tr>
    </w:tbl>
    <w:p w:rsidR="002B7263" w:rsidRDefault="002B7263" w:rsidP="002B7263">
      <w:pPr>
        <w:pStyle w:val="BlockText"/>
        <w:shd w:val="clear" w:color="auto" w:fill="FFFFFF"/>
        <w:spacing w:before="0"/>
        <w:rPr>
          <w:sz w:val="20"/>
        </w:rPr>
      </w:pPr>
    </w:p>
    <w:tbl>
      <w:tblPr>
        <w:tblW w:w="0" w:type="auto"/>
        <w:tblCellMar>
          <w:left w:w="0" w:type="dxa"/>
          <w:right w:w="0" w:type="dxa"/>
        </w:tblCellMar>
        <w:tblLook w:val="04A0"/>
      </w:tblPr>
      <w:tblGrid>
        <w:gridCol w:w="105"/>
        <w:gridCol w:w="1701"/>
        <w:gridCol w:w="3432"/>
        <w:gridCol w:w="2160"/>
        <w:gridCol w:w="2066"/>
      </w:tblGrid>
      <w:tr w:rsidR="002B7263" w:rsidTr="00F963B6">
        <w:trPr>
          <w:cantSplit/>
        </w:trPr>
        <w:tc>
          <w:tcPr>
            <w:tcW w:w="9464" w:type="dxa"/>
            <w:gridSpan w:val="5"/>
            <w:tcBorders>
              <w:top w:val="single" w:sz="8" w:space="0" w:color="auto"/>
              <w:left w:val="single" w:sz="8" w:space="0" w:color="auto"/>
              <w:bottom w:val="double" w:sz="4"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2B7263" w:rsidRDefault="002B7263" w:rsidP="00F963B6">
            <w:pPr>
              <w:rPr>
                <w:rFonts w:eastAsiaTheme="minorHAnsi" w:cs="Arial"/>
                <w:sz w:val="28"/>
                <w:szCs w:val="28"/>
              </w:rPr>
            </w:pPr>
            <w:r>
              <w:rPr>
                <w:sz w:val="28"/>
                <w:szCs w:val="28"/>
              </w:rPr>
              <w:t>Thursday 26th of April</w:t>
            </w:r>
          </w:p>
        </w:tc>
      </w:tr>
      <w:tr w:rsidR="002B7263" w:rsidTr="00F963B6">
        <w:trPr>
          <w:cantSplit/>
        </w:trPr>
        <w:tc>
          <w:tcPr>
            <w:tcW w:w="946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 xml:space="preserve">Morning </w:t>
            </w:r>
          </w:p>
        </w:tc>
      </w:tr>
      <w:tr w:rsidR="002B7263" w:rsidTr="003B6859">
        <w:trPr>
          <w:cantSplit/>
        </w:trPr>
        <w:tc>
          <w:tcPr>
            <w:tcW w:w="105" w:type="dxa"/>
            <w:vAlign w:val="center"/>
            <w:hideMark/>
          </w:tcPr>
          <w:p w:rsidR="002B7263" w:rsidRDefault="002B7263"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09:00 – 10:30</w:t>
            </w:r>
          </w:p>
        </w:tc>
        <w:tc>
          <w:tcPr>
            <w:tcW w:w="3432" w:type="dxa"/>
            <w:tcBorders>
              <w:top w:val="nil"/>
              <w:left w:val="nil"/>
              <w:bottom w:val="single" w:sz="8" w:space="0" w:color="auto"/>
              <w:right w:val="single" w:sz="8" w:space="0" w:color="auto"/>
            </w:tcBorders>
            <w:shd w:val="clear" w:color="auto" w:fill="33CC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b/>
                <w:sz w:val="20"/>
              </w:rPr>
            </w:pPr>
            <w:r w:rsidRPr="003B6859">
              <w:rPr>
                <w:b/>
                <w:sz w:val="20"/>
              </w:rPr>
              <w:t>Corporate Action</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Settlement and Reconciliation</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Investment Funds</w:t>
            </w:r>
          </w:p>
        </w:tc>
      </w:tr>
      <w:tr w:rsidR="002B7263" w:rsidTr="003B6859">
        <w:trPr>
          <w:cantSplit/>
        </w:trPr>
        <w:tc>
          <w:tcPr>
            <w:tcW w:w="105" w:type="dxa"/>
            <w:vAlign w:val="center"/>
            <w:hideMark/>
          </w:tcPr>
          <w:p w:rsidR="002B7263" w:rsidRDefault="002B7263"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10:30 – 10:45</w:t>
            </w:r>
          </w:p>
        </w:tc>
        <w:tc>
          <w:tcPr>
            <w:tcW w:w="76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Coffee Break</w:t>
            </w:r>
          </w:p>
        </w:tc>
      </w:tr>
      <w:tr w:rsidR="002B7263" w:rsidTr="003B6859">
        <w:trPr>
          <w:cantSplit/>
        </w:trPr>
        <w:tc>
          <w:tcPr>
            <w:tcW w:w="105" w:type="dxa"/>
            <w:vAlign w:val="center"/>
            <w:hideMark/>
          </w:tcPr>
          <w:p w:rsidR="002B7263" w:rsidRDefault="002B7263"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10:45 – 12:15</w:t>
            </w:r>
          </w:p>
        </w:tc>
        <w:tc>
          <w:tcPr>
            <w:tcW w:w="3432" w:type="dxa"/>
            <w:tcBorders>
              <w:top w:val="nil"/>
              <w:left w:val="nil"/>
              <w:bottom w:val="single" w:sz="8" w:space="0" w:color="auto"/>
              <w:right w:val="single" w:sz="8" w:space="0" w:color="auto"/>
            </w:tcBorders>
            <w:shd w:val="clear" w:color="auto" w:fill="33CC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b/>
                <w:sz w:val="20"/>
              </w:rPr>
            </w:pPr>
            <w:r w:rsidRPr="003B6859">
              <w:rPr>
                <w:b/>
                <w:sz w:val="20"/>
              </w:rPr>
              <w:t>Corporate Action</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Settlement and Reconciliation</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Investment Funds</w:t>
            </w:r>
          </w:p>
        </w:tc>
      </w:tr>
      <w:tr w:rsidR="002B7263" w:rsidTr="003B6859">
        <w:trPr>
          <w:cantSplit/>
        </w:trPr>
        <w:tc>
          <w:tcPr>
            <w:tcW w:w="105" w:type="dxa"/>
            <w:tcBorders>
              <w:top w:val="nil"/>
              <w:left w:val="nil"/>
              <w:bottom w:val="double" w:sz="4" w:space="0" w:color="auto"/>
              <w:right w:val="nil"/>
            </w:tcBorders>
            <w:vAlign w:val="center"/>
            <w:hideMark/>
          </w:tcPr>
          <w:p w:rsidR="002B7263" w:rsidRDefault="002B7263"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12:15 – 13:15</w:t>
            </w:r>
          </w:p>
        </w:tc>
        <w:tc>
          <w:tcPr>
            <w:tcW w:w="76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Lunch</w:t>
            </w:r>
          </w:p>
        </w:tc>
      </w:tr>
      <w:tr w:rsidR="002B7263" w:rsidTr="00F963B6">
        <w:trPr>
          <w:cantSplit/>
        </w:trPr>
        <w:tc>
          <w:tcPr>
            <w:tcW w:w="9464" w:type="dxa"/>
            <w:gridSpan w:val="5"/>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rsidR="002B7263" w:rsidRDefault="002B7263" w:rsidP="00F963B6">
            <w:pPr>
              <w:pStyle w:val="BlockText"/>
              <w:shd w:val="clear" w:color="auto" w:fill="FFFFFF"/>
              <w:spacing w:before="0"/>
              <w:jc w:val="left"/>
              <w:rPr>
                <w:sz w:val="20"/>
              </w:rPr>
            </w:pPr>
            <w:r>
              <w:rPr>
                <w:sz w:val="20"/>
              </w:rPr>
              <w:t xml:space="preserve">Afternoon </w:t>
            </w:r>
          </w:p>
        </w:tc>
      </w:tr>
      <w:tr w:rsidR="002B7263" w:rsidTr="003B6859">
        <w:trPr>
          <w:cantSplit/>
        </w:trPr>
        <w:tc>
          <w:tcPr>
            <w:tcW w:w="105" w:type="dxa"/>
            <w:vAlign w:val="center"/>
            <w:hideMark/>
          </w:tcPr>
          <w:p w:rsidR="002B7263" w:rsidRDefault="002B7263"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13:15 – 14:30</w:t>
            </w:r>
          </w:p>
        </w:tc>
        <w:tc>
          <w:tcPr>
            <w:tcW w:w="3432" w:type="dxa"/>
            <w:tcBorders>
              <w:top w:val="nil"/>
              <w:left w:val="nil"/>
              <w:bottom w:val="single" w:sz="8" w:space="0" w:color="auto"/>
              <w:right w:val="single" w:sz="8" w:space="0" w:color="auto"/>
            </w:tcBorders>
            <w:shd w:val="clear" w:color="auto" w:fill="33CC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b/>
                <w:sz w:val="20"/>
              </w:rPr>
            </w:pPr>
            <w:r w:rsidRPr="003B6859">
              <w:rPr>
                <w:b/>
                <w:sz w:val="20"/>
              </w:rPr>
              <w:t>Corporate Action</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Settlement and Reconciliation</w:t>
            </w:r>
          </w:p>
        </w:tc>
        <w:tc>
          <w:tcPr>
            <w:tcW w:w="2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Pr="003B6859" w:rsidRDefault="002B7263" w:rsidP="00F963B6">
            <w:pPr>
              <w:pStyle w:val="BlockText"/>
              <w:shd w:val="clear" w:color="auto" w:fill="FFFFFF"/>
              <w:spacing w:before="0"/>
              <w:jc w:val="left"/>
              <w:rPr>
                <w:color w:val="808080" w:themeColor="background1" w:themeShade="80"/>
                <w:sz w:val="20"/>
              </w:rPr>
            </w:pPr>
            <w:r w:rsidRPr="003B6859">
              <w:rPr>
                <w:color w:val="808080" w:themeColor="background1" w:themeShade="80"/>
                <w:sz w:val="20"/>
              </w:rPr>
              <w:t>Investment Funds</w:t>
            </w:r>
          </w:p>
        </w:tc>
      </w:tr>
      <w:tr w:rsidR="002B7263" w:rsidTr="003B6859">
        <w:trPr>
          <w:cantSplit/>
          <w:trHeight w:val="132"/>
        </w:trPr>
        <w:tc>
          <w:tcPr>
            <w:tcW w:w="105" w:type="dxa"/>
            <w:vAlign w:val="center"/>
            <w:hideMark/>
          </w:tcPr>
          <w:p w:rsidR="002B7263" w:rsidRDefault="002B7263" w:rsidP="00F963B6">
            <w:pPr>
              <w:rPr>
                <w:rFonts w:ascii="Calibri" w:eastAsiaTheme="minorHAnsi" w:hAnsi="Calibri"/>
                <w:sz w:val="24"/>
                <w:szCs w:val="24"/>
              </w:rPr>
            </w:pPr>
            <w:r>
              <w:t> </w:t>
            </w:r>
          </w:p>
        </w:tc>
        <w:tc>
          <w:tcPr>
            <w:tcW w:w="17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rPr>
                <w:rFonts w:eastAsiaTheme="minorHAnsi" w:cs="Arial"/>
                <w:sz w:val="20"/>
              </w:rPr>
            </w:pPr>
            <w:r>
              <w:rPr>
                <w:rFonts w:cs="Arial"/>
                <w:sz w:val="20"/>
              </w:rPr>
              <w:t>14:30</w:t>
            </w:r>
          </w:p>
        </w:tc>
        <w:tc>
          <w:tcPr>
            <w:tcW w:w="7658"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B7263" w:rsidRDefault="002B7263" w:rsidP="00F963B6">
            <w:pPr>
              <w:pStyle w:val="BlockText"/>
              <w:shd w:val="clear" w:color="auto" w:fill="FFFFFF"/>
              <w:spacing w:before="0"/>
              <w:jc w:val="center"/>
              <w:rPr>
                <w:b/>
                <w:sz w:val="20"/>
              </w:rPr>
            </w:pPr>
          </w:p>
          <w:p w:rsidR="002B7263" w:rsidRPr="00F91CAF" w:rsidRDefault="002B7263" w:rsidP="00F963B6">
            <w:pPr>
              <w:pStyle w:val="BlockText"/>
              <w:shd w:val="clear" w:color="auto" w:fill="FFFFFF"/>
              <w:spacing w:before="0"/>
              <w:jc w:val="center"/>
              <w:rPr>
                <w:b/>
                <w:sz w:val="24"/>
                <w:szCs w:val="24"/>
              </w:rPr>
            </w:pPr>
            <w:r w:rsidRPr="00F91CAF">
              <w:rPr>
                <w:b/>
                <w:sz w:val="24"/>
                <w:szCs w:val="24"/>
              </w:rPr>
              <w:t>End of meeting</w:t>
            </w:r>
          </w:p>
          <w:p w:rsidR="002B7263" w:rsidRPr="00F91CAF" w:rsidRDefault="002B7263" w:rsidP="00F963B6">
            <w:pPr>
              <w:pStyle w:val="BlockText"/>
              <w:shd w:val="clear" w:color="auto" w:fill="FFFFFF"/>
              <w:spacing w:before="0"/>
              <w:jc w:val="center"/>
              <w:rPr>
                <w:b/>
                <w:sz w:val="20"/>
              </w:rPr>
            </w:pPr>
          </w:p>
        </w:tc>
      </w:tr>
    </w:tbl>
    <w:p w:rsidR="002B7263" w:rsidRDefault="002B7263" w:rsidP="002B7263">
      <w:pPr>
        <w:spacing w:before="20" w:after="20"/>
        <w:rPr>
          <w:b/>
          <w:bCs/>
          <w:color w:val="FF0000"/>
          <w:lang w:val="en-GB"/>
        </w:rPr>
      </w:pPr>
    </w:p>
    <w:p w:rsidR="002B7263" w:rsidRDefault="002B7263" w:rsidP="002B7263">
      <w:pPr>
        <w:spacing w:before="20" w:after="20"/>
        <w:rPr>
          <w:b/>
          <w:bCs/>
          <w:color w:val="FF0000"/>
          <w:lang w:val="en-GB"/>
        </w:rPr>
      </w:pPr>
    </w:p>
    <w:p w:rsidR="00AE1423" w:rsidRPr="00AE1423" w:rsidRDefault="00AE1423" w:rsidP="002B7263">
      <w:pPr>
        <w:spacing w:before="120"/>
        <w:rPr>
          <w:rFonts w:cs="Arial"/>
          <w:sz w:val="28"/>
          <w:szCs w:val="28"/>
        </w:rPr>
        <w:sectPr w:rsidR="00AE1423" w:rsidRPr="00AE1423" w:rsidSect="00F168DE">
          <w:headerReference w:type="default" r:id="rId9"/>
          <w:footerReference w:type="even" r:id="rId10"/>
          <w:footerReference w:type="default" r:id="rId11"/>
          <w:pgSz w:w="12240" w:h="15840"/>
          <w:pgMar w:top="1008" w:right="1181" w:bottom="864" w:left="1282" w:header="720" w:footer="518" w:gutter="0"/>
          <w:cols w:space="720"/>
        </w:sectPr>
      </w:pPr>
    </w:p>
    <w:p w:rsidR="00AE1423" w:rsidRPr="00AC5786" w:rsidRDefault="009D665C" w:rsidP="004676F7">
      <w:pPr>
        <w:tabs>
          <w:tab w:val="center" w:pos="6030"/>
        </w:tabs>
        <w:spacing w:before="120"/>
        <w:jc w:val="center"/>
        <w:rPr>
          <w:b/>
          <w:sz w:val="36"/>
          <w:szCs w:val="36"/>
          <w:lang w:val="en-GB"/>
        </w:rPr>
      </w:pPr>
      <w:r>
        <w:rPr>
          <w:b/>
          <w:sz w:val="36"/>
          <w:szCs w:val="36"/>
          <w:lang w:val="en-GB"/>
        </w:rPr>
        <w:lastRenderedPageBreak/>
        <w:t>Athens</w:t>
      </w:r>
      <w:r w:rsidR="004676F7">
        <w:rPr>
          <w:b/>
          <w:sz w:val="36"/>
          <w:szCs w:val="36"/>
          <w:lang w:val="en-GB"/>
        </w:rPr>
        <w:t xml:space="preserve"> </w:t>
      </w:r>
      <w:r>
        <w:rPr>
          <w:b/>
          <w:sz w:val="36"/>
          <w:szCs w:val="36"/>
          <w:lang w:val="en-GB"/>
        </w:rPr>
        <w:t>April 2012</w:t>
      </w:r>
      <w:r w:rsidR="004676F7">
        <w:rPr>
          <w:b/>
          <w:sz w:val="36"/>
          <w:szCs w:val="36"/>
          <w:lang w:val="en-GB"/>
        </w:rPr>
        <w:t xml:space="preserve"> – SMPG </w:t>
      </w:r>
      <w:r w:rsidR="00AE1423" w:rsidRPr="00AC5786">
        <w:rPr>
          <w:b/>
          <w:sz w:val="36"/>
          <w:szCs w:val="36"/>
          <w:lang w:val="en-GB"/>
        </w:rPr>
        <w:t xml:space="preserve">Corporate Action </w:t>
      </w:r>
      <w:r w:rsidR="00CC1FE0">
        <w:rPr>
          <w:b/>
          <w:sz w:val="36"/>
          <w:szCs w:val="36"/>
          <w:lang w:val="en-GB"/>
        </w:rPr>
        <w:t xml:space="preserve">– Detailed </w:t>
      </w:r>
      <w:r w:rsidR="00AE1423" w:rsidRPr="00AC5786">
        <w:rPr>
          <w:b/>
          <w:sz w:val="36"/>
          <w:szCs w:val="36"/>
          <w:lang w:val="en-GB"/>
        </w:rPr>
        <w:t>Agenda</w:t>
      </w:r>
    </w:p>
    <w:p w:rsidR="00AE1423" w:rsidRPr="00B14FDC" w:rsidRDefault="00AE1423" w:rsidP="00AE1423">
      <w:pPr>
        <w:spacing w:before="120"/>
        <w:rPr>
          <w:b/>
          <w:lang w:val="en-GB"/>
        </w:rPr>
      </w:pPr>
    </w:p>
    <w:tbl>
      <w:tblPr>
        <w:tblW w:w="14055" w:type="dxa"/>
        <w:tblInd w:w="93" w:type="dxa"/>
        <w:tblLayout w:type="fixed"/>
        <w:tblLook w:val="04A0"/>
      </w:tblPr>
      <w:tblGrid>
        <w:gridCol w:w="915"/>
        <w:gridCol w:w="1814"/>
        <w:gridCol w:w="3316"/>
        <w:gridCol w:w="1170"/>
        <w:gridCol w:w="6840"/>
      </w:tblGrid>
      <w:tr w:rsidR="00CC1FE0" w:rsidRPr="006402B7" w:rsidTr="00CC1FE0">
        <w:trPr>
          <w:trHeight w:val="960"/>
          <w:tblHeader/>
        </w:trPr>
        <w:tc>
          <w:tcPr>
            <w:tcW w:w="915" w:type="dxa"/>
            <w:tcBorders>
              <w:top w:val="single" w:sz="4" w:space="0" w:color="auto"/>
              <w:left w:val="single" w:sz="4" w:space="0" w:color="auto"/>
              <w:bottom w:val="single" w:sz="4" w:space="0" w:color="auto"/>
              <w:right w:val="single" w:sz="4" w:space="0" w:color="auto"/>
            </w:tcBorders>
            <w:shd w:val="clear" w:color="auto" w:fill="FABF8F"/>
            <w:vAlign w:val="center"/>
            <w:hideMark/>
          </w:tcPr>
          <w:p w:rsidR="00CC1FE0" w:rsidRPr="006402B7" w:rsidRDefault="00CC1FE0" w:rsidP="00AE1423">
            <w:pPr>
              <w:jc w:val="left"/>
              <w:rPr>
                <w:rFonts w:cs="Arial"/>
                <w:b/>
                <w:bCs/>
                <w:color w:val="000000"/>
                <w:sz w:val="20"/>
                <w:lang w:val="en-GB" w:eastAsia="en-GB"/>
              </w:rPr>
            </w:pPr>
            <w:r w:rsidRPr="006402B7">
              <w:rPr>
                <w:rFonts w:cs="Arial"/>
                <w:b/>
                <w:bCs/>
                <w:color w:val="000000"/>
                <w:sz w:val="20"/>
                <w:lang w:val="en-GB" w:eastAsia="en-GB"/>
              </w:rPr>
              <w:t>Item No</w:t>
            </w:r>
          </w:p>
        </w:tc>
        <w:tc>
          <w:tcPr>
            <w:tcW w:w="1814"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single" w:sz="4" w:space="0" w:color="auto"/>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Owner</w:t>
            </w:r>
          </w:p>
        </w:tc>
        <w:tc>
          <w:tcPr>
            <w:tcW w:w="6840" w:type="dxa"/>
            <w:tcBorders>
              <w:top w:val="single" w:sz="4" w:space="0" w:color="auto"/>
              <w:left w:val="nil"/>
              <w:bottom w:val="single" w:sz="4" w:space="0" w:color="auto"/>
              <w:right w:val="single" w:sz="4" w:space="0" w:color="auto"/>
            </w:tcBorders>
            <w:shd w:val="clear" w:color="auto" w:fill="FABF8F"/>
            <w:vAlign w:val="center"/>
            <w:hideMark/>
          </w:tcPr>
          <w:p w:rsidR="00CC1FE0" w:rsidRPr="00386D34" w:rsidRDefault="00CC1FE0" w:rsidP="00AE1423">
            <w:pPr>
              <w:jc w:val="center"/>
              <w:rPr>
                <w:rFonts w:cs="Arial"/>
                <w:b/>
                <w:bCs/>
                <w:color w:val="000000"/>
                <w:sz w:val="18"/>
                <w:szCs w:val="18"/>
                <w:lang w:val="en-GB" w:eastAsia="en-GB"/>
              </w:rPr>
            </w:pPr>
            <w:r w:rsidRPr="00386D34">
              <w:rPr>
                <w:rFonts w:cs="Arial"/>
                <w:b/>
                <w:bCs/>
                <w:color w:val="000000"/>
                <w:sz w:val="18"/>
                <w:szCs w:val="18"/>
                <w:lang w:val="en-GB" w:eastAsia="en-GB"/>
              </w:rPr>
              <w:t>Comment</w:t>
            </w:r>
          </w:p>
        </w:tc>
      </w:tr>
      <w:tr w:rsidR="00CC1FE0"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CC1FE0" w:rsidRPr="006402B7" w:rsidRDefault="00CC1FE0" w:rsidP="00AE1423">
            <w:pPr>
              <w:jc w:val="center"/>
              <w:rPr>
                <w:rFonts w:cs="Arial"/>
                <w:b/>
                <w:bCs/>
                <w:sz w:val="20"/>
                <w:lang w:val="en-GB" w:eastAsia="en-GB"/>
              </w:rPr>
            </w:pPr>
            <w:r w:rsidRPr="006402B7">
              <w:rPr>
                <w:rFonts w:cs="Arial"/>
                <w:b/>
                <w:bCs/>
                <w:sz w:val="20"/>
                <w:lang w:val="en-GB" w:eastAsia="en-GB"/>
              </w:rPr>
              <w:t>1</w:t>
            </w:r>
          </w:p>
        </w:tc>
        <w:tc>
          <w:tcPr>
            <w:tcW w:w="1814"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Meeting Minutes</w:t>
            </w:r>
          </w:p>
        </w:tc>
        <w:tc>
          <w:tcPr>
            <w:tcW w:w="3316"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Appoints additional minutes taker/helper</w:t>
            </w:r>
          </w:p>
        </w:tc>
        <w:tc>
          <w:tcPr>
            <w:tcW w:w="1170"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CC1FE0" w:rsidRPr="00386D34" w:rsidRDefault="00CC1FE0" w:rsidP="00AE1423">
            <w:pPr>
              <w:jc w:val="left"/>
              <w:rPr>
                <w:rFonts w:cs="Arial"/>
                <w:sz w:val="18"/>
                <w:szCs w:val="18"/>
                <w:lang w:val="en-GB" w:eastAsia="en-GB"/>
              </w:rPr>
            </w:pPr>
            <w:r w:rsidRPr="00386D34">
              <w:rPr>
                <w:rFonts w:cs="Arial"/>
                <w:sz w:val="18"/>
                <w:szCs w:val="18"/>
                <w:lang w:val="en-GB" w:eastAsia="en-GB"/>
              </w:rPr>
              <w:t> </w:t>
            </w:r>
          </w:p>
        </w:tc>
      </w:tr>
      <w:tr w:rsidR="00CC1FE0"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CC1FE0" w:rsidRPr="006402B7" w:rsidRDefault="00CC1FE0" w:rsidP="00AE1423">
            <w:pPr>
              <w:jc w:val="center"/>
              <w:rPr>
                <w:rFonts w:cs="Arial"/>
                <w:b/>
                <w:bCs/>
                <w:sz w:val="20"/>
                <w:lang w:val="en-GB" w:eastAsia="en-GB"/>
              </w:rPr>
            </w:pPr>
            <w:r w:rsidRPr="006402B7">
              <w:rPr>
                <w:rFonts w:cs="Arial"/>
                <w:b/>
                <w:bCs/>
                <w:sz w:val="20"/>
                <w:lang w:val="en-GB" w:eastAsia="en-GB"/>
              </w:rPr>
              <w:t>2</w:t>
            </w:r>
          </w:p>
        </w:tc>
        <w:tc>
          <w:tcPr>
            <w:tcW w:w="1814"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Next meetings</w:t>
            </w:r>
          </w:p>
        </w:tc>
        <w:tc>
          <w:tcPr>
            <w:tcW w:w="3316" w:type="dxa"/>
            <w:tcBorders>
              <w:top w:val="nil"/>
              <w:left w:val="nil"/>
              <w:bottom w:val="single" w:sz="8" w:space="0" w:color="auto"/>
              <w:right w:val="single" w:sz="8" w:space="0" w:color="auto"/>
            </w:tcBorders>
            <w:shd w:val="clear" w:color="auto" w:fill="auto"/>
            <w:vAlign w:val="bottom"/>
            <w:hideMark/>
          </w:tcPr>
          <w:p w:rsidR="00CC1FE0" w:rsidRPr="006402B7" w:rsidRDefault="00CC1FE0" w:rsidP="00037390">
            <w:pPr>
              <w:jc w:val="left"/>
              <w:rPr>
                <w:rFonts w:cs="Arial"/>
                <w:sz w:val="20"/>
                <w:lang w:val="en-GB" w:eastAsia="en-GB"/>
              </w:rPr>
            </w:pPr>
            <w:r w:rsidRPr="006402B7">
              <w:rPr>
                <w:rFonts w:cs="Arial"/>
                <w:sz w:val="20"/>
                <w:lang w:val="en-GB" w:eastAsia="en-GB"/>
              </w:rPr>
              <w:t xml:space="preserve">Confirm dates for the next </w:t>
            </w:r>
            <w:r w:rsidR="00037390">
              <w:rPr>
                <w:rFonts w:cs="Arial"/>
                <w:sz w:val="20"/>
                <w:lang w:val="en-GB" w:eastAsia="en-GB"/>
              </w:rPr>
              <w:t>Conference calls</w:t>
            </w:r>
          </w:p>
        </w:tc>
        <w:tc>
          <w:tcPr>
            <w:tcW w:w="1170" w:type="dxa"/>
            <w:tcBorders>
              <w:top w:val="nil"/>
              <w:left w:val="nil"/>
              <w:bottom w:val="single" w:sz="8" w:space="0" w:color="auto"/>
              <w:right w:val="single" w:sz="8" w:space="0" w:color="auto"/>
            </w:tcBorders>
            <w:shd w:val="clear" w:color="auto" w:fill="auto"/>
            <w:vAlign w:val="center"/>
            <w:hideMark/>
          </w:tcPr>
          <w:p w:rsidR="00CC1FE0" w:rsidRPr="006402B7" w:rsidRDefault="00CC1FE0" w:rsidP="00AE1423">
            <w:pPr>
              <w:jc w:val="left"/>
              <w:rPr>
                <w:rFonts w:cs="Arial"/>
                <w:sz w:val="20"/>
                <w:lang w:val="en-GB" w:eastAsia="en-GB"/>
              </w:rPr>
            </w:pPr>
            <w:r w:rsidRPr="006402B7">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CC1FE0" w:rsidRPr="00386D34" w:rsidRDefault="00CC1FE0" w:rsidP="00AE1423">
            <w:pPr>
              <w:jc w:val="left"/>
              <w:rPr>
                <w:rFonts w:cs="Arial"/>
                <w:sz w:val="18"/>
                <w:szCs w:val="18"/>
                <w:lang w:val="en-GB" w:eastAsia="en-GB"/>
              </w:rPr>
            </w:pPr>
            <w:r w:rsidRPr="00386D34">
              <w:rPr>
                <w:rFonts w:cs="Arial"/>
                <w:sz w:val="18"/>
                <w:szCs w:val="18"/>
                <w:lang w:val="en-GB" w:eastAsia="en-GB"/>
              </w:rPr>
              <w:t> </w:t>
            </w:r>
          </w:p>
        </w:tc>
      </w:tr>
      <w:tr w:rsidR="00386D34" w:rsidRPr="006402B7" w:rsidTr="00CC1FE0">
        <w:trPr>
          <w:trHeight w:val="270"/>
        </w:trPr>
        <w:tc>
          <w:tcPr>
            <w:tcW w:w="915" w:type="dxa"/>
            <w:tcBorders>
              <w:top w:val="nil"/>
              <w:left w:val="single" w:sz="8" w:space="0" w:color="auto"/>
              <w:bottom w:val="single" w:sz="8" w:space="0" w:color="auto"/>
              <w:right w:val="single" w:sz="8" w:space="0" w:color="auto"/>
            </w:tcBorders>
            <w:shd w:val="clear" w:color="auto" w:fill="auto"/>
            <w:vAlign w:val="center"/>
            <w:hideMark/>
          </w:tcPr>
          <w:p w:rsidR="00386D34" w:rsidRPr="006402B7" w:rsidRDefault="00386D34" w:rsidP="00AE1423">
            <w:pPr>
              <w:jc w:val="center"/>
              <w:rPr>
                <w:rFonts w:cs="Arial"/>
                <w:b/>
                <w:bCs/>
                <w:sz w:val="20"/>
                <w:lang w:val="en-GB" w:eastAsia="en-GB"/>
              </w:rPr>
            </w:pPr>
            <w:r>
              <w:rPr>
                <w:rFonts w:cs="Arial"/>
                <w:b/>
                <w:bCs/>
                <w:sz w:val="20"/>
                <w:lang w:val="en-GB" w:eastAsia="en-GB"/>
              </w:rPr>
              <w:t>3</w:t>
            </w:r>
          </w:p>
        </w:tc>
        <w:tc>
          <w:tcPr>
            <w:tcW w:w="1814" w:type="dxa"/>
            <w:tcBorders>
              <w:top w:val="nil"/>
              <w:left w:val="nil"/>
              <w:bottom w:val="single" w:sz="8" w:space="0" w:color="auto"/>
              <w:right w:val="single" w:sz="8" w:space="0" w:color="auto"/>
            </w:tcBorders>
            <w:shd w:val="clear" w:color="auto" w:fill="auto"/>
            <w:vAlign w:val="center"/>
            <w:hideMark/>
          </w:tcPr>
          <w:p w:rsidR="00386D34" w:rsidRPr="006402B7" w:rsidRDefault="00386D34" w:rsidP="00AE1423">
            <w:pPr>
              <w:jc w:val="left"/>
              <w:rPr>
                <w:rFonts w:cs="Arial"/>
                <w:sz w:val="20"/>
                <w:lang w:val="en-GB" w:eastAsia="en-GB"/>
              </w:rPr>
            </w:pPr>
            <w:r>
              <w:rPr>
                <w:rFonts w:cs="Arial"/>
                <w:sz w:val="20"/>
                <w:lang w:val="en-GB" w:eastAsia="en-GB"/>
              </w:rPr>
              <w:t>Approval of March 28 Minutes</w:t>
            </w:r>
          </w:p>
        </w:tc>
        <w:tc>
          <w:tcPr>
            <w:tcW w:w="3316" w:type="dxa"/>
            <w:tcBorders>
              <w:top w:val="nil"/>
              <w:left w:val="nil"/>
              <w:bottom w:val="single" w:sz="8" w:space="0" w:color="auto"/>
              <w:right w:val="single" w:sz="8" w:space="0" w:color="auto"/>
            </w:tcBorders>
            <w:shd w:val="clear" w:color="auto" w:fill="auto"/>
            <w:vAlign w:val="bottom"/>
            <w:hideMark/>
          </w:tcPr>
          <w:p w:rsidR="00386D34" w:rsidRPr="006402B7" w:rsidRDefault="00386D34" w:rsidP="00037390">
            <w:pPr>
              <w:jc w:val="left"/>
              <w:rPr>
                <w:rFonts w:cs="Arial"/>
                <w:sz w:val="20"/>
                <w:lang w:val="en-GB" w:eastAsia="en-GB"/>
              </w:rPr>
            </w:pPr>
          </w:p>
        </w:tc>
        <w:tc>
          <w:tcPr>
            <w:tcW w:w="1170" w:type="dxa"/>
            <w:tcBorders>
              <w:top w:val="nil"/>
              <w:left w:val="nil"/>
              <w:bottom w:val="single" w:sz="8" w:space="0" w:color="auto"/>
              <w:right w:val="single" w:sz="8" w:space="0" w:color="auto"/>
            </w:tcBorders>
            <w:shd w:val="clear" w:color="auto" w:fill="auto"/>
            <w:vAlign w:val="center"/>
            <w:hideMark/>
          </w:tcPr>
          <w:p w:rsidR="00386D34" w:rsidRPr="006402B7" w:rsidRDefault="00386D34" w:rsidP="00AE1423">
            <w:pPr>
              <w:jc w:val="left"/>
              <w:rPr>
                <w:rFonts w:cs="Arial"/>
                <w:sz w:val="20"/>
                <w:lang w:val="en-GB" w:eastAsia="en-GB"/>
              </w:rPr>
            </w:pPr>
            <w:r>
              <w:rPr>
                <w:rFonts w:cs="Arial"/>
                <w:sz w:val="20"/>
                <w:lang w:val="en-GB" w:eastAsia="en-GB"/>
              </w:rPr>
              <w:t>CA SMPG</w:t>
            </w:r>
          </w:p>
        </w:tc>
        <w:tc>
          <w:tcPr>
            <w:tcW w:w="6840" w:type="dxa"/>
            <w:tcBorders>
              <w:top w:val="nil"/>
              <w:left w:val="nil"/>
              <w:bottom w:val="single" w:sz="8" w:space="0" w:color="auto"/>
              <w:right w:val="single" w:sz="8" w:space="0" w:color="auto"/>
            </w:tcBorders>
            <w:shd w:val="clear" w:color="auto" w:fill="auto"/>
            <w:vAlign w:val="bottom"/>
            <w:hideMark/>
          </w:tcPr>
          <w:p w:rsidR="00386D34" w:rsidRPr="00386D34" w:rsidRDefault="00386D34" w:rsidP="00AE1423">
            <w:pPr>
              <w:jc w:val="left"/>
              <w:rPr>
                <w:rFonts w:cs="Arial"/>
                <w:sz w:val="18"/>
                <w:szCs w:val="18"/>
                <w:lang w:val="en-GB" w:eastAsia="en-GB"/>
              </w:rPr>
            </w:pPr>
          </w:p>
        </w:tc>
      </w:tr>
      <w:tr w:rsidR="00CC1FE0" w:rsidRPr="006402B7" w:rsidTr="00CC1FE0">
        <w:trPr>
          <w:trHeight w:val="510"/>
        </w:trPr>
        <w:tc>
          <w:tcPr>
            <w:tcW w:w="915" w:type="dxa"/>
            <w:tcBorders>
              <w:top w:val="nil"/>
              <w:left w:val="single" w:sz="4" w:space="0" w:color="auto"/>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Item</w:t>
            </w:r>
            <w:r w:rsidRPr="006402B7">
              <w:rPr>
                <w:rFonts w:cs="Arial"/>
                <w:b/>
                <w:bCs/>
                <w:color w:val="000000"/>
                <w:sz w:val="20"/>
                <w:lang w:val="en-GB" w:eastAsia="en-GB"/>
              </w:rPr>
              <w:br/>
              <w:t>No</w:t>
            </w:r>
          </w:p>
        </w:tc>
        <w:tc>
          <w:tcPr>
            <w:tcW w:w="1814"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Short Description</w:t>
            </w:r>
          </w:p>
        </w:tc>
        <w:tc>
          <w:tcPr>
            <w:tcW w:w="3316"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Description and Pending Actions</w:t>
            </w:r>
          </w:p>
        </w:tc>
        <w:tc>
          <w:tcPr>
            <w:tcW w:w="1170" w:type="dxa"/>
            <w:tcBorders>
              <w:top w:val="nil"/>
              <w:left w:val="nil"/>
              <w:bottom w:val="single" w:sz="4" w:space="0" w:color="auto"/>
              <w:right w:val="single" w:sz="4" w:space="0" w:color="auto"/>
            </w:tcBorders>
            <w:shd w:val="clear" w:color="auto" w:fill="FABF8F"/>
            <w:vAlign w:val="center"/>
            <w:hideMark/>
          </w:tcPr>
          <w:p w:rsidR="00CC1FE0" w:rsidRPr="006402B7" w:rsidRDefault="00CC1FE0" w:rsidP="00AE1423">
            <w:pPr>
              <w:jc w:val="center"/>
              <w:rPr>
                <w:rFonts w:cs="Arial"/>
                <w:b/>
                <w:bCs/>
                <w:color w:val="000000"/>
                <w:sz w:val="20"/>
                <w:lang w:val="en-GB" w:eastAsia="en-GB"/>
              </w:rPr>
            </w:pPr>
            <w:r w:rsidRPr="006402B7">
              <w:rPr>
                <w:rFonts w:cs="Arial"/>
                <w:b/>
                <w:bCs/>
                <w:color w:val="000000"/>
                <w:sz w:val="20"/>
                <w:lang w:val="en-GB" w:eastAsia="en-GB"/>
              </w:rPr>
              <w:t>Owner</w:t>
            </w:r>
          </w:p>
        </w:tc>
        <w:tc>
          <w:tcPr>
            <w:tcW w:w="6840" w:type="dxa"/>
            <w:tcBorders>
              <w:top w:val="nil"/>
              <w:left w:val="nil"/>
              <w:bottom w:val="single" w:sz="4" w:space="0" w:color="auto"/>
              <w:right w:val="single" w:sz="4" w:space="0" w:color="auto"/>
            </w:tcBorders>
            <w:shd w:val="clear" w:color="auto" w:fill="FABF8F"/>
            <w:vAlign w:val="center"/>
            <w:hideMark/>
          </w:tcPr>
          <w:p w:rsidR="00CC1FE0" w:rsidRPr="00386D34" w:rsidRDefault="00CC1FE0" w:rsidP="00AE1423">
            <w:pPr>
              <w:jc w:val="center"/>
              <w:rPr>
                <w:rFonts w:cs="Arial"/>
                <w:b/>
                <w:bCs/>
                <w:sz w:val="18"/>
                <w:szCs w:val="18"/>
                <w:lang w:val="en-GB" w:eastAsia="en-GB"/>
              </w:rPr>
            </w:pPr>
            <w:r w:rsidRPr="00386D34">
              <w:rPr>
                <w:rFonts w:cs="Arial"/>
                <w:b/>
                <w:bCs/>
                <w:sz w:val="18"/>
                <w:szCs w:val="18"/>
                <w:lang w:val="en-GB" w:eastAsia="en-GB"/>
              </w:rPr>
              <w:t>Comment</w:t>
            </w:r>
          </w:p>
        </w:tc>
      </w:tr>
      <w:tr w:rsidR="00386D34" w:rsidRPr="00CC1FE0" w:rsidTr="00590BDB">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pPr>
              <w:jc w:val="center"/>
              <w:rPr>
                <w:rFonts w:cs="Arial"/>
                <w:b/>
                <w:bCs/>
                <w:sz w:val="20"/>
              </w:rPr>
            </w:pPr>
            <w:r>
              <w:rPr>
                <w:rFonts w:cs="Arial"/>
                <w:b/>
                <w:bCs/>
                <w:sz w:val="20"/>
              </w:rPr>
              <w:t>CA 203</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Yearly GMP Part 1,2,3 and samples alignement as per  SR2012 and yearly summary of changes to MPs</w:t>
            </w:r>
          </w:p>
        </w:tc>
        <w:tc>
          <w:tcPr>
            <w:tcW w:w="3316"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sz w:val="18"/>
                <w:szCs w:val="18"/>
              </w:rPr>
            </w:pPr>
            <w:r w:rsidRPr="00386D34">
              <w:rPr>
                <w:rFonts w:cs="Arial"/>
                <w:sz w:val="18"/>
                <w:szCs w:val="18"/>
              </w:rPr>
              <w:t xml:space="preserve">Produces a 1-pager summarising the SMPG guidelines to be implemented at the next SR 20XX release and adapt all GMP Documents and samples to SR20XX as per the new schedule decided in Rio April 5-7 2011 for SR2012 and following years: </w:t>
            </w:r>
            <w:r w:rsidRPr="00386D34">
              <w:rPr>
                <w:rFonts w:cs="Arial"/>
                <w:sz w:val="18"/>
                <w:szCs w:val="18"/>
              </w:rPr>
              <w:br/>
            </w:r>
            <w:r w:rsidRPr="00386D34">
              <w:rPr>
                <w:rFonts w:cs="Arial"/>
                <w:b/>
                <w:bCs/>
                <w:sz w:val="18"/>
                <w:szCs w:val="18"/>
                <w:u w:val="single"/>
              </w:rPr>
              <w:t>Scheduling</w:t>
            </w:r>
            <w:r w:rsidRPr="00386D34">
              <w:rPr>
                <w:rFonts w:cs="Arial"/>
                <w:sz w:val="18"/>
                <w:szCs w:val="18"/>
              </w:rPr>
              <w:br/>
              <w:t xml:space="preserve">• September: Based on the MWG minutes, start with the draft “MP’s Summary” document  &amp; start MP’s discussions. </w:t>
            </w:r>
            <w:r w:rsidRPr="00386D34">
              <w:rPr>
                <w:rFonts w:cs="Arial"/>
                <w:sz w:val="18"/>
                <w:szCs w:val="18"/>
              </w:rPr>
              <w:br/>
              <w:t>• October – November: Update GMP Parts &amp; Event Templates</w:t>
            </w:r>
            <w:r w:rsidRPr="00386D34">
              <w:rPr>
                <w:rFonts w:cs="Arial"/>
                <w:sz w:val="18"/>
                <w:szCs w:val="18"/>
              </w:rPr>
              <w:br/>
              <w:t>• Mid-December: Preliminary summary of MP changes</w:t>
            </w:r>
            <w:r w:rsidRPr="00386D34">
              <w:rPr>
                <w:rFonts w:cs="Arial"/>
                <w:sz w:val="18"/>
                <w:szCs w:val="18"/>
              </w:rPr>
              <w:br/>
              <w:t>• End December: Draft GMP documents &amp; event templates for review by NMPG's</w:t>
            </w:r>
            <w:r w:rsidRPr="00386D34">
              <w:rPr>
                <w:rFonts w:cs="Arial"/>
                <w:sz w:val="18"/>
                <w:szCs w:val="18"/>
              </w:rPr>
              <w:br/>
              <w:t>• End February: Publish final version of GMP docs &amp; templates.</w:t>
            </w:r>
            <w:r w:rsidRPr="00386D34">
              <w:rPr>
                <w:rFonts w:cs="Arial"/>
                <w:sz w:val="18"/>
                <w:szCs w:val="18"/>
              </w:rPr>
              <w:br/>
            </w:r>
            <w:r w:rsidRPr="00386D34">
              <w:rPr>
                <w:rFonts w:cs="Arial"/>
                <w:b/>
                <w:bCs/>
                <w:color w:val="FF0000"/>
                <w:sz w:val="18"/>
                <w:szCs w:val="18"/>
                <w:u w:val="single"/>
              </w:rPr>
              <w:t>Actions:</w:t>
            </w:r>
            <w:r w:rsidRPr="00386D34">
              <w:rPr>
                <w:rFonts w:cs="Arial"/>
                <w:b/>
                <w:bCs/>
                <w:color w:val="FF0000"/>
                <w:sz w:val="18"/>
                <w:szCs w:val="18"/>
                <w:u w:val="single"/>
              </w:rPr>
              <w:br/>
              <w:t>1.</w:t>
            </w:r>
            <w:r w:rsidRPr="00386D34">
              <w:rPr>
                <w:rFonts w:cs="Arial"/>
                <w:sz w:val="18"/>
                <w:szCs w:val="18"/>
              </w:rPr>
              <w:t xml:space="preserve"> </w:t>
            </w:r>
            <w:r w:rsidRPr="00386D34">
              <w:rPr>
                <w:rFonts w:cs="Arial"/>
                <w:sz w:val="18"/>
                <w:szCs w:val="18"/>
                <w:u w:val="single"/>
              </w:rPr>
              <w:t>Jacques</w:t>
            </w:r>
            <w:r w:rsidRPr="00386D34">
              <w:rPr>
                <w:rFonts w:cs="Arial"/>
                <w:sz w:val="18"/>
                <w:szCs w:val="18"/>
              </w:rPr>
              <w:t xml:space="preserve"> to transfer the input document in Excel and send it back to the countries for comments/feedback (see attached above)</w:t>
            </w:r>
            <w:r w:rsidRPr="00386D34">
              <w:rPr>
                <w:rFonts w:cs="Arial"/>
                <w:sz w:val="18"/>
                <w:szCs w:val="18"/>
              </w:rPr>
              <w:br/>
              <w:t xml:space="preserve">2.  </w:t>
            </w:r>
            <w:r w:rsidRPr="00386D34">
              <w:rPr>
                <w:rFonts w:cs="Arial"/>
                <w:sz w:val="18"/>
                <w:szCs w:val="18"/>
                <w:u w:val="single"/>
              </w:rPr>
              <w:t>Japan</w:t>
            </w:r>
            <w:r w:rsidRPr="00386D34">
              <w:rPr>
                <w:rFonts w:cs="Arial"/>
                <w:sz w:val="18"/>
                <w:szCs w:val="18"/>
              </w:rPr>
              <w:t xml:space="preserve"> should check the presence of POST date in 6 of the issue items </w:t>
            </w:r>
            <w:r w:rsidRPr="00386D34">
              <w:rPr>
                <w:rFonts w:cs="Arial"/>
                <w:sz w:val="18"/>
                <w:szCs w:val="18"/>
              </w:rPr>
              <w:lastRenderedPageBreak/>
              <w:t>and confirm whether this is MT564 seq. C date or POST date in the MT566 instead as having POST in sequence C does not make sense in some of the events listed.</w:t>
            </w:r>
            <w:r w:rsidRPr="00386D34">
              <w:rPr>
                <w:rFonts w:cs="Arial"/>
                <w:sz w:val="18"/>
                <w:szCs w:val="18"/>
              </w:rPr>
              <w:br/>
              <w:t xml:space="preserve">3. </w:t>
            </w:r>
            <w:r w:rsidRPr="00386D34">
              <w:rPr>
                <w:rFonts w:cs="Arial"/>
                <w:sz w:val="18"/>
                <w:szCs w:val="18"/>
                <w:u w:val="single"/>
              </w:rPr>
              <w:t>Kim</w:t>
            </w:r>
            <w:r w:rsidRPr="00386D34">
              <w:rPr>
                <w:rFonts w:cs="Arial"/>
                <w:sz w:val="18"/>
                <w:szCs w:val="18"/>
              </w:rPr>
              <w:t xml:space="preserve"> to send missing SOFF CHOS sample ASAP</w:t>
            </w:r>
            <w:r w:rsidRPr="00386D34">
              <w:rPr>
                <w:rFonts w:cs="Arial"/>
                <w:sz w:val="18"/>
                <w:szCs w:val="18"/>
              </w:rPr>
              <w:br/>
              <w:t xml:space="preserve">4. </w:t>
            </w:r>
            <w:r w:rsidRPr="00386D34">
              <w:rPr>
                <w:rFonts w:cs="Arial"/>
                <w:sz w:val="18"/>
                <w:szCs w:val="18"/>
                <w:u w:val="single"/>
              </w:rPr>
              <w:t>NMPG’s</w:t>
            </w:r>
            <w:r w:rsidRPr="00386D34">
              <w:rPr>
                <w:rFonts w:cs="Arial"/>
                <w:sz w:val="18"/>
                <w:szCs w:val="18"/>
              </w:rPr>
              <w:t xml:space="preserve"> to provide RDTE usage input in the “Record Date Tracking” table in GMP Part 2. </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lastRenderedPageBreak/>
              <w:t>CA SMPG</w:t>
            </w:r>
          </w:p>
        </w:tc>
        <w:tc>
          <w:tcPr>
            <w:tcW w:w="6840" w:type="dxa"/>
            <w:tcBorders>
              <w:top w:val="nil"/>
              <w:left w:val="nil"/>
              <w:bottom w:val="single" w:sz="4" w:space="0" w:color="auto"/>
              <w:right w:val="single" w:sz="4" w:space="0" w:color="auto"/>
            </w:tcBorders>
            <w:shd w:val="clear" w:color="auto" w:fill="auto"/>
            <w:vAlign w:val="center"/>
            <w:hideMark/>
          </w:tcPr>
          <w:p w:rsidR="00AE254A" w:rsidRDefault="00AE254A" w:rsidP="00386D34">
            <w:pPr>
              <w:jc w:val="left"/>
              <w:rPr>
                <w:rFonts w:cs="Arial"/>
                <w:sz w:val="18"/>
                <w:szCs w:val="18"/>
              </w:rPr>
            </w:pPr>
            <w:r w:rsidRPr="0017648B">
              <w:rPr>
                <w:rFonts w:cs="Arial"/>
                <w:sz w:val="18"/>
                <w:szCs w:val="18"/>
              </w:rPr>
              <w:object w:dxaOrig="1534" w:dyaOrig="993">
                <v:shape id="_x0000_i1026" type="#_x0000_t75" style="width:76.5pt;height:49.5pt" o:ole="">
                  <v:imagedata r:id="rId12" o:title=""/>
                </v:shape>
                <o:OLEObject Type="Embed" ProgID="Excel.Sheet.12" ShapeID="_x0000_i1026" DrawAspect="Icon" ObjectID="_1396080672" r:id="rId13"/>
              </w:object>
            </w:r>
          </w:p>
          <w:p w:rsidR="00386D34" w:rsidRDefault="00386D34" w:rsidP="00386D34">
            <w:pPr>
              <w:jc w:val="left"/>
              <w:rPr>
                <w:rFonts w:cs="Arial"/>
                <w:sz w:val="18"/>
                <w:szCs w:val="18"/>
              </w:rPr>
            </w:pPr>
            <w:r w:rsidRPr="00386D34">
              <w:rPr>
                <w:rFonts w:cs="Arial"/>
                <w:b/>
                <w:bCs/>
                <w:sz w:val="18"/>
                <w:szCs w:val="18"/>
                <w:u w:val="single"/>
              </w:rPr>
              <w:t xml:space="preserve">Telco March 28, 2012: </w:t>
            </w:r>
            <w:r w:rsidRPr="00386D34">
              <w:rPr>
                <w:rFonts w:cs="Arial"/>
                <w:b/>
                <w:bCs/>
                <w:sz w:val="18"/>
                <w:szCs w:val="18"/>
                <w:u w:val="single"/>
              </w:rPr>
              <w:br/>
            </w:r>
            <w:r w:rsidRPr="00386D34">
              <w:rPr>
                <w:rFonts w:cs="Arial"/>
                <w:sz w:val="18"/>
                <w:szCs w:val="18"/>
              </w:rPr>
              <w:t>A consolidated document with all EIG+ global grid, country columns and SMPG templates issues has been distributed with the minutes of the Feb. 29 conference call.</w:t>
            </w:r>
            <w:r w:rsidRPr="00386D34">
              <w:rPr>
                <w:rFonts w:cs="Arial"/>
                <w:sz w:val="18"/>
                <w:szCs w:val="18"/>
              </w:rPr>
              <w:br/>
              <w:t>The country column issues (i.e. US, CH, UK&amp;IE, JP, DE, RU, refer to the second table in the document) should ideally be responded to in advance of the Athens meeting as we will discuss the questions for EIG+ GG and templates during the meeting.</w:t>
            </w:r>
            <w:r w:rsidRPr="00386D34">
              <w:rPr>
                <w:rFonts w:cs="Arial"/>
                <w:sz w:val="18"/>
                <w:szCs w:val="18"/>
              </w:rPr>
              <w:br/>
              <w:t>Bernard questioned the format of the document and suggest to transfer it to Excel so that each country can add its feedback/comments in a different column and the comparison will be easier.</w:t>
            </w:r>
            <w:r w:rsidRPr="00386D34">
              <w:rPr>
                <w:rFonts w:cs="Arial"/>
                <w:b/>
                <w:bCs/>
                <w:sz w:val="18"/>
                <w:szCs w:val="18"/>
                <w:u w:val="single"/>
              </w:rPr>
              <w:br/>
              <w:t xml:space="preserve">Telco Feb 29, 2012: </w:t>
            </w:r>
            <w:r w:rsidRPr="00386D34">
              <w:rPr>
                <w:rFonts w:cs="Arial"/>
                <w:sz w:val="18"/>
                <w:szCs w:val="18"/>
              </w:rPr>
              <w:t>Review the status of the MP documents updates</w:t>
            </w:r>
            <w:r w:rsidRPr="00386D34">
              <w:rPr>
                <w:rFonts w:cs="Arial"/>
                <w:b/>
                <w:bCs/>
                <w:sz w:val="18"/>
                <w:szCs w:val="18"/>
                <w:u w:val="single"/>
              </w:rPr>
              <w:br/>
              <w:t xml:space="preserve">Telco Jan 25, 2012:  </w:t>
            </w:r>
            <w:r w:rsidRPr="00386D34">
              <w:rPr>
                <w:rFonts w:cs="Arial"/>
                <w:sz w:val="18"/>
                <w:szCs w:val="18"/>
              </w:rPr>
              <w:t>Review the status of the MP documents updates</w:t>
            </w:r>
            <w:r w:rsidRPr="00386D34">
              <w:rPr>
                <w:rFonts w:cs="Arial"/>
                <w:b/>
                <w:bCs/>
                <w:sz w:val="18"/>
                <w:szCs w:val="18"/>
                <w:u w:val="single"/>
              </w:rPr>
              <w:br/>
              <w:t xml:space="preserve">Telco Dec. 20, 2011: </w:t>
            </w:r>
            <w:r w:rsidRPr="00386D34">
              <w:rPr>
                <w:rFonts w:cs="Arial"/>
                <w:sz w:val="18"/>
                <w:szCs w:val="18"/>
              </w:rPr>
              <w:t>Progress status of the GMP and template updates</w:t>
            </w:r>
            <w:r w:rsidRPr="00386D34">
              <w:rPr>
                <w:rFonts w:cs="Arial"/>
                <w:sz w:val="18"/>
                <w:szCs w:val="18"/>
              </w:rPr>
              <w:br/>
            </w:r>
            <w:r w:rsidRPr="00386D34">
              <w:rPr>
                <w:rFonts w:cs="Arial"/>
                <w:sz w:val="18"/>
                <w:szCs w:val="18"/>
                <w:u w:val="single"/>
              </w:rPr>
              <w:t>GMP Part 1:</w:t>
            </w:r>
            <w:r w:rsidRPr="00386D34">
              <w:rPr>
                <w:rFonts w:cs="Arial"/>
                <w:sz w:val="18"/>
                <w:szCs w:val="18"/>
              </w:rPr>
              <w:t xml:space="preserve"> First SR2012 draft GMP Part1 sent out for review on November 24.</w:t>
            </w:r>
            <w:r w:rsidRPr="00386D34">
              <w:rPr>
                <w:rFonts w:cs="Arial"/>
                <w:sz w:val="18"/>
                <w:szCs w:val="18"/>
              </w:rPr>
              <w:br/>
              <w:t>4 items (5, 18, 20, 38) remaining to be addressed on by GMP Part 1 subgroup items list here below :</w:t>
            </w:r>
            <w:r w:rsidRPr="00386D34">
              <w:rPr>
                <w:rFonts w:cs="Arial"/>
                <w:sz w:val="18"/>
                <w:szCs w:val="18"/>
              </w:rPr>
              <w:br/>
            </w:r>
            <w:r w:rsidRPr="00386D34">
              <w:rPr>
                <w:rFonts w:cs="Arial"/>
                <w:sz w:val="18"/>
                <w:szCs w:val="18"/>
                <w:u w:val="single"/>
              </w:rPr>
              <w:t>GMP Part 2</w:t>
            </w:r>
            <w:r w:rsidRPr="00386D34">
              <w:rPr>
                <w:rFonts w:cs="Arial"/>
                <w:sz w:val="18"/>
                <w:szCs w:val="18"/>
              </w:rPr>
              <w:t xml:space="preserve">: - </w:t>
            </w:r>
            <w:r w:rsidRPr="00386D34">
              <w:rPr>
                <w:rFonts w:cs="Arial"/>
                <w:sz w:val="18"/>
                <w:szCs w:val="18"/>
              </w:rPr>
              <w:br/>
            </w:r>
            <w:r w:rsidRPr="00386D34">
              <w:rPr>
                <w:rFonts w:cs="Arial"/>
                <w:sz w:val="18"/>
                <w:szCs w:val="18"/>
                <w:u w:val="single"/>
              </w:rPr>
              <w:t>Templates</w:t>
            </w:r>
            <w:r w:rsidRPr="00386D34">
              <w:rPr>
                <w:rFonts w:cs="Arial"/>
                <w:sz w:val="18"/>
                <w:szCs w:val="18"/>
              </w:rPr>
              <w:t xml:space="preserve">: Status (20 Dec.): 58 templates (on a total of 66) received to date. </w:t>
            </w:r>
          </w:p>
          <w:p w:rsidR="00C35781" w:rsidRPr="00386D34" w:rsidRDefault="00C35781" w:rsidP="00386D34">
            <w:pPr>
              <w:jc w:val="left"/>
              <w:rPr>
                <w:rFonts w:cs="Arial"/>
                <w:sz w:val="18"/>
                <w:szCs w:val="18"/>
              </w:rPr>
            </w:pPr>
          </w:p>
        </w:tc>
      </w:tr>
      <w:tr w:rsidR="00386D34" w:rsidRPr="00CC1FE0" w:rsidTr="00386D34">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rsidP="00386D34">
            <w:pPr>
              <w:rPr>
                <w:rFonts w:cs="Arial"/>
                <w:b/>
                <w:bCs/>
                <w:sz w:val="20"/>
              </w:rPr>
            </w:pPr>
            <w:r>
              <w:rPr>
                <w:rFonts w:cs="Arial"/>
                <w:b/>
                <w:bCs/>
                <w:sz w:val="20"/>
              </w:rPr>
              <w:lastRenderedPageBreak/>
              <w:t>CA214</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MT567 definition of PACK vs PEND</w:t>
            </w:r>
          </w:p>
        </w:tc>
        <w:tc>
          <w:tcPr>
            <w:tcW w:w="3316"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sz w:val="18"/>
                <w:szCs w:val="18"/>
              </w:rPr>
            </w:pPr>
            <w:r w:rsidRPr="00386D34">
              <w:rPr>
                <w:rFonts w:cs="Arial"/>
                <w:sz w:val="18"/>
                <w:szCs w:val="18"/>
              </w:rPr>
              <w:t xml:space="preserve"> </w:t>
            </w:r>
            <w:r w:rsidRPr="00386D34">
              <w:rPr>
                <w:rFonts w:cs="Arial"/>
                <w:sz w:val="18"/>
                <w:szCs w:val="18"/>
              </w:rPr>
              <w:br/>
              <w:t xml:space="preserve">What is the difference between IPRC//PACK//LATE and IPRC//PEND//LATE (or ADEA).  </w:t>
            </w:r>
            <w:r w:rsidRPr="00386D34">
              <w:rPr>
                <w:rFonts w:cs="Arial"/>
                <w:sz w:val="18"/>
                <w:szCs w:val="18"/>
              </w:rPr>
              <w:br/>
              <w:t>In which case do we use PEND//ADEA and PEND//LATE as opposed to PACK//ADEA and PACK//LATE</w:t>
            </w:r>
            <w:r w:rsidRPr="00386D34">
              <w:rPr>
                <w:rFonts w:cs="Arial"/>
                <w:sz w:val="18"/>
                <w:szCs w:val="18"/>
              </w:rPr>
              <w:br/>
            </w:r>
            <w:r w:rsidRPr="00386D34">
              <w:rPr>
                <w:rFonts w:cs="Arial"/>
                <w:b/>
                <w:bCs/>
                <w:color w:val="FF0000"/>
                <w:sz w:val="18"/>
                <w:szCs w:val="18"/>
                <w:u w:val="single"/>
              </w:rPr>
              <w:t xml:space="preserve">Actions: </w:t>
            </w:r>
            <w:r w:rsidRPr="00386D34">
              <w:rPr>
                <w:rFonts w:cs="Arial"/>
                <w:sz w:val="18"/>
                <w:szCs w:val="18"/>
              </w:rPr>
              <w:t xml:space="preserve"> </w:t>
            </w:r>
            <w:r w:rsidRPr="00386D34">
              <w:rPr>
                <w:rFonts w:cs="Arial"/>
                <w:sz w:val="18"/>
                <w:szCs w:val="18"/>
              </w:rPr>
              <w:br/>
              <w:t xml:space="preserve">• </w:t>
            </w:r>
            <w:r w:rsidRPr="00386D34">
              <w:rPr>
                <w:rFonts w:cs="Arial"/>
                <w:sz w:val="18"/>
                <w:szCs w:val="18"/>
                <w:u w:val="single"/>
              </w:rPr>
              <w:t>Jacques</w:t>
            </w:r>
            <w:r w:rsidRPr="00386D34">
              <w:rPr>
                <w:rFonts w:cs="Arial"/>
                <w:sz w:val="18"/>
                <w:szCs w:val="18"/>
              </w:rPr>
              <w:t xml:space="preserve"> to update GMP Part 3 the “Process” tab with comments provided in the input document at La Hulpe meeting.</w:t>
            </w:r>
            <w:r w:rsidRPr="00386D34">
              <w:rPr>
                <w:rFonts w:cs="Arial"/>
                <w:sz w:val="18"/>
                <w:szCs w:val="18"/>
              </w:rPr>
              <w:br/>
              <w:t xml:space="preserve">• </w:t>
            </w:r>
            <w:r w:rsidRPr="00386D34">
              <w:rPr>
                <w:rFonts w:cs="Arial"/>
                <w:sz w:val="18"/>
                <w:szCs w:val="18"/>
                <w:u w:val="single"/>
              </w:rPr>
              <w:t>Co-chairs/Jacques</w:t>
            </w:r>
            <w:r w:rsidRPr="00386D34">
              <w:rPr>
                <w:rFonts w:cs="Arial"/>
                <w:sz w:val="18"/>
                <w:szCs w:val="18"/>
              </w:rPr>
              <w:t xml:space="preserve"> to submit more detailed proposal for April meeting.</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ISO20022 Subgroup</w:t>
            </w:r>
          </w:p>
        </w:tc>
        <w:tc>
          <w:tcPr>
            <w:tcW w:w="6840"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b/>
                <w:bCs/>
                <w:sz w:val="18"/>
                <w:szCs w:val="18"/>
                <w:u w:val="single"/>
              </w:rPr>
            </w:pPr>
            <w:r w:rsidRPr="00386D34">
              <w:rPr>
                <w:rFonts w:cs="Arial"/>
                <w:b/>
                <w:bCs/>
                <w:sz w:val="18"/>
                <w:szCs w:val="18"/>
                <w:u w:val="single"/>
              </w:rPr>
              <w:t>Telco Nov. 30, 2011:</w:t>
            </w:r>
            <w:r w:rsidRPr="00386D34">
              <w:rPr>
                <w:rFonts w:cs="Arial"/>
                <w:sz w:val="18"/>
                <w:szCs w:val="18"/>
              </w:rPr>
              <w:t xml:space="preserve"> Feedback is provided verbally by US, ZA, SE, FR, and DE; sometime different feedback specifically about the usage of ADEA reason code with either PACK or PEND.</w:t>
            </w:r>
            <w:r w:rsidRPr="00386D34">
              <w:rPr>
                <w:rFonts w:cs="Arial"/>
                <w:sz w:val="18"/>
                <w:szCs w:val="18"/>
              </w:rPr>
              <w:br/>
              <w:t>The ensuing discussion shows that the actual semantic of IPRC//PACK and PEND statuses may vary in function of the asset servicer role in the processing chain (CSD or sub-custodian,..) or in function of the operational message flow for the MT 567 (ie. when the status message is sent - immediately after instruction received or later when the instruction is accepted and forwarded for further processing). Feedback shows that for some, IPRC//PEND means that account owner reaction is required, for others not.</w:t>
            </w:r>
            <w:r w:rsidRPr="00386D34">
              <w:rPr>
                <w:rFonts w:cs="Arial"/>
                <w:sz w:val="18"/>
                <w:szCs w:val="18"/>
              </w:rPr>
              <w:br/>
              <w:t>As there is no easy consensus on the above, it is decided to postpone the discussion to the April meeting with a written detailed proposal as basis on which NMPGs can provide feeedback for the meeting discussion.</w:t>
            </w:r>
            <w:r w:rsidRPr="00386D34">
              <w:rPr>
                <w:rFonts w:cs="Arial"/>
                <w:sz w:val="18"/>
                <w:szCs w:val="18"/>
              </w:rPr>
              <w:br/>
            </w:r>
            <w:r w:rsidRPr="00386D34">
              <w:rPr>
                <w:rFonts w:cs="Arial"/>
                <w:b/>
                <w:bCs/>
                <w:sz w:val="18"/>
                <w:szCs w:val="18"/>
                <w:u w:val="single"/>
              </w:rPr>
              <w:t xml:space="preserve">La Hulpe October 10-11:  </w:t>
            </w:r>
            <w:r w:rsidRPr="00386D34">
              <w:rPr>
                <w:rFonts w:cs="Arial"/>
                <w:sz w:val="18"/>
                <w:szCs w:val="18"/>
              </w:rPr>
              <w:br/>
              <w:t xml:space="preserve">The group discussed  the proposal to change the name and definition of IPRC//PACK as follows: </w:t>
            </w:r>
            <w:r w:rsidRPr="00386D34">
              <w:rPr>
                <w:rFonts w:cs="Arial"/>
                <w:sz w:val="18"/>
                <w:szCs w:val="18"/>
              </w:rPr>
              <w:br/>
              <w:t>“PACK - Accepted for Further Processing – Instruction has been accepted.</w:t>
            </w:r>
            <w:r w:rsidRPr="00386D34">
              <w:rPr>
                <w:rFonts w:cs="Arial"/>
                <w:sz w:val="18"/>
                <w:szCs w:val="18"/>
              </w:rPr>
              <w:br/>
              <w:t>This means that the instruction has been received, is processable and has been validated for further processing.’</w:t>
            </w:r>
            <w:r w:rsidRPr="00386D34">
              <w:rPr>
                <w:rFonts w:cs="Arial"/>
                <w:sz w:val="18"/>
                <w:szCs w:val="18"/>
              </w:rPr>
              <w:br/>
              <w:t>Some members remarked that there is a significant business value for recipients to know clearly when they need to act (most PEND codes), and when they only are provided with a status update (PACK).</w:t>
            </w:r>
            <w:r w:rsidRPr="00386D34">
              <w:rPr>
                <w:rFonts w:cs="Arial"/>
                <w:sz w:val="18"/>
                <w:szCs w:val="18"/>
              </w:rPr>
              <w:br/>
              <w:t>The WG could not agree on the usage of PACK vs. PEND. PEND is used more often according to SWIFT statistics, but with the proposed new definition of PACK (and the scenario that recipients need to act on PEND), perhaps PACK is more logical.</w:t>
            </w:r>
            <w:r w:rsidRPr="00386D34">
              <w:rPr>
                <w:rFonts w:cs="Arial"/>
                <w:sz w:val="18"/>
                <w:szCs w:val="18"/>
              </w:rPr>
              <w:br/>
              <w:t>It was not clear either whether the Reason code ADEA/LATE should be restricted to either PACK or PEND and not used with both as today in the MP.</w:t>
            </w:r>
            <w:r w:rsidRPr="00386D34">
              <w:rPr>
                <w:rFonts w:cs="Arial"/>
                <w:b/>
                <w:bCs/>
                <w:sz w:val="18"/>
                <w:szCs w:val="18"/>
                <w:u w:val="single"/>
              </w:rPr>
              <w:br/>
              <w:t xml:space="preserve">Telco Sept 14: </w:t>
            </w:r>
            <w:r w:rsidRPr="00386D34">
              <w:rPr>
                <w:rFonts w:cs="Arial"/>
                <w:sz w:val="18"/>
                <w:szCs w:val="18"/>
              </w:rPr>
              <w:t xml:space="preserve">The definition of PACK itself is confusing as it is named “Acknowledged / Accepted” whilst both terms have very different meaning. </w:t>
            </w:r>
            <w:r w:rsidRPr="00386D34">
              <w:rPr>
                <w:rFonts w:cs="Arial"/>
                <w:sz w:val="18"/>
                <w:szCs w:val="18"/>
              </w:rPr>
              <w:br/>
              <w:t xml:space="preserve">This is also very much dependent upon the flow of statuses sent via the MT567. In some market, PEND is used first and then PACK is used to confirm the instruction </w:t>
            </w:r>
            <w:r w:rsidRPr="00386D34">
              <w:rPr>
                <w:rFonts w:cs="Arial"/>
                <w:sz w:val="18"/>
                <w:szCs w:val="18"/>
              </w:rPr>
              <w:lastRenderedPageBreak/>
              <w:t>is accepted. In other markets, PACK is sent first as an acknowledgement followed by PEND. How can it be compared to the PACK status used in the MT548 (S&amp;R) ?</w:t>
            </w:r>
            <w:r w:rsidRPr="00386D34">
              <w:rPr>
                <w:rFonts w:cs="Arial"/>
                <w:sz w:val="18"/>
                <w:szCs w:val="18"/>
              </w:rPr>
              <w:br/>
              <w:t>We could define PACK as the last “account servicer” status, basically saying the instruction has passed all the account servicer’s validations and will be sent for further processing (to the next agent, to the issuer, to the CSD, etc.)?</w:t>
            </w:r>
          </w:p>
        </w:tc>
      </w:tr>
      <w:tr w:rsidR="00386D34" w:rsidRPr="00CC1FE0" w:rsidTr="00386D34">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rsidP="00386D34">
            <w:pPr>
              <w:rPr>
                <w:rFonts w:cs="Arial"/>
                <w:b/>
                <w:bCs/>
                <w:sz w:val="20"/>
              </w:rPr>
            </w:pPr>
            <w:r>
              <w:rPr>
                <w:rFonts w:cs="Arial"/>
                <w:b/>
                <w:bCs/>
                <w:sz w:val="20"/>
              </w:rPr>
              <w:lastRenderedPageBreak/>
              <w:t>CA 224</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MT 56X - New Event Type  INFO &amp; new INFO Indicator</w:t>
            </w:r>
          </w:p>
        </w:tc>
        <w:tc>
          <w:tcPr>
            <w:tcW w:w="3316" w:type="dxa"/>
            <w:tcBorders>
              <w:top w:val="nil"/>
              <w:left w:val="nil"/>
              <w:bottom w:val="single" w:sz="4" w:space="0" w:color="auto"/>
              <w:right w:val="single" w:sz="4" w:space="0" w:color="auto"/>
            </w:tcBorders>
            <w:shd w:val="clear" w:color="auto" w:fill="auto"/>
            <w:vAlign w:val="bottom"/>
            <w:hideMark/>
          </w:tcPr>
          <w:p w:rsidR="00386D34" w:rsidRPr="00386D34" w:rsidRDefault="00386D34" w:rsidP="00386D34">
            <w:pPr>
              <w:jc w:val="left"/>
              <w:rPr>
                <w:rFonts w:cs="Arial"/>
                <w:sz w:val="18"/>
                <w:szCs w:val="18"/>
              </w:rPr>
            </w:pPr>
            <w:r w:rsidRPr="00386D34">
              <w:rPr>
                <w:rFonts w:cs="Arial"/>
                <w:sz w:val="18"/>
                <w:szCs w:val="18"/>
                <w:u w:val="single"/>
              </w:rPr>
              <w:t xml:space="preserve">From SR2012 CR 000196 </w:t>
            </w:r>
            <w:r w:rsidRPr="00386D34">
              <w:rPr>
                <w:rFonts w:cs="Arial"/>
                <w:sz w:val="18"/>
                <w:szCs w:val="18"/>
              </w:rPr>
              <w:t xml:space="preserve">- The MWG recommends that the SMPG further analyses what precise scope this event should cover and how it should be defined and potentially come back with a more detailed CR proposal next year. </w:t>
            </w:r>
            <w:r w:rsidRPr="00386D34">
              <w:rPr>
                <w:rFonts w:cs="Arial"/>
                <w:sz w:val="18"/>
                <w:szCs w:val="18"/>
              </w:rPr>
              <w:br/>
            </w:r>
            <w:r w:rsidRPr="00386D34">
              <w:rPr>
                <w:rFonts w:cs="Arial"/>
                <w:b/>
                <w:bCs/>
                <w:color w:val="FF0000"/>
                <w:sz w:val="18"/>
                <w:szCs w:val="18"/>
                <w:u w:val="single"/>
              </w:rPr>
              <w:t>Actionq</w:t>
            </w:r>
            <w:r w:rsidRPr="00386D34">
              <w:rPr>
                <w:rFonts w:cs="Arial"/>
                <w:sz w:val="18"/>
                <w:szCs w:val="18"/>
              </w:rPr>
              <w:br/>
              <w:t>The NMPGs to review this new proposal (either a new INFO event or a new INFO indicator) and revert.</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XS/ISITC</w:t>
            </w:r>
          </w:p>
        </w:tc>
        <w:tc>
          <w:tcPr>
            <w:tcW w:w="6840"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b/>
                <w:bCs/>
                <w:sz w:val="18"/>
                <w:szCs w:val="18"/>
                <w:u w:val="single"/>
              </w:rPr>
            </w:pPr>
            <w:r w:rsidRPr="00386D34">
              <w:rPr>
                <w:rFonts w:cs="Arial"/>
                <w:b/>
                <w:bCs/>
                <w:sz w:val="18"/>
                <w:szCs w:val="18"/>
                <w:u w:val="single"/>
              </w:rPr>
              <w:t xml:space="preserve">Telco March 28, 2012: </w:t>
            </w:r>
            <w:r w:rsidRPr="00386D34">
              <w:rPr>
                <w:rFonts w:cs="Arial"/>
                <w:sz w:val="18"/>
                <w:szCs w:val="18"/>
              </w:rPr>
              <w:t>Additional feedback provided by countries:</w:t>
            </w:r>
            <w:r w:rsidRPr="00386D34">
              <w:rPr>
                <w:rFonts w:cs="Arial"/>
                <w:sz w:val="18"/>
                <w:szCs w:val="18"/>
              </w:rPr>
              <w:br/>
              <w:t>NO: no objections to create a new INFO indicator different from 25D:::PROC/INFO, as long as INFO does not become a CAEV code.</w:t>
            </w:r>
            <w:r w:rsidRPr="00386D34">
              <w:rPr>
                <w:rFonts w:cs="Arial"/>
                <w:sz w:val="18"/>
                <w:szCs w:val="18"/>
              </w:rPr>
              <w:br/>
              <w:t>SE: Same as NO above.</w:t>
            </w:r>
            <w:r w:rsidRPr="00386D34">
              <w:rPr>
                <w:rFonts w:cs="Arial"/>
                <w:sz w:val="18"/>
                <w:szCs w:val="18"/>
              </w:rPr>
              <w:br/>
              <w:t>CH: No objections to either INFO as a new indicator or as a CAEV code.</w:t>
            </w:r>
            <w:r w:rsidRPr="00386D34">
              <w:rPr>
                <w:rFonts w:cs="Arial"/>
                <w:sz w:val="18"/>
                <w:szCs w:val="18"/>
              </w:rPr>
              <w:br/>
              <w:t>UK: see little need for INFO as CAEV code, except for conference calls. Have not yet discussed INFO as a new indicator; will revert at the Athens meeting.</w:t>
            </w:r>
            <w:r w:rsidRPr="00386D34">
              <w:rPr>
                <w:rFonts w:cs="Arial"/>
                <w:sz w:val="18"/>
                <w:szCs w:val="18"/>
              </w:rPr>
              <w:br/>
              <w:t>FR: Do not see need for INFO as CAEV code. Have not yet discussed INFO as a new indicator; will revert at Athens meeting.</w:t>
            </w:r>
            <w:r w:rsidRPr="00386D34">
              <w:rPr>
                <w:rFonts w:cs="Arial"/>
                <w:sz w:val="18"/>
                <w:szCs w:val="18"/>
              </w:rPr>
              <w:br/>
              <w:t>DE: Do not see a need for INFO as either a CAEV code or a new indicator.</w:t>
            </w:r>
            <w:r w:rsidRPr="00386D34">
              <w:rPr>
                <w:rFonts w:cs="Arial"/>
                <w:sz w:val="18"/>
                <w:szCs w:val="18"/>
              </w:rPr>
              <w:br/>
              <w:t>All agree that there is a need to separate unspecified events with (possible) movements/processing  from unspecified events being simply for information (without processing). It is mentioned also that using an INFO event would facilitate eventually the routing compared to an INFO indicator !</w:t>
            </w:r>
            <w:r w:rsidRPr="00386D34">
              <w:rPr>
                <w:rFonts w:cs="Arial"/>
                <w:b/>
                <w:bCs/>
                <w:sz w:val="18"/>
                <w:szCs w:val="18"/>
                <w:u w:val="single"/>
              </w:rPr>
              <w:br/>
              <w:t xml:space="preserve">Telco Feb 29, 2012: </w:t>
            </w:r>
            <w:r w:rsidRPr="00386D34">
              <w:rPr>
                <w:rFonts w:cs="Arial"/>
                <w:b/>
                <w:bCs/>
                <w:sz w:val="18"/>
                <w:szCs w:val="18"/>
                <w:u w:val="single"/>
              </w:rPr>
              <w:br/>
            </w:r>
            <w:r w:rsidRPr="00386D34">
              <w:rPr>
                <w:rFonts w:cs="Arial"/>
                <w:sz w:val="18"/>
                <w:szCs w:val="18"/>
              </w:rPr>
              <w:t xml:space="preserve">Sonda goes through the input document provided at the meeting showing 2 examples of ; one about the cancellation of a listing on the IE exchange and the second one on the change of listing currency in the UK. </w:t>
            </w:r>
            <w:r w:rsidRPr="00386D34">
              <w:rPr>
                <w:rFonts w:cs="Arial"/>
                <w:sz w:val="18"/>
                <w:szCs w:val="18"/>
              </w:rPr>
              <w:br/>
              <w:t xml:space="preserve">The ensuing discussion shows that it is difficult to give a non-ambiguous scope to a potential new “INFO” event and also how to distinguish it from the OTHR type of event ?  It is therefore proposed to eventually create a new INFO indicator  (different from :25D::PROC//INFO which has a different meaning) rather than a new INFO CAEV code. </w:t>
            </w:r>
            <w:r w:rsidRPr="00386D34">
              <w:rPr>
                <w:rFonts w:cs="Arial"/>
                <w:sz w:val="18"/>
                <w:szCs w:val="18"/>
              </w:rPr>
              <w:br/>
            </w:r>
            <w:r w:rsidRPr="00386D34">
              <w:rPr>
                <w:rFonts w:cs="Arial"/>
                <w:sz w:val="18"/>
                <w:szCs w:val="18"/>
                <w:u w:val="single"/>
              </w:rPr>
              <w:t>DE ( written feedback)</w:t>
            </w:r>
            <w:r w:rsidRPr="00386D34">
              <w:rPr>
                <w:rFonts w:cs="Arial"/>
                <w:sz w:val="18"/>
                <w:szCs w:val="18"/>
              </w:rPr>
              <w:t xml:space="preserve">: Concerning Sonda's Mail dated 25.01.2012/16:02, the German NMPG does not regard the quoted examples as Corporate Actions.  A lot of foreign securities are listed on the German Stock Exchanges. As you are aware we have several regional stock exchanges and electronic trading platforms and the stock exchange in Frankfurt.  To initiate a dual listing of foreign stock on one of the exchanges in Germany is very easy for the brokers and therefore foreign securites are constantly listed and delisted in Germany. From a German point of view, the listing or delisting of securities is static data and not a Corporate Action as long as the stock is still listed on any other exchange in the world because the clients can still sell theis shares anywhere else. In case a securitiy would not be traded anymore, the client should be informed because this would have a huge impact on the liquidity of the position. </w:t>
            </w:r>
            <w:r w:rsidRPr="00386D34">
              <w:rPr>
                <w:rFonts w:cs="Arial"/>
                <w:b/>
                <w:bCs/>
                <w:sz w:val="18"/>
                <w:szCs w:val="18"/>
                <w:u w:val="single"/>
              </w:rPr>
              <w:br/>
              <w:t xml:space="preserve">Telco Jan 25, 2012:  </w:t>
            </w:r>
            <w:r w:rsidRPr="00386D34">
              <w:rPr>
                <w:rFonts w:cs="Arial"/>
                <w:b/>
                <w:bCs/>
                <w:sz w:val="18"/>
                <w:szCs w:val="18"/>
                <w:u w:val="single"/>
              </w:rPr>
              <w:br/>
            </w:r>
            <w:r w:rsidRPr="00386D34">
              <w:rPr>
                <w:rFonts w:cs="Arial"/>
                <w:sz w:val="18"/>
                <w:szCs w:val="18"/>
              </w:rPr>
              <w:t>Additional NMPG’s feedback provided at the meeting:</w:t>
            </w:r>
            <w:r w:rsidRPr="00386D34">
              <w:rPr>
                <w:rFonts w:cs="Arial"/>
                <w:sz w:val="18"/>
                <w:szCs w:val="18"/>
              </w:rPr>
              <w:br/>
            </w:r>
            <w:r w:rsidRPr="00386D34">
              <w:rPr>
                <w:rFonts w:cs="Arial"/>
                <w:sz w:val="18"/>
                <w:szCs w:val="18"/>
              </w:rPr>
              <w:lastRenderedPageBreak/>
              <w:t>CH: Not applicable.</w:t>
            </w:r>
            <w:r w:rsidRPr="00386D34">
              <w:rPr>
                <w:rFonts w:cs="Arial"/>
                <w:sz w:val="18"/>
                <w:szCs w:val="18"/>
              </w:rPr>
              <w:br/>
              <w:t>FI: No need for INFO.</w:t>
            </w:r>
            <w:r w:rsidRPr="00386D34">
              <w:rPr>
                <w:rFonts w:cs="Arial"/>
                <w:sz w:val="18"/>
                <w:szCs w:val="18"/>
              </w:rPr>
              <w:br/>
              <w:t xml:space="preserve">ISITC: Other cases: scenario for ”quotation call” and change of listing currency in the UK, when Irish securities become British or vice versa. </w:t>
            </w:r>
            <w:r w:rsidRPr="00386D34">
              <w:rPr>
                <w:rFonts w:cs="Arial"/>
                <w:sz w:val="18"/>
                <w:szCs w:val="18"/>
              </w:rPr>
              <w:br/>
              <w:t>NO: No, we do not see a need for INFO.</w:t>
            </w:r>
            <w:r w:rsidRPr="00386D34">
              <w:rPr>
                <w:rFonts w:cs="Arial"/>
                <w:sz w:val="18"/>
                <w:szCs w:val="18"/>
              </w:rPr>
              <w:br/>
              <w:t>Postponed to next conf call.</w:t>
            </w:r>
            <w:r w:rsidRPr="00386D34">
              <w:rPr>
                <w:rFonts w:cs="Arial"/>
                <w:sz w:val="18"/>
                <w:szCs w:val="18"/>
              </w:rPr>
              <w:br/>
              <w:t>ZA ( written feedback): the ZA NMPG submitted the CR on the premise that we were informed that there was a global trend towards effecting name changes without changing the ISIN. As there is no ISIN change there would be no security movement and we were of opinion that INFO event would be appropriate to communicate the change of name and possibly other events too, e.g. the convening of conference calls. We concur with some other NMPGs that caution is required as we do not want corporate actions to become information providers and therefore where there is a event code available to communicate an event then it should be used.</w:t>
            </w:r>
            <w:r w:rsidRPr="00386D34">
              <w:rPr>
                <w:rFonts w:cs="Arial"/>
                <w:b/>
                <w:bCs/>
                <w:sz w:val="18"/>
                <w:szCs w:val="18"/>
                <w:u w:val="single"/>
              </w:rPr>
              <w:br/>
              <w:t xml:space="preserve">Telco Dec. 20, 2011: </w:t>
            </w:r>
            <w:r w:rsidRPr="00386D34">
              <w:rPr>
                <w:rFonts w:cs="Arial"/>
                <w:b/>
                <w:bCs/>
                <w:sz w:val="18"/>
                <w:szCs w:val="18"/>
                <w:u w:val="single"/>
              </w:rPr>
              <w:br/>
            </w:r>
            <w:r w:rsidRPr="00386D34">
              <w:rPr>
                <w:rFonts w:cs="Arial"/>
                <w:sz w:val="18"/>
                <w:szCs w:val="18"/>
              </w:rPr>
              <w:t>Additional NMPG’s feedback provided at the meeting:</w:t>
            </w:r>
            <w:r w:rsidRPr="00386D34">
              <w:rPr>
                <w:rFonts w:cs="Arial"/>
                <w:sz w:val="18"/>
                <w:szCs w:val="18"/>
              </w:rPr>
              <w:br/>
              <w:t>JP: No need for INFO code is seen</w:t>
            </w:r>
            <w:r w:rsidRPr="00386D34">
              <w:rPr>
                <w:rFonts w:cs="Arial"/>
                <w:sz w:val="18"/>
                <w:szCs w:val="18"/>
              </w:rPr>
              <w:br/>
            </w:r>
            <w:r w:rsidRPr="00386D34">
              <w:rPr>
                <w:rFonts w:cs="Arial"/>
                <w:b/>
                <w:bCs/>
                <w:sz w:val="18"/>
                <w:szCs w:val="18"/>
                <w:u w:val="single"/>
              </w:rPr>
              <w:t xml:space="preserve">Telco Nov. 30, 2011: </w:t>
            </w:r>
            <w:r w:rsidRPr="00386D34">
              <w:rPr>
                <w:rFonts w:cs="Arial"/>
                <w:b/>
                <w:bCs/>
                <w:sz w:val="18"/>
                <w:szCs w:val="18"/>
                <w:u w:val="single"/>
              </w:rPr>
              <w:br/>
            </w:r>
            <w:r w:rsidRPr="00386D34">
              <w:rPr>
                <w:rFonts w:cs="Arial"/>
                <w:sz w:val="18"/>
                <w:szCs w:val="18"/>
              </w:rPr>
              <w:t>NMPG’s feedback provided at the meeting:</w:t>
            </w:r>
            <w:r w:rsidRPr="00386D34">
              <w:rPr>
                <w:rFonts w:cs="Arial"/>
                <w:sz w:val="18"/>
                <w:szCs w:val="18"/>
              </w:rPr>
              <w:br/>
              <w:t>• SE, DE: No business need for this and do not want to become market data providers.</w:t>
            </w:r>
            <w:r w:rsidRPr="00386D34">
              <w:rPr>
                <w:rFonts w:cs="Arial"/>
                <w:sz w:val="18"/>
                <w:szCs w:val="18"/>
              </w:rPr>
              <w:br/>
              <w:t>• ICSDs: If the SMPG rejects a new INFO event, the ICSDs will likely proceed with a company “Conference Call” CR.</w:t>
            </w:r>
            <w:r w:rsidRPr="00386D34">
              <w:rPr>
                <w:rFonts w:cs="Arial"/>
                <w:sz w:val="18"/>
                <w:szCs w:val="18"/>
              </w:rPr>
              <w:br/>
              <w:t>• UK: Neutral to positive, in favor of “conf calls” CR but did not see a need for other INFO events.</w:t>
            </w:r>
            <w:r w:rsidRPr="00386D34">
              <w:rPr>
                <w:rFonts w:cs="Arial"/>
                <w:sz w:val="18"/>
                <w:szCs w:val="18"/>
              </w:rPr>
              <w:br/>
              <w:t>• ISITC: See business need for conf call, but also think that other possible uses could appear later and thus propose a “company info” (not a CAEV) code to avoid needing to add more CAEV codes.</w:t>
            </w:r>
            <w:r w:rsidRPr="00386D34">
              <w:rPr>
                <w:rFonts w:cs="Arial"/>
                <w:b/>
                <w:bCs/>
                <w:sz w:val="18"/>
                <w:szCs w:val="18"/>
                <w:u w:val="single"/>
              </w:rPr>
              <w:br/>
              <w:t>La Hulpe October 10-11:</w:t>
            </w:r>
            <w:r w:rsidRPr="00386D34">
              <w:rPr>
                <w:rFonts w:cs="Arial"/>
                <w:sz w:val="18"/>
                <w:szCs w:val="18"/>
              </w:rPr>
              <w:t xml:space="preserve">  The following ISITC cases presented were reviewed:</w:t>
            </w:r>
            <w:r w:rsidRPr="00386D34">
              <w:rPr>
                <w:rFonts w:cs="Arial"/>
                <w:sz w:val="18"/>
                <w:szCs w:val="18"/>
              </w:rPr>
              <w:br/>
              <w:t>• For change of Terms and conditions è use CHAN//TERM</w:t>
            </w:r>
            <w:r w:rsidRPr="00386D34">
              <w:rPr>
                <w:rFonts w:cs="Arial"/>
                <w:sz w:val="18"/>
                <w:szCs w:val="18"/>
              </w:rPr>
              <w:br/>
              <w:t>• For Conference calls information è use new INFO event ?</w:t>
            </w:r>
            <w:r w:rsidRPr="00386D34">
              <w:rPr>
                <w:rFonts w:cs="Arial"/>
                <w:sz w:val="18"/>
                <w:szCs w:val="18"/>
              </w:rPr>
              <w:br/>
              <w:t>• Documents made available è US to check if this in relation to other events or not, and revert</w:t>
            </w:r>
            <w:r w:rsidRPr="00386D34">
              <w:rPr>
                <w:rFonts w:cs="Arial"/>
                <w:sz w:val="18"/>
                <w:szCs w:val="18"/>
              </w:rPr>
              <w:br/>
              <w:t>• Events with no impact to holding (simplified Mergers) è ?</w:t>
            </w:r>
            <w:r w:rsidRPr="00386D34">
              <w:rPr>
                <w:rFonts w:cs="Arial"/>
                <w:sz w:val="18"/>
                <w:szCs w:val="18"/>
              </w:rPr>
              <w:br/>
              <w:t>• De-listings è use DLST</w:t>
            </w:r>
            <w:r w:rsidRPr="00386D34">
              <w:rPr>
                <w:rFonts w:cs="Arial"/>
                <w:sz w:val="18"/>
                <w:szCs w:val="18"/>
              </w:rPr>
              <w:br/>
              <w:t>• Bond rating changes è the WG did not believe these should be sent in CA messages</w:t>
            </w:r>
            <w:r w:rsidRPr="00386D34">
              <w:rPr>
                <w:rFonts w:cs="Arial"/>
                <w:sz w:val="18"/>
                <w:szCs w:val="18"/>
              </w:rPr>
              <w:br/>
              <w:t>• DTCC trust notices è US to describe what these are and revert</w:t>
            </w:r>
            <w:r w:rsidRPr="00386D34">
              <w:rPr>
                <w:rFonts w:cs="Arial"/>
                <w:sz w:val="18"/>
                <w:szCs w:val="18"/>
              </w:rPr>
              <w:br/>
              <w:t>In general, we should limit the CA events to events affecting the underlyings in custody.</w:t>
            </w:r>
            <w:r w:rsidRPr="00386D34">
              <w:rPr>
                <w:rFonts w:cs="Arial"/>
                <w:sz w:val="18"/>
                <w:szCs w:val="18"/>
              </w:rPr>
              <w:br/>
              <w:t>Review of South African questions</w:t>
            </w:r>
            <w:r w:rsidRPr="00386D34">
              <w:rPr>
                <w:rFonts w:cs="Arial"/>
                <w:sz w:val="18"/>
                <w:szCs w:val="18"/>
              </w:rPr>
              <w:br/>
            </w:r>
            <w:r w:rsidRPr="00386D34">
              <w:rPr>
                <w:rFonts w:cs="Arial"/>
                <w:sz w:val="18"/>
                <w:szCs w:val="18"/>
              </w:rPr>
              <w:lastRenderedPageBreak/>
              <w:t>• Name change, with or without ISIN change è use CHAN//NAME</w:t>
            </w:r>
            <w:r w:rsidRPr="00386D34">
              <w:rPr>
                <w:rFonts w:cs="Arial"/>
                <w:sz w:val="18"/>
                <w:szCs w:val="18"/>
              </w:rPr>
              <w:br/>
              <w:t>• Preliminary unconfirmed Class action type not called class action in ZA è use CLSA</w:t>
            </w:r>
            <w:r w:rsidRPr="00386D34">
              <w:rPr>
                <w:rFonts w:cs="Arial"/>
                <w:sz w:val="18"/>
                <w:szCs w:val="18"/>
              </w:rPr>
              <w:br/>
              <w:t>Christine raised the issue of shares removed from the CSD register, without becoming physical securities or certificates è use OTHR.</w:t>
            </w:r>
          </w:p>
        </w:tc>
      </w:tr>
      <w:tr w:rsidR="00386D34" w:rsidRPr="00CC1FE0" w:rsidTr="00386D34">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rsidP="00386D34">
            <w:pPr>
              <w:rPr>
                <w:rFonts w:cs="Arial"/>
                <w:b/>
                <w:bCs/>
                <w:sz w:val="20"/>
              </w:rPr>
            </w:pPr>
            <w:r>
              <w:rPr>
                <w:rFonts w:cs="Arial"/>
                <w:b/>
                <w:bCs/>
                <w:sz w:val="20"/>
              </w:rPr>
              <w:lastRenderedPageBreak/>
              <w:t>CA 223</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MT 56X - New Event Type for Partial Redemption in Pro-Rata</w:t>
            </w:r>
          </w:p>
        </w:tc>
        <w:tc>
          <w:tcPr>
            <w:tcW w:w="3316" w:type="dxa"/>
            <w:tcBorders>
              <w:top w:val="nil"/>
              <w:left w:val="nil"/>
              <w:bottom w:val="single" w:sz="4" w:space="0" w:color="auto"/>
              <w:right w:val="single" w:sz="4" w:space="0" w:color="auto"/>
            </w:tcBorders>
            <w:shd w:val="clear" w:color="auto" w:fill="auto"/>
            <w:vAlign w:val="bottom"/>
            <w:hideMark/>
          </w:tcPr>
          <w:p w:rsidR="00386D34" w:rsidRPr="00386D34" w:rsidRDefault="00386D34" w:rsidP="00386D34">
            <w:pPr>
              <w:jc w:val="left"/>
              <w:rPr>
                <w:rFonts w:cs="Arial"/>
                <w:sz w:val="18"/>
                <w:szCs w:val="18"/>
              </w:rPr>
            </w:pPr>
            <w:r w:rsidRPr="00386D34">
              <w:rPr>
                <w:rFonts w:cs="Arial"/>
                <w:sz w:val="18"/>
                <w:szCs w:val="18"/>
                <w:u w:val="single"/>
              </w:rPr>
              <w:t>From SR2012 CR 000210</w:t>
            </w:r>
            <w:r w:rsidRPr="00386D34">
              <w:rPr>
                <w:rFonts w:cs="Arial"/>
                <w:sz w:val="18"/>
                <w:szCs w:val="18"/>
              </w:rPr>
              <w:t>: The MWG recommends that the business case be further analysed in details at the SMPG level with the other types of redemption events so as to potentially come back next year with a more robust proposal (for instance by using an incator on the PCAL event).</w:t>
            </w:r>
            <w:r w:rsidRPr="00386D34">
              <w:rPr>
                <w:rFonts w:cs="Arial"/>
                <w:sz w:val="18"/>
                <w:szCs w:val="18"/>
              </w:rPr>
              <w:br/>
            </w:r>
            <w:r w:rsidRPr="00386D34">
              <w:rPr>
                <w:rFonts w:cs="Arial"/>
                <w:color w:val="FF0000"/>
                <w:sz w:val="18"/>
                <w:szCs w:val="18"/>
                <w:u w:val="single"/>
              </w:rPr>
              <w:t>Action:</w:t>
            </w:r>
            <w:r w:rsidRPr="00386D34">
              <w:rPr>
                <w:rFonts w:cs="Arial"/>
                <w:sz w:val="18"/>
                <w:szCs w:val="18"/>
              </w:rPr>
              <w:t xml:space="preserve">  </w:t>
            </w:r>
            <w:r w:rsidRPr="00386D34">
              <w:rPr>
                <w:rFonts w:cs="Arial"/>
                <w:sz w:val="18"/>
                <w:szCs w:val="18"/>
                <w:u w:val="single"/>
              </w:rPr>
              <w:t>Jacques</w:t>
            </w:r>
            <w:r w:rsidRPr="00386D34">
              <w:rPr>
                <w:rFonts w:cs="Arial"/>
                <w:sz w:val="18"/>
                <w:szCs w:val="18"/>
              </w:rPr>
              <w:t xml:space="preserve"> to extract the input from the SR2012 MWG minutes CR 000210 and distribute before Athens.</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XS</w:t>
            </w:r>
          </w:p>
        </w:tc>
        <w:tc>
          <w:tcPr>
            <w:tcW w:w="6840" w:type="dxa"/>
            <w:tcBorders>
              <w:top w:val="nil"/>
              <w:left w:val="nil"/>
              <w:bottom w:val="single" w:sz="4" w:space="0" w:color="auto"/>
              <w:right w:val="single" w:sz="4" w:space="0" w:color="auto"/>
            </w:tcBorders>
            <w:shd w:val="clear" w:color="auto" w:fill="auto"/>
            <w:vAlign w:val="center"/>
            <w:hideMark/>
          </w:tcPr>
          <w:p w:rsidR="00AE254A" w:rsidRDefault="00AE254A" w:rsidP="00386D34">
            <w:pPr>
              <w:jc w:val="left"/>
              <w:rPr>
                <w:rFonts w:cs="Arial"/>
                <w:b/>
                <w:bCs/>
                <w:sz w:val="18"/>
                <w:szCs w:val="18"/>
                <w:u w:val="single"/>
              </w:rPr>
            </w:pPr>
            <w:r w:rsidRPr="0017648B">
              <w:rPr>
                <w:rFonts w:cs="Arial"/>
                <w:b/>
                <w:bCs/>
                <w:sz w:val="18"/>
                <w:szCs w:val="18"/>
                <w:u w:val="single"/>
              </w:rPr>
              <w:object w:dxaOrig="1534" w:dyaOrig="993">
                <v:shape id="_x0000_i1027" type="#_x0000_t75" style="width:76.5pt;height:49.5pt" o:ole="">
                  <v:imagedata r:id="rId14" o:title=""/>
                </v:shape>
                <o:OLEObject Type="Embed" ProgID="Word.Document.12" ShapeID="_x0000_i1027" DrawAspect="Icon" ObjectID="_1396080673" r:id="rId15">
                  <o:FieldCodes>\s</o:FieldCodes>
                </o:OLEObject>
              </w:object>
            </w:r>
          </w:p>
          <w:p w:rsidR="00386D34" w:rsidRPr="00386D34" w:rsidRDefault="00386D34" w:rsidP="00386D34">
            <w:pPr>
              <w:jc w:val="left"/>
              <w:rPr>
                <w:rFonts w:cs="Arial"/>
                <w:b/>
                <w:bCs/>
                <w:sz w:val="18"/>
                <w:szCs w:val="18"/>
                <w:u w:val="single"/>
              </w:rPr>
            </w:pPr>
            <w:r w:rsidRPr="00386D34">
              <w:rPr>
                <w:rFonts w:cs="Arial"/>
                <w:b/>
                <w:bCs/>
                <w:sz w:val="18"/>
                <w:szCs w:val="18"/>
                <w:u w:val="single"/>
              </w:rPr>
              <w:t xml:space="preserve">Telco March 28, 2012: </w:t>
            </w:r>
            <w:r w:rsidRPr="00386D34">
              <w:rPr>
                <w:rFonts w:cs="Arial"/>
                <w:sz w:val="18"/>
                <w:szCs w:val="18"/>
              </w:rPr>
              <w:t>No input provided. Discussion postponed to Athens meeting.</w:t>
            </w:r>
            <w:r w:rsidRPr="00386D34">
              <w:rPr>
                <w:rFonts w:cs="Arial"/>
                <w:b/>
                <w:bCs/>
                <w:sz w:val="18"/>
                <w:szCs w:val="18"/>
                <w:u w:val="single"/>
              </w:rPr>
              <w:br/>
              <w:t xml:space="preserve">Telco Feb 29, 2012: </w:t>
            </w:r>
            <w:r w:rsidRPr="00386D34">
              <w:rPr>
                <w:rFonts w:cs="Arial"/>
                <w:sz w:val="18"/>
                <w:szCs w:val="18"/>
              </w:rPr>
              <w:t>No input provided. Discussion postponed to next conference call.</w:t>
            </w:r>
            <w:r w:rsidRPr="00386D34">
              <w:rPr>
                <w:rFonts w:cs="Arial"/>
                <w:b/>
                <w:bCs/>
                <w:sz w:val="18"/>
                <w:szCs w:val="18"/>
                <w:u w:val="single"/>
              </w:rPr>
              <w:br/>
              <w:t xml:space="preserve">Telco Jan 25, 2012:  </w:t>
            </w:r>
            <w:r w:rsidRPr="00386D34">
              <w:rPr>
                <w:rFonts w:cs="Arial"/>
                <w:sz w:val="18"/>
                <w:szCs w:val="18"/>
              </w:rPr>
              <w:t xml:space="preserve">We can consider that there are four types of partial redemptions in the market; out of which three have their own CAEV codes. </w:t>
            </w:r>
            <w:r w:rsidRPr="00386D34">
              <w:rPr>
                <w:rFonts w:cs="Arial"/>
                <w:sz w:val="18"/>
                <w:szCs w:val="18"/>
              </w:rPr>
              <w:br/>
              <w:t xml:space="preserve">The fourth type is like a mix of a PCAL and PRED. Everyone is affected, but otherwise it looks more like a DRAW. This applies to partial redemptions of Danish mortgage bonds, and also some ICSD securities. </w:t>
            </w:r>
            <w:r w:rsidRPr="00386D34">
              <w:rPr>
                <w:rFonts w:cs="Arial"/>
                <w:sz w:val="18"/>
                <w:szCs w:val="18"/>
              </w:rPr>
              <w:br/>
              <w:t>Should a new CAEV code be added – and in this case, we should have a clear distinction between all 4 redemption events - or a new sub-type indicator for PCAL created showing how it has been redeemed e.g. via lottery or pro-rata ?</w:t>
            </w:r>
          </w:p>
        </w:tc>
      </w:tr>
      <w:tr w:rsidR="00386D34" w:rsidRPr="00CC1FE0" w:rsidTr="00386D34">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rsidP="00386D34">
            <w:pPr>
              <w:rPr>
                <w:rFonts w:cs="Arial"/>
                <w:b/>
                <w:bCs/>
                <w:sz w:val="20"/>
              </w:rPr>
            </w:pPr>
            <w:r>
              <w:rPr>
                <w:rFonts w:cs="Arial"/>
                <w:b/>
                <w:bCs/>
                <w:sz w:val="20"/>
              </w:rPr>
              <w:t>CA 226</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 xml:space="preserve">Disclosure (DSCL) event - Clarify usage / market practice </w:t>
            </w:r>
          </w:p>
        </w:tc>
        <w:tc>
          <w:tcPr>
            <w:tcW w:w="3316" w:type="dxa"/>
            <w:tcBorders>
              <w:top w:val="nil"/>
              <w:left w:val="nil"/>
              <w:bottom w:val="single" w:sz="4" w:space="0" w:color="auto"/>
              <w:right w:val="single" w:sz="4" w:space="0" w:color="auto"/>
            </w:tcBorders>
            <w:shd w:val="clear" w:color="auto" w:fill="auto"/>
            <w:vAlign w:val="bottom"/>
            <w:hideMark/>
          </w:tcPr>
          <w:p w:rsidR="00386D34" w:rsidRPr="00386D34" w:rsidRDefault="00386D34" w:rsidP="00386D34">
            <w:pPr>
              <w:jc w:val="left"/>
              <w:rPr>
                <w:rFonts w:cs="Arial"/>
                <w:sz w:val="18"/>
                <w:szCs w:val="18"/>
              </w:rPr>
            </w:pPr>
            <w:r w:rsidRPr="00386D34">
              <w:rPr>
                <w:rFonts w:cs="Arial"/>
                <w:sz w:val="18"/>
                <w:szCs w:val="18"/>
                <w:u w:val="single"/>
              </w:rPr>
              <w:t>From SR2012 CR 000193</w:t>
            </w:r>
            <w:r w:rsidRPr="00386D34">
              <w:rPr>
                <w:rFonts w:cs="Arial"/>
                <w:sz w:val="18"/>
                <w:szCs w:val="18"/>
              </w:rPr>
              <w:t xml:space="preserve"> - The MWG recommends also that the SMPG clarifies the usage of the existing DSCL (Disclosure) event in the CA messages and how it differs from the disclosure process described into the T2S shareholder transparency documents as this has generated some confusion.</w:t>
            </w:r>
            <w:r w:rsidRPr="00386D34">
              <w:rPr>
                <w:rFonts w:cs="Arial"/>
                <w:sz w:val="18"/>
                <w:szCs w:val="18"/>
              </w:rPr>
              <w:br/>
            </w:r>
            <w:r w:rsidRPr="00386D34">
              <w:rPr>
                <w:rFonts w:cs="Arial"/>
                <w:b/>
                <w:bCs/>
                <w:color w:val="FF0000"/>
                <w:sz w:val="18"/>
                <w:szCs w:val="18"/>
                <w:u w:val="single"/>
              </w:rPr>
              <w:t>Action:</w:t>
            </w:r>
            <w:r w:rsidRPr="00386D34">
              <w:rPr>
                <w:rFonts w:cs="Arial"/>
                <w:b/>
                <w:bCs/>
                <w:color w:val="FF0000"/>
                <w:sz w:val="18"/>
                <w:szCs w:val="18"/>
              </w:rPr>
              <w:t xml:space="preserve"> </w:t>
            </w:r>
            <w:r w:rsidRPr="00386D34">
              <w:rPr>
                <w:rFonts w:cs="Arial"/>
                <w:b/>
                <w:bCs/>
                <w:color w:val="FF0000"/>
                <w:sz w:val="18"/>
                <w:szCs w:val="18"/>
              </w:rPr>
              <w:br/>
            </w:r>
            <w:r w:rsidRPr="00386D34">
              <w:rPr>
                <w:rFonts w:cs="Arial"/>
                <w:color w:val="000000"/>
                <w:sz w:val="18"/>
                <w:szCs w:val="18"/>
              </w:rPr>
              <w:t>1. Bernard to provide input table for this topic for Athens</w:t>
            </w:r>
            <w:r w:rsidRPr="00386D34">
              <w:rPr>
                <w:rFonts w:cs="Arial"/>
                <w:b/>
                <w:bCs/>
                <w:color w:val="FF0000"/>
                <w:sz w:val="18"/>
                <w:szCs w:val="18"/>
              </w:rPr>
              <w:br/>
              <w:t xml:space="preserve">2. </w:t>
            </w:r>
            <w:r w:rsidRPr="00386D34">
              <w:rPr>
                <w:rFonts w:cs="Arial"/>
                <w:color w:val="000000"/>
                <w:sz w:val="18"/>
                <w:szCs w:val="18"/>
              </w:rPr>
              <w:t>NMPGs</w:t>
            </w:r>
            <w:r w:rsidRPr="00386D34">
              <w:rPr>
                <w:rFonts w:cs="Arial"/>
                <w:sz w:val="18"/>
                <w:szCs w:val="18"/>
              </w:rPr>
              <w:t xml:space="preserve"> are requested to provide their feedback on this topic at the next conference call.</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XS/ISITC</w:t>
            </w:r>
          </w:p>
        </w:tc>
        <w:tc>
          <w:tcPr>
            <w:tcW w:w="6840"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b/>
                <w:bCs/>
                <w:sz w:val="18"/>
                <w:szCs w:val="18"/>
                <w:u w:val="single"/>
              </w:rPr>
            </w:pPr>
            <w:r w:rsidRPr="00386D34">
              <w:rPr>
                <w:rFonts w:cs="Arial"/>
                <w:b/>
                <w:bCs/>
                <w:sz w:val="18"/>
                <w:szCs w:val="18"/>
                <w:u w:val="single"/>
              </w:rPr>
              <w:t xml:space="preserve">Telco March 28, 2012:  </w:t>
            </w:r>
            <w:r w:rsidRPr="00386D34">
              <w:rPr>
                <w:rFonts w:cs="Arial"/>
                <w:sz w:val="18"/>
                <w:szCs w:val="18"/>
              </w:rPr>
              <w:t>Input from Bernard:</w:t>
            </w:r>
            <w:r w:rsidRPr="00386D34">
              <w:rPr>
                <w:rFonts w:cs="Arial"/>
                <w:sz w:val="18"/>
                <w:szCs w:val="18"/>
              </w:rPr>
              <w:br/>
              <w:t>There needs to be a differentiation between different types of disclosures.</w:t>
            </w:r>
            <w:r w:rsidRPr="00386D34">
              <w:rPr>
                <w:rFonts w:cs="Arial"/>
                <w:sz w:val="18"/>
                <w:szCs w:val="18"/>
              </w:rPr>
              <w:br/>
              <w:t xml:space="preserve">There are two main types and subtypes to distinguish from as follows:: </w:t>
            </w:r>
            <w:r w:rsidRPr="00386D34">
              <w:rPr>
                <w:rFonts w:cs="Arial"/>
                <w:sz w:val="18"/>
                <w:szCs w:val="18"/>
              </w:rPr>
              <w:br/>
              <w:t xml:space="preserve">1. Disclosures completely unrelated to a CA event; </w:t>
            </w:r>
            <w:r w:rsidRPr="00386D34">
              <w:rPr>
                <w:rFonts w:cs="Arial"/>
                <w:sz w:val="18"/>
                <w:szCs w:val="18"/>
              </w:rPr>
              <w:br/>
              <w:t>For the first type, there are four subtypes: a) threshold reached (regulatory nature); b) voluntary; c) mandatory at the CSD level; d) mandatory down to the end-investor level.</w:t>
            </w:r>
            <w:r w:rsidRPr="00386D34">
              <w:rPr>
                <w:rFonts w:cs="Arial"/>
                <w:sz w:val="18"/>
                <w:szCs w:val="18"/>
              </w:rPr>
              <w:br/>
              <w:t>2. Disclosures in relation to a CA event.</w:t>
            </w:r>
            <w:r w:rsidRPr="00386D34">
              <w:rPr>
                <w:rFonts w:cs="Arial"/>
                <w:sz w:val="18"/>
                <w:szCs w:val="18"/>
              </w:rPr>
              <w:br/>
              <w:t>For the second type, there are two subtypes: a) if you would like to participate in an elective event for a specific option, you must disclose; b) disclosure in a mandatory event, without which you will not get the entitlement.</w:t>
            </w:r>
            <w:r w:rsidRPr="00386D34">
              <w:rPr>
                <w:rFonts w:cs="Arial"/>
                <w:sz w:val="18"/>
                <w:szCs w:val="18"/>
              </w:rPr>
              <w:br/>
              <w:t xml:space="preserve">Bernard will include this input in a table, for discussion at the Athens meeting. </w:t>
            </w:r>
            <w:r w:rsidRPr="00386D34">
              <w:rPr>
                <w:rFonts w:cs="Arial"/>
                <w:sz w:val="18"/>
                <w:szCs w:val="18"/>
              </w:rPr>
              <w:br/>
              <w:t>Question: When and how should we use CA messages for each of the subtypes?</w:t>
            </w:r>
            <w:r w:rsidRPr="00386D34">
              <w:rPr>
                <w:rFonts w:cs="Arial"/>
                <w:sz w:val="18"/>
                <w:szCs w:val="18"/>
              </w:rPr>
              <w:br/>
              <w:t>More feedback from countries on the usage of this event is still required.</w:t>
            </w:r>
            <w:r w:rsidRPr="00386D34">
              <w:rPr>
                <w:rFonts w:cs="Arial"/>
                <w:b/>
                <w:bCs/>
                <w:sz w:val="18"/>
                <w:szCs w:val="18"/>
                <w:u w:val="single"/>
              </w:rPr>
              <w:br/>
              <w:t xml:space="preserve">Telco Feb 29, 2012: </w:t>
            </w:r>
            <w:r w:rsidRPr="00386D34">
              <w:rPr>
                <w:rFonts w:cs="Arial"/>
                <w:sz w:val="18"/>
                <w:szCs w:val="18"/>
              </w:rPr>
              <w:t>It seems that DSCL events are used for ADR’s.  DK sees some usage for the DSCL event too. More feedback from countries on the usage of this event is still required.</w:t>
            </w:r>
            <w:r w:rsidRPr="00386D34">
              <w:rPr>
                <w:rFonts w:cs="Arial"/>
                <w:b/>
                <w:bCs/>
                <w:sz w:val="18"/>
                <w:szCs w:val="18"/>
                <w:u w:val="single"/>
              </w:rPr>
              <w:br/>
              <w:t xml:space="preserve">Telco Jan 25, 2012: </w:t>
            </w:r>
            <w:r w:rsidRPr="00386D34">
              <w:rPr>
                <w:rFonts w:cs="Arial"/>
                <w:sz w:val="18"/>
                <w:szCs w:val="18"/>
              </w:rPr>
              <w:t>DSCL template is part of the sample document. The discussion is postponed until February call</w:t>
            </w:r>
            <w:r w:rsidRPr="00386D34">
              <w:rPr>
                <w:rFonts w:cs="Arial"/>
                <w:sz w:val="18"/>
                <w:szCs w:val="18"/>
              </w:rPr>
              <w:br/>
              <w:t xml:space="preserve">Some written NMPG’s Inputs provided before or after the meeting from NL and RU </w:t>
            </w:r>
            <w:r w:rsidRPr="00386D34">
              <w:rPr>
                <w:rFonts w:cs="Arial"/>
                <w:sz w:val="18"/>
                <w:szCs w:val="18"/>
              </w:rPr>
              <w:lastRenderedPageBreak/>
              <w:t>- please refer to the meeting minutes.</w:t>
            </w:r>
            <w:r w:rsidRPr="00386D34">
              <w:rPr>
                <w:rFonts w:cs="Arial"/>
                <w:b/>
                <w:bCs/>
                <w:sz w:val="18"/>
                <w:szCs w:val="18"/>
                <w:u w:val="single"/>
              </w:rPr>
              <w:br/>
              <w:t xml:space="preserve">Telco Nov. 30, 2011:  </w:t>
            </w:r>
            <w:r w:rsidRPr="00386D34">
              <w:rPr>
                <w:rFonts w:cs="Arial"/>
                <w:sz w:val="18"/>
                <w:szCs w:val="18"/>
              </w:rPr>
              <w:t xml:space="preserve">Postponed due to time constraints. </w:t>
            </w:r>
          </w:p>
        </w:tc>
      </w:tr>
      <w:tr w:rsidR="00386D34" w:rsidRPr="00CC1FE0" w:rsidTr="00590BDB">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pPr>
              <w:rPr>
                <w:rFonts w:cs="Arial"/>
                <w:b/>
                <w:bCs/>
                <w:sz w:val="20"/>
              </w:rPr>
            </w:pPr>
            <w:r>
              <w:rPr>
                <w:rFonts w:cs="Arial"/>
                <w:b/>
                <w:bCs/>
                <w:sz w:val="20"/>
              </w:rPr>
              <w:lastRenderedPageBreak/>
              <w:t>CA167</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Consent Events /+ Schemes - Clarifty business flows.</w:t>
            </w:r>
          </w:p>
        </w:tc>
        <w:tc>
          <w:tcPr>
            <w:tcW w:w="3316"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sz w:val="18"/>
                <w:szCs w:val="18"/>
              </w:rPr>
            </w:pPr>
            <w:r w:rsidRPr="00386D34">
              <w:rPr>
                <w:rFonts w:cs="Arial"/>
                <w:sz w:val="18"/>
                <w:szCs w:val="18"/>
              </w:rPr>
              <w:t>Originates from SR2010 CR III.71 on Consent Event. SMPG to review the context around Consent events / Schemes of Arrangement and clarify the business flows in which these events can be used.</w:t>
            </w:r>
            <w:r w:rsidRPr="00386D34">
              <w:rPr>
                <w:rFonts w:cs="Arial"/>
                <w:sz w:val="18"/>
                <w:szCs w:val="18"/>
              </w:rPr>
              <w:br/>
            </w:r>
            <w:r w:rsidRPr="00386D34">
              <w:rPr>
                <w:rFonts w:cs="Arial"/>
                <w:sz w:val="18"/>
                <w:szCs w:val="18"/>
              </w:rPr>
              <w:br/>
            </w:r>
            <w:r w:rsidRPr="00386D34">
              <w:rPr>
                <w:rFonts w:cs="Arial"/>
                <w:b/>
                <w:bCs/>
                <w:color w:val="FF0000"/>
                <w:sz w:val="18"/>
                <w:szCs w:val="18"/>
                <w:u w:val="single"/>
              </w:rPr>
              <w:t>Actions:</w:t>
            </w:r>
            <w:r w:rsidRPr="00386D34">
              <w:rPr>
                <w:rFonts w:cs="Arial"/>
                <w:b/>
                <w:bCs/>
                <w:color w:val="FF0000"/>
                <w:sz w:val="18"/>
                <w:szCs w:val="18"/>
                <w:u w:val="single"/>
              </w:rPr>
              <w:br/>
            </w:r>
            <w:r w:rsidRPr="00386D34">
              <w:rPr>
                <w:rFonts w:cs="Arial"/>
                <w:sz w:val="18"/>
                <w:szCs w:val="18"/>
              </w:rPr>
              <w:t xml:space="preserve">• </w:t>
            </w:r>
            <w:r w:rsidRPr="00386D34">
              <w:rPr>
                <w:rFonts w:cs="Arial"/>
                <w:sz w:val="18"/>
                <w:szCs w:val="18"/>
                <w:u w:val="single"/>
              </w:rPr>
              <w:t xml:space="preserve">Sonda / Bernard / Delphine </w:t>
            </w:r>
            <w:r w:rsidRPr="00386D34">
              <w:rPr>
                <w:rFonts w:cs="Arial"/>
                <w:sz w:val="18"/>
                <w:szCs w:val="18"/>
              </w:rPr>
              <w:t>to progress in March on the finalisation of the paper on consent so as to distribute it for next conference call.</w:t>
            </w:r>
            <w:r w:rsidRPr="00386D34">
              <w:rPr>
                <w:rFonts w:cs="Arial"/>
                <w:sz w:val="18"/>
                <w:szCs w:val="18"/>
              </w:rPr>
              <w:br/>
              <w:t xml:space="preserve">• </w:t>
            </w:r>
            <w:r w:rsidRPr="00386D34">
              <w:rPr>
                <w:rFonts w:cs="Arial"/>
                <w:sz w:val="18"/>
                <w:szCs w:val="18"/>
                <w:u w:val="single"/>
              </w:rPr>
              <w:t>Jacques</w:t>
            </w:r>
            <w:r w:rsidRPr="00386D34">
              <w:rPr>
                <w:rFonts w:cs="Arial"/>
                <w:sz w:val="18"/>
                <w:szCs w:val="18"/>
              </w:rPr>
              <w:t xml:space="preserve"> will forward the question raised by Canada about premium cash distribution to Sonda and Bernard.</w:t>
            </w:r>
            <w:r w:rsidRPr="00386D34">
              <w:rPr>
                <w:rFonts w:cs="Arial"/>
                <w:sz w:val="18"/>
                <w:szCs w:val="18"/>
              </w:rPr>
              <w:br/>
              <w:t xml:space="preserve">• </w:t>
            </w:r>
            <w:r w:rsidRPr="00386D34">
              <w:rPr>
                <w:rFonts w:cs="Arial"/>
                <w:sz w:val="18"/>
                <w:szCs w:val="18"/>
                <w:u w:val="single"/>
              </w:rPr>
              <w:t>Proxy Voting subgroup</w:t>
            </w:r>
            <w:r w:rsidRPr="00386D34">
              <w:rPr>
                <w:rFonts w:cs="Arial"/>
                <w:sz w:val="18"/>
                <w:szCs w:val="18"/>
              </w:rPr>
              <w:t xml:space="preserve"> to look at item 10 in Sonda's document (Should a vote be handled as a proxy or consent event).</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ISITC</w:t>
            </w:r>
          </w:p>
        </w:tc>
        <w:tc>
          <w:tcPr>
            <w:tcW w:w="6840"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b/>
                <w:bCs/>
                <w:sz w:val="18"/>
                <w:szCs w:val="18"/>
                <w:u w:val="single"/>
              </w:rPr>
            </w:pPr>
            <w:r w:rsidRPr="00386D34">
              <w:rPr>
                <w:rFonts w:cs="Arial"/>
                <w:b/>
                <w:bCs/>
                <w:sz w:val="18"/>
                <w:szCs w:val="18"/>
                <w:u w:val="single"/>
              </w:rPr>
              <w:t xml:space="preserve">Telco March 28, 2012: </w:t>
            </w:r>
            <w:r w:rsidRPr="00386D34">
              <w:rPr>
                <w:rFonts w:cs="Arial"/>
                <w:sz w:val="18"/>
                <w:szCs w:val="18"/>
              </w:rPr>
              <w:t>Sonda, Bernard and Delphine have a call scheduled next week to discuss the remaining questions in the the document. They will provide an updated document as input to the Athens meeting.</w:t>
            </w:r>
            <w:r w:rsidRPr="00386D34">
              <w:rPr>
                <w:rFonts w:cs="Arial"/>
                <w:b/>
                <w:bCs/>
                <w:sz w:val="18"/>
                <w:szCs w:val="18"/>
                <w:u w:val="single"/>
              </w:rPr>
              <w:br/>
              <w:t xml:space="preserve">Telco Feb 29, 2012: </w:t>
            </w:r>
            <w:r w:rsidRPr="00386D34">
              <w:rPr>
                <w:rFonts w:cs="Arial"/>
                <w:sz w:val="18"/>
                <w:szCs w:val="18"/>
              </w:rPr>
              <w:t>Sonda, Bernard and Delphine have discussed the attached document above. Sonda walks the group though the whole document.</w:t>
            </w:r>
            <w:r w:rsidRPr="00386D34">
              <w:rPr>
                <w:rFonts w:cs="Arial"/>
                <w:sz w:val="18"/>
                <w:szCs w:val="18"/>
              </w:rPr>
              <w:br/>
              <w:t>There are currently three fee rate (:92a:) data elements associated with CONS in the Standards: SOFE, INCE and ESOF and ISITC has investigated solicitation fee vs. incentive rate.</w:t>
            </w:r>
            <w:r w:rsidRPr="00386D34">
              <w:rPr>
                <w:rFonts w:cs="Arial"/>
                <w:sz w:val="18"/>
                <w:szCs w:val="18"/>
              </w:rPr>
              <w:br/>
              <w:t xml:space="preserve">The result of the investigation shows that: </w:t>
            </w:r>
            <w:r w:rsidRPr="00386D34">
              <w:rPr>
                <w:rFonts w:cs="Arial"/>
                <w:sz w:val="18"/>
                <w:szCs w:val="18"/>
              </w:rPr>
              <w:br/>
              <w:t>• The SOFE rate and amount definitions are not aligned as the SOFE amount says it is paid not to the holder/owner but to a third party, whilst the SOFE rate does not mention this restriction at all. Both definitions should be aligned.</w:t>
            </w:r>
            <w:r w:rsidRPr="00386D34">
              <w:rPr>
                <w:rFonts w:cs="Arial"/>
                <w:sz w:val="18"/>
                <w:szCs w:val="18"/>
              </w:rPr>
              <w:br/>
              <w:t xml:space="preserve">• The (INCE) Cash incentive fee/rate is said to be paid to the holder. </w:t>
            </w:r>
            <w:r w:rsidRPr="00386D34">
              <w:rPr>
                <w:rFonts w:cs="Arial"/>
                <w:sz w:val="18"/>
                <w:szCs w:val="18"/>
              </w:rPr>
              <w:br/>
              <w:t xml:space="preserve">• The (ESOF) Early solicitation fee should actually be an early incentive fee/rate instead, since it is paid to the holder. Therefore ESOF should have either the code or/and the name changed. </w:t>
            </w:r>
            <w:r w:rsidRPr="00386D34">
              <w:rPr>
                <w:rFonts w:cs="Arial"/>
                <w:sz w:val="18"/>
                <w:szCs w:val="18"/>
              </w:rPr>
              <w:br/>
              <w:t>It was proposed that the SMPG creates a CR for SR2013 to change SOFE and ESOF in line with the above so as to have 1 sollicitation fee for the owner and one for a third party and one early sollicitation fee. This was discussed, and no objections were raised.</w:t>
            </w:r>
            <w:r w:rsidRPr="00386D34">
              <w:rPr>
                <w:rFonts w:cs="Arial"/>
                <w:sz w:val="18"/>
                <w:szCs w:val="18"/>
              </w:rPr>
              <w:br/>
              <w:t xml:space="preserve">SE, DK, JP indicate that they do not use sollicitation fee. </w:t>
            </w:r>
            <w:r w:rsidRPr="00386D34">
              <w:rPr>
                <w:rFonts w:cs="Arial"/>
                <w:sz w:val="18"/>
                <w:szCs w:val="18"/>
              </w:rPr>
              <w:br/>
              <w:t>Jacques mentioned the question raised by the Canadian NMPG about what rate to use for a premium cash distribution in DRIP/DVOP events.</w:t>
            </w:r>
            <w:r w:rsidRPr="00386D34">
              <w:rPr>
                <w:rFonts w:cs="Arial"/>
                <w:b/>
                <w:bCs/>
                <w:sz w:val="18"/>
                <w:szCs w:val="18"/>
                <w:u w:val="single"/>
              </w:rPr>
              <w:br/>
              <w:t xml:space="preserve">Telco Jan 25, 2012: </w:t>
            </w:r>
            <w:r w:rsidRPr="00386D34">
              <w:rPr>
                <w:rFonts w:cs="Arial"/>
                <w:b/>
                <w:bCs/>
                <w:sz w:val="18"/>
                <w:szCs w:val="18"/>
                <w:u w:val="single"/>
              </w:rPr>
              <w:br/>
            </w:r>
            <w:r w:rsidRPr="00386D34">
              <w:rPr>
                <w:rFonts w:cs="Arial"/>
                <w:sz w:val="18"/>
                <w:szCs w:val="18"/>
              </w:rPr>
              <w:t>Sonda and Bernard have not yet been able to discuss the document submitted by Sonda in December (see document in minutes). Sonda, Bernard and Delphine need to discuss the issue before bringing it to the SMPG. They will revert to the WG at the February 29 call.</w:t>
            </w:r>
            <w:r w:rsidRPr="00386D34">
              <w:rPr>
                <w:rFonts w:cs="Arial"/>
                <w:sz w:val="18"/>
                <w:szCs w:val="18"/>
              </w:rPr>
              <w:br/>
              <w:t xml:space="preserve">ZA written feedack: Solicitation fees are not used as consent fees in the South African market (ZA). Consent events are processed as proxy events and are thus not combined with Tender and Exchange </w:t>
            </w:r>
          </w:p>
        </w:tc>
      </w:tr>
      <w:tr w:rsidR="00386D34" w:rsidRPr="00CC1FE0" w:rsidTr="00590BDB">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pPr>
              <w:rPr>
                <w:rFonts w:cs="Arial"/>
                <w:b/>
                <w:bCs/>
                <w:sz w:val="20"/>
              </w:rPr>
            </w:pPr>
            <w:r>
              <w:rPr>
                <w:rFonts w:cs="Arial"/>
                <w:b/>
                <w:bCs/>
                <w:sz w:val="20"/>
              </w:rPr>
              <w:t>CA 194</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Reinvestment of Fund Cash Distribution (REIN) Code</w:t>
            </w:r>
          </w:p>
        </w:tc>
        <w:tc>
          <w:tcPr>
            <w:tcW w:w="3316"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sz w:val="18"/>
                <w:szCs w:val="18"/>
              </w:rPr>
            </w:pPr>
            <w:r w:rsidRPr="00386D34">
              <w:rPr>
                <w:rFonts w:cs="Arial"/>
                <w:sz w:val="18"/>
                <w:szCs w:val="18"/>
              </w:rPr>
              <w:t>Source: From SR2011 CR III.10</w:t>
            </w:r>
            <w:r w:rsidRPr="00386D34">
              <w:rPr>
                <w:rFonts w:cs="Arial"/>
                <w:sz w:val="18"/>
                <w:szCs w:val="18"/>
              </w:rPr>
              <w:br/>
              <w:t>SMPG CA and Funds subgroups to collaborate to define a market practice to clarify REIN usage with types of events (CAEV) and option types (CAOP). - See also CA 202</w:t>
            </w:r>
            <w:r w:rsidRPr="00386D34">
              <w:rPr>
                <w:rFonts w:cs="Arial"/>
                <w:sz w:val="18"/>
                <w:szCs w:val="18"/>
              </w:rPr>
              <w:br/>
            </w:r>
            <w:r w:rsidRPr="00386D34">
              <w:rPr>
                <w:rFonts w:cs="Arial"/>
                <w:b/>
                <w:bCs/>
                <w:color w:val="FF0000"/>
                <w:sz w:val="18"/>
                <w:szCs w:val="18"/>
                <w:u w:val="single"/>
              </w:rPr>
              <w:t>Action</w:t>
            </w:r>
            <w:r w:rsidRPr="00386D34">
              <w:rPr>
                <w:rFonts w:cs="Arial"/>
                <w:sz w:val="18"/>
                <w:szCs w:val="18"/>
              </w:rPr>
              <w:br/>
              <w:t xml:space="preserve">• </w:t>
            </w:r>
            <w:r w:rsidRPr="00386D34">
              <w:rPr>
                <w:rFonts w:cs="Arial"/>
                <w:sz w:val="18"/>
                <w:szCs w:val="18"/>
                <w:u w:val="single"/>
              </w:rPr>
              <w:t>Mari</w:t>
            </w:r>
            <w:r w:rsidRPr="00386D34">
              <w:rPr>
                <w:rFonts w:cs="Arial"/>
                <w:sz w:val="18"/>
                <w:szCs w:val="18"/>
              </w:rPr>
              <w:t xml:space="preserve"> to add an introduction to the </w:t>
            </w:r>
            <w:r w:rsidRPr="00386D34">
              <w:rPr>
                <w:rFonts w:cs="Arial"/>
                <w:sz w:val="18"/>
                <w:szCs w:val="18"/>
              </w:rPr>
              <w:lastRenderedPageBreak/>
              <w:t>input document to provide the business context and explain the group 1 and group 2 concept. equalization and incorporate comments provided for Athens.</w:t>
            </w:r>
            <w:r w:rsidRPr="00386D34">
              <w:rPr>
                <w:rFonts w:cs="Arial"/>
                <w:sz w:val="18"/>
                <w:szCs w:val="18"/>
              </w:rPr>
              <w:br/>
              <w:t xml:space="preserve">• </w:t>
            </w:r>
            <w:r w:rsidRPr="00386D34">
              <w:rPr>
                <w:rFonts w:cs="Arial"/>
                <w:sz w:val="18"/>
                <w:szCs w:val="18"/>
                <w:u w:val="single"/>
              </w:rPr>
              <w:t>Jacques</w:t>
            </w:r>
            <w:r w:rsidRPr="00386D34">
              <w:rPr>
                <w:rFonts w:cs="Arial"/>
                <w:sz w:val="18"/>
                <w:szCs w:val="18"/>
              </w:rPr>
              <w:t xml:space="preserve"> to draw attention of Germany and Australia on this item as they might have the same kind of events/ needs.</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lastRenderedPageBreak/>
              <w:t>UK</w:t>
            </w:r>
          </w:p>
        </w:tc>
        <w:tc>
          <w:tcPr>
            <w:tcW w:w="6840"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sz w:val="18"/>
                <w:szCs w:val="18"/>
              </w:rPr>
            </w:pPr>
            <w:r w:rsidRPr="00386D34">
              <w:rPr>
                <w:rFonts w:cs="Arial"/>
                <w:b/>
                <w:bCs/>
                <w:sz w:val="18"/>
                <w:szCs w:val="18"/>
                <w:u w:val="single"/>
              </w:rPr>
              <w:t xml:space="preserve">Telco March 28, 2012: </w:t>
            </w:r>
            <w:r w:rsidRPr="00386D34">
              <w:rPr>
                <w:rFonts w:cs="Arial"/>
                <w:sz w:val="18"/>
                <w:szCs w:val="18"/>
              </w:rPr>
              <w:t>Mari could not update / complete the document in time for this call, she will try to do so in time for Athens.</w:t>
            </w:r>
            <w:r w:rsidRPr="00386D34">
              <w:rPr>
                <w:rFonts w:cs="Arial"/>
                <w:b/>
                <w:bCs/>
                <w:sz w:val="18"/>
                <w:szCs w:val="18"/>
                <w:u w:val="single"/>
              </w:rPr>
              <w:br/>
              <w:t xml:space="preserve">Telco Feb 29, 2012: </w:t>
            </w:r>
            <w:r w:rsidRPr="00386D34">
              <w:rPr>
                <w:rFonts w:cs="Arial"/>
                <w:sz w:val="18"/>
                <w:szCs w:val="18"/>
              </w:rPr>
              <w:t xml:space="preserve">Mari guided us through the input document (see minutes) and explained the UK process for the 5 different types of Funds/Interest accumulation and distributions illustrated. The first four ones are applicable in the UK and the fifth one mainly in Jersey . </w:t>
            </w:r>
            <w:r w:rsidRPr="00386D34">
              <w:rPr>
                <w:rFonts w:cs="Arial"/>
                <w:sz w:val="18"/>
                <w:szCs w:val="18"/>
              </w:rPr>
              <w:br/>
              <w:t xml:space="preserve">Mari explained also the concept of “Group 1” and “Group 2” units that is applicable to those event. Group 1 units receive income only, whilst group 2 units receive </w:t>
            </w:r>
            <w:r w:rsidRPr="00386D34">
              <w:rPr>
                <w:rFonts w:cs="Arial"/>
                <w:sz w:val="18"/>
                <w:szCs w:val="18"/>
              </w:rPr>
              <w:lastRenderedPageBreak/>
              <w:t xml:space="preserve">income plus equalization. </w:t>
            </w:r>
            <w:r w:rsidRPr="00386D34">
              <w:rPr>
                <w:rFonts w:cs="Arial"/>
                <w:sz w:val="18"/>
                <w:szCs w:val="18"/>
              </w:rPr>
              <w:br/>
              <w:t>It comes out from the discussions that it should be possible to make a distinction between group 1 and group 2 balances in the message otherwise it is not possible to reconciliate afterwards with the proceeds.</w:t>
            </w:r>
            <w:r w:rsidRPr="00386D34">
              <w:rPr>
                <w:rFonts w:cs="Arial"/>
                <w:sz w:val="18"/>
                <w:szCs w:val="18"/>
              </w:rPr>
              <w:br/>
              <w:t>Also the document should better explain the calculations to obtain the figures illustrated into the examples.</w:t>
            </w:r>
            <w:r w:rsidRPr="00386D34">
              <w:rPr>
                <w:rFonts w:cs="Arial"/>
                <w:sz w:val="18"/>
                <w:szCs w:val="18"/>
              </w:rPr>
              <w:br/>
              <w:t>Eventually this will evolve into the creation of a new event type or of a new indicator.</w:t>
            </w:r>
            <w:r w:rsidRPr="00386D34">
              <w:rPr>
                <w:rFonts w:cs="Arial"/>
                <w:sz w:val="18"/>
                <w:szCs w:val="18"/>
              </w:rPr>
              <w:br/>
              <w:t>As a conclusion, it was decided that the UK NMPG make a number of changes to the document to reflects what was discussed and the comments provided.</w:t>
            </w:r>
            <w:r w:rsidRPr="00386D34">
              <w:rPr>
                <w:rFonts w:cs="Arial"/>
                <w:b/>
                <w:bCs/>
                <w:sz w:val="18"/>
                <w:szCs w:val="18"/>
                <w:u w:val="single"/>
              </w:rPr>
              <w:br/>
              <w:t xml:space="preserve">Telco Jan 25, 2012:  </w:t>
            </w:r>
            <w:r w:rsidRPr="00386D34">
              <w:rPr>
                <w:rFonts w:cs="Arial"/>
                <w:sz w:val="18"/>
                <w:szCs w:val="18"/>
              </w:rPr>
              <w:t>Not discussed</w:t>
            </w:r>
          </w:p>
        </w:tc>
      </w:tr>
      <w:tr w:rsidR="00382502" w:rsidRPr="00CC1FE0" w:rsidTr="006D1FE1">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2502" w:rsidRDefault="00382502" w:rsidP="006D1FE1">
            <w:pPr>
              <w:rPr>
                <w:rFonts w:cs="Arial"/>
                <w:b/>
                <w:bCs/>
                <w:sz w:val="20"/>
              </w:rPr>
            </w:pPr>
            <w:r>
              <w:rPr>
                <w:rFonts w:cs="Arial"/>
                <w:b/>
                <w:bCs/>
                <w:sz w:val="20"/>
              </w:rPr>
              <w:lastRenderedPageBreak/>
              <w:t>CA 225</w:t>
            </w:r>
          </w:p>
        </w:tc>
        <w:tc>
          <w:tcPr>
            <w:tcW w:w="1814" w:type="dxa"/>
            <w:tcBorders>
              <w:top w:val="nil"/>
              <w:left w:val="nil"/>
              <w:bottom w:val="single" w:sz="4" w:space="0" w:color="auto"/>
              <w:right w:val="single" w:sz="4" w:space="0" w:color="auto"/>
            </w:tcBorders>
            <w:shd w:val="clear" w:color="auto" w:fill="auto"/>
            <w:vAlign w:val="center"/>
            <w:hideMark/>
          </w:tcPr>
          <w:p w:rsidR="00382502" w:rsidRDefault="00382502" w:rsidP="006D1FE1">
            <w:pPr>
              <w:jc w:val="left"/>
              <w:rPr>
                <w:rFonts w:cs="Arial"/>
                <w:sz w:val="20"/>
              </w:rPr>
            </w:pPr>
            <w:r>
              <w:rPr>
                <w:rFonts w:cs="Arial"/>
                <w:sz w:val="20"/>
              </w:rPr>
              <w:t>MT 565 - Add Option Features, Rates and Narrative &amp; Remove OFFR</w:t>
            </w:r>
          </w:p>
        </w:tc>
        <w:tc>
          <w:tcPr>
            <w:tcW w:w="3316" w:type="dxa"/>
            <w:tcBorders>
              <w:top w:val="nil"/>
              <w:left w:val="nil"/>
              <w:bottom w:val="single" w:sz="4" w:space="0" w:color="auto"/>
              <w:right w:val="single" w:sz="4" w:space="0" w:color="auto"/>
            </w:tcBorders>
            <w:shd w:val="clear" w:color="auto" w:fill="auto"/>
            <w:vAlign w:val="bottom"/>
            <w:hideMark/>
          </w:tcPr>
          <w:p w:rsidR="00382502" w:rsidRPr="00386D34" w:rsidRDefault="00382502" w:rsidP="006D1FE1">
            <w:pPr>
              <w:jc w:val="left"/>
              <w:rPr>
                <w:rFonts w:cs="Arial"/>
                <w:sz w:val="18"/>
                <w:szCs w:val="18"/>
              </w:rPr>
            </w:pPr>
            <w:r w:rsidRPr="00386D34">
              <w:rPr>
                <w:rFonts w:cs="Arial"/>
                <w:sz w:val="18"/>
                <w:szCs w:val="18"/>
                <w:u w:val="single"/>
              </w:rPr>
              <w:t>From SR 2012 CR 000234</w:t>
            </w:r>
            <w:r w:rsidRPr="00386D34">
              <w:rPr>
                <w:rFonts w:cs="Arial"/>
                <w:sz w:val="18"/>
                <w:szCs w:val="18"/>
              </w:rPr>
              <w:t xml:space="preserve"> - The MWG is committed to rediscuss a new potential solution in SR2013 and therefore recommends the SMPG to consider again for SR2013 a new proposal for the removal of the option number and the matching on MT 565 option properties to identify the selected option. The SMPG will need to inform the market about this initiative and discuss also the issue with the CA JWG as the removal of the option number comes into conflict with the current EU agreed market practices.  </w:t>
            </w:r>
            <w:r w:rsidRPr="00386D34">
              <w:rPr>
                <w:rFonts w:cs="Arial"/>
                <w:sz w:val="18"/>
                <w:szCs w:val="18"/>
              </w:rPr>
              <w:br/>
            </w:r>
            <w:r w:rsidRPr="00386D34">
              <w:rPr>
                <w:rFonts w:cs="Arial"/>
                <w:b/>
                <w:bCs/>
                <w:color w:val="FF0000"/>
                <w:sz w:val="18"/>
                <w:szCs w:val="18"/>
                <w:u w:val="single"/>
              </w:rPr>
              <w:t>Actions:</w:t>
            </w:r>
            <w:r w:rsidRPr="00386D34">
              <w:rPr>
                <w:rFonts w:cs="Arial"/>
                <w:sz w:val="18"/>
                <w:szCs w:val="18"/>
              </w:rPr>
              <w:t xml:space="preserve"> </w:t>
            </w:r>
            <w:r w:rsidRPr="00386D34">
              <w:rPr>
                <w:rFonts w:cs="Arial"/>
                <w:sz w:val="18"/>
                <w:szCs w:val="18"/>
              </w:rPr>
              <w:br/>
              <w:t xml:space="preserve">1. </w:t>
            </w:r>
            <w:r w:rsidRPr="00386D34">
              <w:rPr>
                <w:rFonts w:cs="Arial"/>
                <w:sz w:val="18"/>
                <w:szCs w:val="18"/>
                <w:u w:val="single"/>
              </w:rPr>
              <w:t>Bernard</w:t>
            </w:r>
            <w:r w:rsidRPr="00386D34">
              <w:rPr>
                <w:rFonts w:cs="Arial"/>
                <w:sz w:val="18"/>
                <w:szCs w:val="18"/>
              </w:rPr>
              <w:t xml:space="preserve"> to provide an example of Grece debt restructuring event notification.</w:t>
            </w:r>
            <w:r w:rsidRPr="00386D34">
              <w:rPr>
                <w:rFonts w:cs="Arial"/>
                <w:sz w:val="18"/>
                <w:szCs w:val="18"/>
              </w:rPr>
              <w:br/>
              <w:t xml:space="preserve">2. </w:t>
            </w:r>
            <w:r w:rsidRPr="00386D34">
              <w:rPr>
                <w:rFonts w:cs="Arial"/>
                <w:sz w:val="18"/>
                <w:szCs w:val="18"/>
                <w:u w:val="single"/>
              </w:rPr>
              <w:t>Mari/Matthew</w:t>
            </w:r>
            <w:r w:rsidRPr="00386D34">
              <w:rPr>
                <w:rFonts w:cs="Arial"/>
                <w:sz w:val="18"/>
                <w:szCs w:val="18"/>
              </w:rPr>
              <w:t xml:space="preserve"> to provide feedback on the UK&amp;IE / ISITC joint meeting for Athens</w:t>
            </w:r>
            <w:r w:rsidRPr="00386D34">
              <w:rPr>
                <w:rFonts w:cs="Arial"/>
                <w:sz w:val="18"/>
                <w:szCs w:val="18"/>
              </w:rPr>
              <w:br/>
              <w:t xml:space="preserve">3. </w:t>
            </w:r>
            <w:r w:rsidRPr="00386D34">
              <w:rPr>
                <w:rFonts w:cs="Arial"/>
                <w:sz w:val="18"/>
                <w:szCs w:val="18"/>
                <w:u w:val="single"/>
              </w:rPr>
              <w:t>NMPGs</w:t>
            </w:r>
            <w:r w:rsidRPr="00386D34">
              <w:rPr>
                <w:rFonts w:cs="Arial"/>
                <w:sz w:val="18"/>
                <w:szCs w:val="18"/>
              </w:rPr>
              <w:t xml:space="preserve"> are requested to provide their feedback at the Athens meeting in April on this topic and answer the following question:</w:t>
            </w:r>
            <w:r w:rsidRPr="00386D34">
              <w:rPr>
                <w:rFonts w:cs="Arial"/>
                <w:sz w:val="18"/>
                <w:szCs w:val="18"/>
              </w:rPr>
              <w:br/>
              <w:t xml:space="preserve">Do they agree to address the issue with an alternative algorithm / logic approach still to be found knowing that we will never be able to create something that will work for all events, </w:t>
            </w:r>
            <w:r w:rsidRPr="00386D34">
              <w:rPr>
                <w:rFonts w:cs="Arial"/>
                <w:sz w:val="18"/>
                <w:szCs w:val="18"/>
              </w:rPr>
              <w:lastRenderedPageBreak/>
              <w:t>at all levels of the intermediary chain.</w:t>
            </w:r>
          </w:p>
        </w:tc>
        <w:tc>
          <w:tcPr>
            <w:tcW w:w="1170" w:type="dxa"/>
            <w:tcBorders>
              <w:top w:val="nil"/>
              <w:left w:val="nil"/>
              <w:bottom w:val="single" w:sz="4" w:space="0" w:color="auto"/>
              <w:right w:val="single" w:sz="4" w:space="0" w:color="auto"/>
            </w:tcBorders>
            <w:shd w:val="clear" w:color="auto" w:fill="auto"/>
            <w:vAlign w:val="center"/>
            <w:hideMark/>
          </w:tcPr>
          <w:p w:rsidR="00382502" w:rsidRDefault="00382502" w:rsidP="006D1FE1">
            <w:pPr>
              <w:jc w:val="left"/>
              <w:rPr>
                <w:rFonts w:cs="Arial"/>
                <w:sz w:val="20"/>
              </w:rPr>
            </w:pPr>
            <w:r>
              <w:rPr>
                <w:rFonts w:cs="Arial"/>
                <w:sz w:val="20"/>
              </w:rPr>
              <w:lastRenderedPageBreak/>
              <w:t>ISITC</w:t>
            </w:r>
          </w:p>
        </w:tc>
        <w:tc>
          <w:tcPr>
            <w:tcW w:w="6840" w:type="dxa"/>
            <w:tcBorders>
              <w:top w:val="nil"/>
              <w:left w:val="nil"/>
              <w:bottom w:val="single" w:sz="4" w:space="0" w:color="auto"/>
              <w:right w:val="single" w:sz="4" w:space="0" w:color="auto"/>
            </w:tcBorders>
            <w:shd w:val="clear" w:color="auto" w:fill="auto"/>
            <w:vAlign w:val="center"/>
            <w:hideMark/>
          </w:tcPr>
          <w:p w:rsidR="00382502" w:rsidRPr="00386D34" w:rsidRDefault="00382502" w:rsidP="006D1FE1">
            <w:pPr>
              <w:jc w:val="left"/>
              <w:rPr>
                <w:rFonts w:cs="Arial"/>
                <w:b/>
                <w:bCs/>
                <w:sz w:val="18"/>
                <w:szCs w:val="18"/>
                <w:u w:val="single"/>
              </w:rPr>
            </w:pPr>
            <w:r w:rsidRPr="00386D34">
              <w:rPr>
                <w:rFonts w:cs="Arial"/>
                <w:b/>
                <w:bCs/>
                <w:sz w:val="18"/>
                <w:szCs w:val="18"/>
                <w:u w:val="single"/>
              </w:rPr>
              <w:t xml:space="preserve">Telco March 28, 2012: </w:t>
            </w:r>
            <w:r w:rsidRPr="00386D34">
              <w:rPr>
                <w:rFonts w:cs="Arial"/>
                <w:sz w:val="18"/>
                <w:szCs w:val="18"/>
              </w:rPr>
              <w:t xml:space="preserve"> A joint call has been held between ISITC and UK&amp;IE NMPG on March 2 on this topic with IM’s present with the purpose of exchanging views on the new ISITC MP on options features. UK plans to revert to ISITC with its comments on the draft minutes by end of this week. Feedback from the joint meeting will be provided for the Athens meeting. Bernard mentioned th</w:t>
            </w:r>
            <w:r>
              <w:rPr>
                <w:rFonts w:cs="Arial"/>
                <w:sz w:val="18"/>
                <w:szCs w:val="18"/>
              </w:rPr>
              <w:t>at a member of the Luxembourg group took as example th</w:t>
            </w:r>
            <w:r w:rsidRPr="00386D34">
              <w:rPr>
                <w:rFonts w:cs="Arial"/>
                <w:sz w:val="18"/>
                <w:szCs w:val="18"/>
              </w:rPr>
              <w:t>e Greek restructuring events a few weeks ago</w:t>
            </w:r>
            <w:r>
              <w:rPr>
                <w:rFonts w:cs="Arial"/>
                <w:sz w:val="18"/>
                <w:szCs w:val="18"/>
              </w:rPr>
              <w:t xml:space="preserve">.  The idea is that this event </w:t>
            </w:r>
            <w:r w:rsidRPr="00386D34">
              <w:rPr>
                <w:rFonts w:cs="Arial"/>
                <w:sz w:val="18"/>
                <w:szCs w:val="18"/>
              </w:rPr>
              <w:t>would have been very difficult to process if the issuer had not provided options numbers to the market. Jacques requested Bernard to email a sample notification for one of these events so as to have a concrete example.</w:t>
            </w:r>
            <w:r w:rsidRPr="00386D34">
              <w:rPr>
                <w:rFonts w:cs="Arial"/>
                <w:b/>
                <w:bCs/>
                <w:sz w:val="18"/>
                <w:szCs w:val="18"/>
                <w:u w:val="single"/>
              </w:rPr>
              <w:br/>
              <w:t xml:space="preserve">Telco Feb 29, 2012: </w:t>
            </w:r>
            <w:r w:rsidRPr="00386D34">
              <w:rPr>
                <w:rFonts w:cs="Arial"/>
                <w:sz w:val="18"/>
                <w:szCs w:val="18"/>
              </w:rPr>
              <w:t>Reminder of the pending action for NMPG's at the Athens meeting</w:t>
            </w:r>
            <w:r w:rsidRPr="00386D34">
              <w:rPr>
                <w:rFonts w:cs="Arial"/>
                <w:b/>
                <w:bCs/>
                <w:sz w:val="18"/>
                <w:szCs w:val="18"/>
                <w:u w:val="single"/>
              </w:rPr>
              <w:br/>
              <w:t xml:space="preserve">Telco Jan 25, 2012: </w:t>
            </w:r>
            <w:r w:rsidRPr="00386D34">
              <w:rPr>
                <w:rFonts w:cs="Arial"/>
                <w:b/>
                <w:bCs/>
                <w:sz w:val="18"/>
                <w:szCs w:val="18"/>
                <w:u w:val="single"/>
              </w:rPr>
              <w:br/>
            </w:r>
            <w:r w:rsidRPr="00386D34">
              <w:rPr>
                <w:rFonts w:cs="Arial"/>
                <w:sz w:val="18"/>
                <w:szCs w:val="18"/>
              </w:rPr>
              <w:t xml:space="preserve">Christine briefly described the historical background behind the option number issue and then explain the proposed MP change inspired by the nex ISITC MP on the topic i.e. : for simple events (without multiple identical CAOP), use “UNS” in CAON and rely on the CAOP code only. </w:t>
            </w:r>
            <w:r w:rsidRPr="00386D34">
              <w:rPr>
                <w:rFonts w:cs="Arial"/>
                <w:sz w:val="18"/>
                <w:szCs w:val="18"/>
              </w:rPr>
              <w:br/>
              <w:t>The markets feedbacks are as follows::</w:t>
            </w:r>
            <w:r w:rsidRPr="00386D34">
              <w:rPr>
                <w:rFonts w:cs="Arial"/>
                <w:sz w:val="18"/>
                <w:szCs w:val="18"/>
              </w:rPr>
              <w:br/>
              <w:t>UK: The UK NMPG has discussed it thoroughly. The IM community has a serious problem with the inconsistency of option numbers and codes between different account servicers. They would like to eventually consider an algorithm again or consider sorting on alphabetical order.  They are not comfortable with the current proposal from the US since it implies for them a more complex logic in their systems than what they have today (sometime using CAON and sometime not). The custodians are concerned that the US MP will spread to the UK/Europe forcing them to processs events with 2 completely different logics.</w:t>
            </w:r>
            <w:r w:rsidRPr="00386D34">
              <w:rPr>
                <w:rFonts w:cs="Arial"/>
                <w:sz w:val="18"/>
                <w:szCs w:val="18"/>
              </w:rPr>
              <w:br/>
              <w:t xml:space="preserve">US: The US thinks there is a misunderstanding about the new ISITC MP as the purpose is not at all to get rid of the CAON number but rather to no longer rely only on the single option number to identify the correct selected option and to have additional matching criteria for the options (eg. on parameters like CAOP, currency,...). </w:t>
            </w:r>
            <w:r w:rsidRPr="00386D34">
              <w:rPr>
                <w:rFonts w:cs="Arial"/>
                <w:sz w:val="18"/>
                <w:szCs w:val="18"/>
              </w:rPr>
              <w:br/>
            </w:r>
            <w:r w:rsidRPr="00386D34">
              <w:rPr>
                <w:rFonts w:cs="Arial"/>
                <w:sz w:val="18"/>
                <w:szCs w:val="18"/>
              </w:rPr>
              <w:lastRenderedPageBreak/>
              <w:t>This new ISITC MP was implemented since the options numbers have to be provided in the MT564 and are basically proprietary information. Everyone wants consistency, but it is very difficult – if not impossible – to achieve.</w:t>
            </w:r>
            <w:r w:rsidRPr="00386D34">
              <w:rPr>
                <w:rFonts w:cs="Arial"/>
                <w:sz w:val="18"/>
                <w:szCs w:val="18"/>
              </w:rPr>
              <w:br/>
              <w:t>The US thinks this is rather going to increase STP when option types are all different as a wrong CAON is no longer a reason of reject. The reliance on the CAON number only seems almso to be a reason why some IMs are not on SWIFT.</w:t>
            </w:r>
            <w:r w:rsidRPr="00386D34">
              <w:rPr>
                <w:rFonts w:cs="Arial"/>
                <w:sz w:val="18"/>
                <w:szCs w:val="18"/>
              </w:rPr>
              <w:br/>
              <w:t xml:space="preserve">LU: It is mainly a system issue and this new MP proposal would force to change the current processing logic which is working generally well. It would have quite a high cost top enhance/change the current logic. </w:t>
            </w:r>
            <w:r w:rsidRPr="00386D34">
              <w:rPr>
                <w:rFonts w:cs="Arial"/>
                <w:sz w:val="18"/>
                <w:szCs w:val="18"/>
              </w:rPr>
              <w:br/>
              <w:t xml:space="preserve">FR: Trying to find and implement yet an other algorithm for the sorting of the options will have a high cost too.  </w:t>
            </w:r>
            <w:r w:rsidRPr="00386D34">
              <w:rPr>
                <w:rFonts w:cs="Arial"/>
                <w:sz w:val="18"/>
                <w:szCs w:val="18"/>
              </w:rPr>
              <w:br/>
              <w:t>NO:.In the event that the current option numbering is changed, we would prefer that options are still numbered as current practise. Our main concern by removing option numbers is in the event that there is one option code which occurs twice, it is an advantage if one can differentiate these two options by allocating them separate option numbers.</w:t>
            </w:r>
            <w:r w:rsidRPr="00386D34">
              <w:rPr>
                <w:rFonts w:cs="Arial"/>
                <w:sz w:val="18"/>
                <w:szCs w:val="18"/>
              </w:rPr>
              <w:br/>
              <w:t>The above was discussed but the WG but we did not come to a conclusion.</w:t>
            </w:r>
            <w:r w:rsidRPr="00386D34">
              <w:rPr>
                <w:rFonts w:cs="Arial"/>
                <w:sz w:val="18"/>
                <w:szCs w:val="18"/>
              </w:rPr>
              <w:br/>
              <w:t>The UK and US NMPGs will schedule a joint call in March on this issue so as to confront the difference of views on this sometime within the same firms (custodians, IMs,..) on both sides of the Atlantic.</w:t>
            </w:r>
            <w:r w:rsidRPr="00386D34">
              <w:rPr>
                <w:rFonts w:cs="Arial"/>
                <w:sz w:val="18"/>
                <w:szCs w:val="18"/>
              </w:rPr>
              <w:br/>
              <w:t>The topic will be addressed again at the Athens meeting in April. The feedback from other NMPGs is requested considering only the current proposal for the April meeting in Athens. Reminders of this at the February and March calls</w:t>
            </w:r>
            <w:r w:rsidRPr="00386D34">
              <w:rPr>
                <w:rFonts w:cs="Arial"/>
                <w:sz w:val="18"/>
                <w:szCs w:val="18"/>
              </w:rPr>
              <w:br/>
            </w:r>
            <w:r w:rsidRPr="00386D34">
              <w:rPr>
                <w:rFonts w:cs="Arial"/>
                <w:b/>
                <w:bCs/>
                <w:sz w:val="18"/>
                <w:szCs w:val="18"/>
                <w:u w:val="single"/>
              </w:rPr>
              <w:t xml:space="preserve">La Hulpe October 10-11: </w:t>
            </w:r>
            <w:r w:rsidRPr="00386D34">
              <w:rPr>
                <w:rFonts w:cs="Arial"/>
                <w:b/>
                <w:bCs/>
                <w:sz w:val="18"/>
                <w:szCs w:val="18"/>
                <w:u w:val="single"/>
              </w:rPr>
              <w:br/>
            </w:r>
            <w:r w:rsidRPr="00386D34">
              <w:rPr>
                <w:rFonts w:cs="Arial"/>
                <w:sz w:val="18"/>
                <w:szCs w:val="18"/>
              </w:rPr>
              <w:t>Christine described the work on option numbering previously performed by the WG for several years.</w:t>
            </w:r>
            <w:r w:rsidRPr="00386D34">
              <w:rPr>
                <w:rFonts w:cs="Arial"/>
                <w:sz w:val="18"/>
                <w:szCs w:val="18"/>
              </w:rPr>
              <w:br/>
              <w:t>Different solutions were discussed:</w:t>
            </w:r>
            <w:r w:rsidRPr="00386D34">
              <w:rPr>
                <w:rFonts w:cs="Arial"/>
                <w:sz w:val="18"/>
                <w:szCs w:val="18"/>
              </w:rPr>
              <w:br/>
              <w:t>• Algorithm by which the ordering of options would always be the same: rejected as was not practical and algorithm never really fool-proved.</w:t>
            </w:r>
            <w:r w:rsidRPr="00386D34">
              <w:rPr>
                <w:rFonts w:cs="Arial"/>
                <w:sz w:val="18"/>
                <w:szCs w:val="18"/>
              </w:rPr>
              <w:br/>
              <w:t>• Issuer assigning options numbers:Issuers do not want to deal with option numbering.</w:t>
            </w:r>
            <w:r w:rsidRPr="00386D34">
              <w:rPr>
                <w:rFonts w:cs="Arial"/>
                <w:sz w:val="18"/>
                <w:szCs w:val="18"/>
              </w:rPr>
              <w:br/>
              <w:t>• Identifying all issuer options as 001 unless there are two or more of the same code, with account servicer options as 901 (001/CASH, 001/SECU, 002/SECU, 901/SLLE etc.): rejected as it was deemed to have a too large system impact for the derived benefit</w:t>
            </w:r>
            <w:r w:rsidRPr="00386D34">
              <w:rPr>
                <w:rFonts w:cs="Arial"/>
                <w:sz w:val="18"/>
                <w:szCs w:val="18"/>
              </w:rPr>
              <w:br/>
              <w:t>• Remove CAON completely: rejected as it was deemed to have a too large system impact for the derived benefit</w:t>
            </w:r>
            <w:r w:rsidRPr="00386D34">
              <w:rPr>
                <w:rFonts w:cs="Arial"/>
                <w:sz w:val="18"/>
                <w:szCs w:val="18"/>
              </w:rPr>
              <w:br/>
              <w:t>• Implement a global market practice similar to that recently implemented by ISITC:</w:t>
            </w:r>
            <w:r w:rsidRPr="00386D34">
              <w:rPr>
                <w:rFonts w:cs="Arial"/>
                <w:sz w:val="18"/>
                <w:szCs w:val="18"/>
              </w:rPr>
              <w:br/>
              <w:t>o If CAON in the MT565 is UNS, the account servicer is to validate on CAOP only. If CAON in the MT565 is UNS, and there is more than option of the same CAOP, the account servicer is to reject the instruction (or send it to repair)</w:t>
            </w:r>
            <w:r w:rsidRPr="00386D34">
              <w:rPr>
                <w:rFonts w:cs="Arial"/>
                <w:sz w:val="18"/>
                <w:szCs w:val="18"/>
              </w:rPr>
              <w:br/>
            </w:r>
            <w:r w:rsidRPr="00386D34">
              <w:rPr>
                <w:rFonts w:cs="Arial"/>
                <w:sz w:val="18"/>
                <w:szCs w:val="18"/>
              </w:rPr>
              <w:br/>
            </w:r>
            <w:r w:rsidRPr="00386D34">
              <w:rPr>
                <w:rFonts w:cs="Arial"/>
                <w:sz w:val="18"/>
                <w:szCs w:val="18"/>
              </w:rPr>
              <w:lastRenderedPageBreak/>
              <w:t xml:space="preserve">The group agrees that the real issue occurs when there multiple of the same options present. </w:t>
            </w:r>
            <w:r w:rsidRPr="00386D34">
              <w:rPr>
                <w:rFonts w:cs="Arial"/>
                <w:sz w:val="18"/>
                <w:szCs w:val="18"/>
              </w:rPr>
              <w:br/>
              <w:t>The main impact is often on the Investment Managers who receives sometime from different custodians different option lists for the same event.</w:t>
            </w:r>
            <w:r w:rsidRPr="00386D34">
              <w:rPr>
                <w:rFonts w:cs="Arial"/>
                <w:sz w:val="18"/>
                <w:szCs w:val="18"/>
              </w:rPr>
              <w:br/>
            </w:r>
            <w:r w:rsidRPr="00386D34">
              <w:rPr>
                <w:rFonts w:cs="Arial"/>
                <w:sz w:val="18"/>
                <w:szCs w:val="18"/>
                <w:u w:val="single"/>
              </w:rPr>
              <w:t xml:space="preserve">The SMPG agrees on the following 2 steps to progress on this issue resolution: </w:t>
            </w:r>
            <w:r w:rsidRPr="00386D34">
              <w:rPr>
                <w:rFonts w:cs="Arial"/>
                <w:sz w:val="18"/>
                <w:szCs w:val="18"/>
              </w:rPr>
              <w:br/>
              <w:t>1. Go back to the NMPG’s and the IM in their community and ask feedback about the following MP proposal: for simple events (without multiple identical CAOP), use “UNS” in CAON and rely on the CAOP code only.</w:t>
            </w:r>
            <w:r w:rsidRPr="00386D34">
              <w:rPr>
                <w:rFonts w:cs="Arial"/>
                <w:sz w:val="18"/>
                <w:szCs w:val="18"/>
              </w:rPr>
              <w:br/>
              <w:t>2. If step 1 has positive feedback, ask IM feedback on whether it is valuable for them to add additional element in the instruction as differentiating factors for the election.</w:t>
            </w:r>
          </w:p>
        </w:tc>
      </w:tr>
      <w:tr w:rsidR="00630E14" w:rsidRPr="00CC1FE0" w:rsidTr="00082106">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630E14" w:rsidRDefault="00630E14" w:rsidP="00082106">
            <w:pPr>
              <w:rPr>
                <w:rFonts w:cs="Arial"/>
                <w:b/>
                <w:bCs/>
                <w:sz w:val="20"/>
              </w:rPr>
            </w:pPr>
            <w:r>
              <w:rPr>
                <w:rFonts w:cs="Arial"/>
                <w:b/>
                <w:bCs/>
                <w:sz w:val="20"/>
              </w:rPr>
              <w:lastRenderedPageBreak/>
              <w:t>CA 230</w:t>
            </w:r>
          </w:p>
        </w:tc>
        <w:tc>
          <w:tcPr>
            <w:tcW w:w="1814" w:type="dxa"/>
            <w:tcBorders>
              <w:top w:val="nil"/>
              <w:left w:val="nil"/>
              <w:bottom w:val="single" w:sz="4" w:space="0" w:color="auto"/>
              <w:right w:val="single" w:sz="4" w:space="0" w:color="auto"/>
            </w:tcBorders>
            <w:shd w:val="clear" w:color="auto" w:fill="auto"/>
            <w:vAlign w:val="bottom"/>
            <w:hideMark/>
          </w:tcPr>
          <w:p w:rsidR="00630E14" w:rsidRDefault="00630E14" w:rsidP="00082106">
            <w:pPr>
              <w:jc w:val="left"/>
              <w:rPr>
                <w:rFonts w:cs="Arial"/>
                <w:sz w:val="20"/>
              </w:rPr>
            </w:pPr>
            <w:r>
              <w:rPr>
                <w:rFonts w:cs="Arial"/>
                <w:sz w:val="20"/>
              </w:rPr>
              <w:t xml:space="preserve">SOFE and INCE redundancy </w:t>
            </w:r>
          </w:p>
        </w:tc>
        <w:tc>
          <w:tcPr>
            <w:tcW w:w="3316" w:type="dxa"/>
            <w:tcBorders>
              <w:top w:val="nil"/>
              <w:left w:val="nil"/>
              <w:bottom w:val="single" w:sz="4" w:space="0" w:color="auto"/>
              <w:right w:val="single" w:sz="4" w:space="0" w:color="auto"/>
            </w:tcBorders>
            <w:shd w:val="clear" w:color="auto" w:fill="auto"/>
            <w:vAlign w:val="bottom"/>
            <w:hideMark/>
          </w:tcPr>
          <w:p w:rsidR="00630E14" w:rsidRPr="00386D34" w:rsidRDefault="00630E14" w:rsidP="00082106">
            <w:pPr>
              <w:jc w:val="left"/>
              <w:rPr>
                <w:rFonts w:cs="Arial"/>
                <w:sz w:val="18"/>
                <w:szCs w:val="18"/>
              </w:rPr>
            </w:pPr>
            <w:r w:rsidRPr="00386D34">
              <w:rPr>
                <w:rFonts w:cs="Arial"/>
                <w:sz w:val="18"/>
                <w:szCs w:val="18"/>
              </w:rPr>
              <w:t>If the redundancy is confirmed, a CR to remove one of the two will be submitted for SR2012 (Refer to CA 167 for the business background)</w:t>
            </w:r>
          </w:p>
        </w:tc>
        <w:tc>
          <w:tcPr>
            <w:tcW w:w="1170" w:type="dxa"/>
            <w:tcBorders>
              <w:top w:val="nil"/>
              <w:left w:val="nil"/>
              <w:bottom w:val="single" w:sz="4" w:space="0" w:color="auto"/>
              <w:right w:val="single" w:sz="4" w:space="0" w:color="auto"/>
            </w:tcBorders>
            <w:shd w:val="clear" w:color="auto" w:fill="auto"/>
            <w:vAlign w:val="bottom"/>
            <w:hideMark/>
          </w:tcPr>
          <w:p w:rsidR="00630E14" w:rsidRDefault="00630E14" w:rsidP="00082106">
            <w:pPr>
              <w:jc w:val="left"/>
              <w:rPr>
                <w:rFonts w:cs="Arial"/>
                <w:sz w:val="20"/>
              </w:rPr>
            </w:pPr>
            <w:r>
              <w:rPr>
                <w:rFonts w:cs="Arial"/>
                <w:sz w:val="20"/>
              </w:rPr>
              <w:t>LU</w:t>
            </w:r>
          </w:p>
        </w:tc>
        <w:tc>
          <w:tcPr>
            <w:tcW w:w="6840" w:type="dxa"/>
            <w:tcBorders>
              <w:top w:val="nil"/>
              <w:left w:val="nil"/>
              <w:bottom w:val="single" w:sz="4" w:space="0" w:color="auto"/>
              <w:right w:val="single" w:sz="4" w:space="0" w:color="auto"/>
            </w:tcBorders>
            <w:shd w:val="clear" w:color="auto" w:fill="auto"/>
            <w:vAlign w:val="bottom"/>
            <w:hideMark/>
          </w:tcPr>
          <w:p w:rsidR="00630E14" w:rsidRPr="00386D34" w:rsidRDefault="00630E14" w:rsidP="00082106">
            <w:pPr>
              <w:jc w:val="left"/>
              <w:rPr>
                <w:rFonts w:cs="Arial"/>
                <w:sz w:val="18"/>
                <w:szCs w:val="18"/>
              </w:rPr>
            </w:pPr>
            <w:r w:rsidRPr="00386D34">
              <w:rPr>
                <w:rFonts w:cs="Arial"/>
                <w:sz w:val="18"/>
                <w:szCs w:val="18"/>
              </w:rPr>
              <w:t> </w:t>
            </w:r>
          </w:p>
        </w:tc>
      </w:tr>
      <w:tr w:rsidR="00630E14" w:rsidRPr="00CC1FE0" w:rsidTr="00082106">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630E14" w:rsidRDefault="00630E14" w:rsidP="00082106">
            <w:pPr>
              <w:rPr>
                <w:rFonts w:cs="Arial"/>
                <w:b/>
                <w:bCs/>
                <w:sz w:val="20"/>
              </w:rPr>
            </w:pPr>
            <w:r>
              <w:rPr>
                <w:rFonts w:cs="Arial"/>
                <w:b/>
                <w:bCs/>
                <w:sz w:val="20"/>
              </w:rPr>
              <w:t>CA 231</w:t>
            </w:r>
          </w:p>
        </w:tc>
        <w:tc>
          <w:tcPr>
            <w:tcW w:w="1814" w:type="dxa"/>
            <w:tcBorders>
              <w:top w:val="nil"/>
              <w:left w:val="nil"/>
              <w:bottom w:val="single" w:sz="4" w:space="0" w:color="auto"/>
              <w:right w:val="single" w:sz="4" w:space="0" w:color="auto"/>
            </w:tcBorders>
            <w:shd w:val="clear" w:color="auto" w:fill="auto"/>
            <w:vAlign w:val="bottom"/>
            <w:hideMark/>
          </w:tcPr>
          <w:p w:rsidR="00630E14" w:rsidRDefault="00630E14" w:rsidP="00082106">
            <w:pPr>
              <w:jc w:val="left"/>
              <w:rPr>
                <w:rFonts w:cs="Arial"/>
                <w:sz w:val="20"/>
              </w:rPr>
            </w:pPr>
            <w:r>
              <w:rPr>
                <w:rFonts w:cs="Arial"/>
                <w:sz w:val="20"/>
              </w:rPr>
              <w:t>Interim and Final Dividend</w:t>
            </w:r>
          </w:p>
        </w:tc>
        <w:tc>
          <w:tcPr>
            <w:tcW w:w="3316" w:type="dxa"/>
            <w:tcBorders>
              <w:top w:val="nil"/>
              <w:left w:val="nil"/>
              <w:bottom w:val="single" w:sz="4" w:space="0" w:color="auto"/>
              <w:right w:val="single" w:sz="4" w:space="0" w:color="auto"/>
            </w:tcBorders>
            <w:shd w:val="clear" w:color="auto" w:fill="auto"/>
            <w:vAlign w:val="bottom"/>
            <w:hideMark/>
          </w:tcPr>
          <w:p w:rsidR="00630E14" w:rsidRPr="00386D34" w:rsidRDefault="00630E14" w:rsidP="00082106">
            <w:pPr>
              <w:jc w:val="left"/>
              <w:rPr>
                <w:rFonts w:cs="Arial"/>
                <w:sz w:val="18"/>
                <w:szCs w:val="18"/>
              </w:rPr>
            </w:pPr>
            <w:r w:rsidRPr="00386D34">
              <w:rPr>
                <w:rFonts w:cs="Arial"/>
                <w:sz w:val="18"/>
                <w:szCs w:val="18"/>
              </w:rPr>
              <w:t xml:space="preserve">Are these separate events or not ?  </w:t>
            </w:r>
            <w:r w:rsidRPr="00386D34">
              <w:rPr>
                <w:rFonts w:cs="Arial"/>
                <w:sz w:val="18"/>
                <w:szCs w:val="18"/>
              </w:rPr>
              <w:br/>
            </w:r>
            <w:r w:rsidRPr="00386D34">
              <w:rPr>
                <w:rFonts w:cs="Arial"/>
                <w:b/>
                <w:bCs/>
                <w:color w:val="FF0000"/>
                <w:sz w:val="18"/>
                <w:szCs w:val="18"/>
                <w:u w:val="single"/>
              </w:rPr>
              <w:t>Actions:</w:t>
            </w:r>
            <w:r w:rsidRPr="00386D34">
              <w:rPr>
                <w:rFonts w:cs="Arial"/>
                <w:sz w:val="18"/>
                <w:szCs w:val="18"/>
              </w:rPr>
              <w:br/>
              <w:t xml:space="preserve">Sonda to provide input to Bernard’s question.  </w:t>
            </w:r>
          </w:p>
        </w:tc>
        <w:tc>
          <w:tcPr>
            <w:tcW w:w="1170" w:type="dxa"/>
            <w:tcBorders>
              <w:top w:val="nil"/>
              <w:left w:val="nil"/>
              <w:bottom w:val="single" w:sz="4" w:space="0" w:color="auto"/>
              <w:right w:val="single" w:sz="4" w:space="0" w:color="auto"/>
            </w:tcBorders>
            <w:shd w:val="clear" w:color="auto" w:fill="auto"/>
            <w:vAlign w:val="bottom"/>
            <w:hideMark/>
          </w:tcPr>
          <w:p w:rsidR="00630E14" w:rsidRDefault="00630E14" w:rsidP="00082106">
            <w:pPr>
              <w:jc w:val="left"/>
              <w:rPr>
                <w:rFonts w:cs="Arial"/>
                <w:sz w:val="20"/>
              </w:rPr>
            </w:pPr>
            <w:r>
              <w:rPr>
                <w:rFonts w:cs="Arial"/>
                <w:sz w:val="20"/>
              </w:rPr>
              <w:t>LU</w:t>
            </w:r>
          </w:p>
        </w:tc>
        <w:tc>
          <w:tcPr>
            <w:tcW w:w="6840" w:type="dxa"/>
            <w:tcBorders>
              <w:top w:val="nil"/>
              <w:left w:val="nil"/>
              <w:bottom w:val="single" w:sz="4" w:space="0" w:color="auto"/>
              <w:right w:val="single" w:sz="4" w:space="0" w:color="auto"/>
            </w:tcBorders>
            <w:shd w:val="clear" w:color="auto" w:fill="auto"/>
            <w:vAlign w:val="bottom"/>
            <w:hideMark/>
          </w:tcPr>
          <w:p w:rsidR="00630E14" w:rsidRPr="00386D34" w:rsidRDefault="00630E14" w:rsidP="00082106">
            <w:pPr>
              <w:jc w:val="left"/>
              <w:rPr>
                <w:rFonts w:cs="Arial"/>
                <w:sz w:val="18"/>
                <w:szCs w:val="18"/>
              </w:rPr>
            </w:pPr>
            <w:r w:rsidRPr="00386D34">
              <w:rPr>
                <w:rFonts w:cs="Arial"/>
                <w:b/>
                <w:bCs/>
                <w:sz w:val="18"/>
                <w:szCs w:val="18"/>
                <w:u w:val="single"/>
              </w:rPr>
              <w:t>Telco March 28, 2012:</w:t>
            </w:r>
            <w:r w:rsidRPr="00386D34">
              <w:rPr>
                <w:rFonts w:cs="Arial"/>
                <w:sz w:val="18"/>
                <w:szCs w:val="18"/>
              </w:rPr>
              <w:t xml:space="preserve"> Postponed, since Sonda has not provided a response to Bernard’s question sent via email as to whether the objective is to have 1 or 2 events for the interim and final dividend.</w:t>
            </w:r>
            <w:r w:rsidRPr="00386D34">
              <w:rPr>
                <w:rFonts w:cs="Arial"/>
                <w:sz w:val="18"/>
                <w:szCs w:val="18"/>
              </w:rPr>
              <w:br/>
            </w:r>
            <w:r w:rsidRPr="00386D34">
              <w:rPr>
                <w:rFonts w:cs="Arial"/>
                <w:b/>
                <w:bCs/>
                <w:sz w:val="18"/>
                <w:szCs w:val="18"/>
                <w:u w:val="single"/>
              </w:rPr>
              <w:t xml:space="preserve">Telco Feb 29, 2012: </w:t>
            </w:r>
            <w:r w:rsidRPr="00386D34">
              <w:rPr>
                <w:rFonts w:cs="Arial"/>
                <w:sz w:val="18"/>
                <w:szCs w:val="18"/>
              </w:rPr>
              <w:t>Postponed to the next conf call.</w:t>
            </w:r>
          </w:p>
        </w:tc>
      </w:tr>
      <w:tr w:rsidR="00386D34" w:rsidRPr="00CC1FE0" w:rsidTr="00386D34">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pPr>
              <w:rPr>
                <w:rFonts w:cs="Arial"/>
                <w:b/>
                <w:bCs/>
                <w:sz w:val="20"/>
              </w:rPr>
            </w:pPr>
            <w:r>
              <w:rPr>
                <w:rFonts w:cs="Arial"/>
                <w:b/>
                <w:bCs/>
                <w:sz w:val="20"/>
              </w:rPr>
              <w:t>CA 210</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Overelection/subcription market practice review</w:t>
            </w:r>
          </w:p>
        </w:tc>
        <w:tc>
          <w:tcPr>
            <w:tcW w:w="3316"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sz w:val="18"/>
                <w:szCs w:val="18"/>
              </w:rPr>
            </w:pPr>
            <w:r w:rsidRPr="00386D34">
              <w:rPr>
                <w:rFonts w:cs="Arial"/>
                <w:sz w:val="18"/>
                <w:szCs w:val="18"/>
              </w:rPr>
              <w:t>Review GMP Part 1  section 3.12.8.4 and 4.3 on the market practice of oversubscription and usage of :36B::QINS, QREC and QOVE and 22F::OPTF//QOVE</w:t>
            </w:r>
            <w:r w:rsidRPr="00386D34">
              <w:rPr>
                <w:rFonts w:cs="Arial"/>
                <w:sz w:val="18"/>
                <w:szCs w:val="18"/>
              </w:rPr>
              <w:br/>
            </w:r>
            <w:r w:rsidRPr="00386D34">
              <w:rPr>
                <w:rFonts w:cs="Arial"/>
                <w:b/>
                <w:bCs/>
                <w:color w:val="FF0000"/>
                <w:sz w:val="18"/>
                <w:szCs w:val="18"/>
                <w:u w:val="single"/>
              </w:rPr>
              <w:t>Actions:</w:t>
            </w:r>
            <w:r w:rsidRPr="00386D34">
              <w:rPr>
                <w:rFonts w:cs="Arial"/>
                <w:sz w:val="18"/>
                <w:szCs w:val="18"/>
              </w:rPr>
              <w:br/>
            </w:r>
            <w:r w:rsidRPr="00386D34">
              <w:rPr>
                <w:rFonts w:cs="Arial"/>
                <w:sz w:val="18"/>
                <w:szCs w:val="18"/>
                <w:u w:val="single"/>
              </w:rPr>
              <w:t>Sonda</w:t>
            </w:r>
            <w:r w:rsidRPr="00386D34">
              <w:rPr>
                <w:rFonts w:cs="Arial"/>
                <w:sz w:val="18"/>
                <w:szCs w:val="18"/>
              </w:rPr>
              <w:t xml:space="preserve"> to provide ISITC input proposal on this topic to Veronique and the group for review at next conference call.</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GMP Part 1 subgroup</w:t>
            </w:r>
          </w:p>
        </w:tc>
        <w:tc>
          <w:tcPr>
            <w:tcW w:w="6840"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b/>
                <w:bCs/>
                <w:sz w:val="18"/>
                <w:szCs w:val="18"/>
                <w:u w:val="single"/>
              </w:rPr>
            </w:pPr>
            <w:r w:rsidRPr="00386D34">
              <w:rPr>
                <w:rFonts w:cs="Arial"/>
                <w:b/>
                <w:bCs/>
                <w:sz w:val="18"/>
                <w:szCs w:val="18"/>
                <w:u w:val="single"/>
              </w:rPr>
              <w:t xml:space="preserve">Telco June 29: </w:t>
            </w:r>
            <w:r w:rsidRPr="00386D34">
              <w:rPr>
                <w:rFonts w:cs="Arial"/>
                <w:sz w:val="18"/>
                <w:szCs w:val="18"/>
              </w:rPr>
              <w:t>Sonda sent her input to Veronique, but the issue has not yet been discussed in the 20022 sub-group. After the sub-group have discussed, the changes (if any) will be sent to SMPG.</w:t>
            </w:r>
            <w:r w:rsidRPr="00386D34">
              <w:rPr>
                <w:rFonts w:cs="Arial"/>
                <w:b/>
                <w:bCs/>
                <w:sz w:val="18"/>
                <w:szCs w:val="18"/>
                <w:u w:val="single"/>
              </w:rPr>
              <w:br/>
              <w:t>May 6 Telco:</w:t>
            </w:r>
            <w:r w:rsidRPr="00386D34">
              <w:rPr>
                <w:rFonts w:cs="Arial"/>
                <w:b/>
                <w:bCs/>
                <w:sz w:val="18"/>
                <w:szCs w:val="18"/>
                <w:u w:val="single"/>
              </w:rPr>
              <w:br/>
            </w:r>
            <w:r w:rsidRPr="00386D34">
              <w:rPr>
                <w:rFonts w:cs="Arial"/>
                <w:sz w:val="18"/>
                <w:szCs w:val="18"/>
              </w:rPr>
              <w:t>Not Discussed</w:t>
            </w:r>
            <w:r w:rsidRPr="00386D34">
              <w:rPr>
                <w:rFonts w:cs="Arial"/>
                <w:b/>
                <w:bCs/>
                <w:sz w:val="18"/>
                <w:szCs w:val="18"/>
                <w:u w:val="single"/>
              </w:rPr>
              <w:br/>
              <w:t>Rio April 5-7:</w:t>
            </w:r>
            <w:r w:rsidRPr="00386D34">
              <w:rPr>
                <w:rFonts w:cs="Arial"/>
                <w:b/>
                <w:bCs/>
                <w:sz w:val="18"/>
                <w:szCs w:val="18"/>
                <w:u w:val="single"/>
              </w:rPr>
              <w:br/>
            </w:r>
            <w:r w:rsidRPr="00386D34">
              <w:rPr>
                <w:rFonts w:cs="Arial"/>
                <w:sz w:val="18"/>
                <w:szCs w:val="18"/>
              </w:rPr>
              <w:t>Not Discussed</w:t>
            </w:r>
          </w:p>
        </w:tc>
      </w:tr>
      <w:tr w:rsidR="00386D34" w:rsidRPr="00CC1FE0" w:rsidTr="00386D34">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hideMark/>
          </w:tcPr>
          <w:p w:rsidR="00386D34" w:rsidRPr="00630E14" w:rsidRDefault="00386D34" w:rsidP="00630E14">
            <w:pPr>
              <w:jc w:val="center"/>
              <w:rPr>
                <w:rFonts w:cs="Arial"/>
                <w:b/>
                <w:sz w:val="20"/>
              </w:rPr>
            </w:pPr>
            <w:r w:rsidRPr="00630E14">
              <w:rPr>
                <w:rFonts w:cs="Arial"/>
                <w:b/>
                <w:sz w:val="20"/>
              </w:rPr>
              <w:t>CA</w:t>
            </w:r>
            <w:r w:rsidR="00630E14" w:rsidRPr="00630E14">
              <w:rPr>
                <w:rFonts w:cs="Arial"/>
                <w:b/>
                <w:sz w:val="20"/>
              </w:rPr>
              <w:t xml:space="preserve"> 232</w:t>
            </w:r>
          </w:p>
        </w:tc>
        <w:tc>
          <w:tcPr>
            <w:tcW w:w="1814" w:type="dxa"/>
            <w:tcBorders>
              <w:top w:val="nil"/>
              <w:left w:val="nil"/>
              <w:bottom w:val="single" w:sz="4" w:space="0" w:color="auto"/>
              <w:right w:val="single" w:sz="4" w:space="0" w:color="auto"/>
            </w:tcBorders>
            <w:shd w:val="clear" w:color="auto" w:fill="auto"/>
            <w:vAlign w:val="bottom"/>
            <w:hideMark/>
          </w:tcPr>
          <w:p w:rsidR="00386D34" w:rsidRDefault="00386D34" w:rsidP="00630E14">
            <w:pPr>
              <w:jc w:val="center"/>
              <w:rPr>
                <w:rFonts w:cs="Arial"/>
                <w:sz w:val="20"/>
              </w:rPr>
            </w:pPr>
            <w:r>
              <w:rPr>
                <w:rFonts w:cs="Arial"/>
                <w:sz w:val="20"/>
              </w:rPr>
              <w:t>Pagination MP</w:t>
            </w:r>
          </w:p>
        </w:tc>
        <w:tc>
          <w:tcPr>
            <w:tcW w:w="3316" w:type="dxa"/>
            <w:tcBorders>
              <w:top w:val="nil"/>
              <w:left w:val="nil"/>
              <w:bottom w:val="single" w:sz="4" w:space="0" w:color="auto"/>
              <w:right w:val="single" w:sz="4" w:space="0" w:color="auto"/>
            </w:tcBorders>
            <w:shd w:val="clear" w:color="auto" w:fill="auto"/>
            <w:vAlign w:val="bottom"/>
            <w:hideMark/>
          </w:tcPr>
          <w:p w:rsidR="00386D34" w:rsidRPr="00386D34" w:rsidRDefault="00386D34" w:rsidP="00386D34">
            <w:pPr>
              <w:jc w:val="left"/>
              <w:rPr>
                <w:rFonts w:cs="Arial"/>
                <w:sz w:val="18"/>
                <w:szCs w:val="18"/>
              </w:rPr>
            </w:pPr>
            <w:r w:rsidRPr="00386D34">
              <w:rPr>
                <w:rFonts w:cs="Arial"/>
                <w:sz w:val="18"/>
                <w:szCs w:val="18"/>
              </w:rPr>
              <w:t>2. If a Notification is split across multi-MT564's will/should any non-mandatory data (sequences and/or individual fields) be repeated on each occurrence? If so, which?</w:t>
            </w:r>
            <w:r w:rsidRPr="00386D34">
              <w:rPr>
                <w:rFonts w:cs="Arial"/>
                <w:sz w:val="18"/>
                <w:szCs w:val="18"/>
              </w:rPr>
              <w:br/>
              <w:t xml:space="preserve">3. If a (non-repeatable) sequence (e.g. Sequence D Corporate Action Details) is on more than one occurrence of a multi-part notification, will/should the field content be identical in each occurrence. Specifically is it forbidden or acceptable to split the contents of a single instance of a sequence across </w:t>
            </w:r>
            <w:r w:rsidRPr="00386D34">
              <w:rPr>
                <w:rFonts w:cs="Arial"/>
                <w:sz w:val="18"/>
                <w:szCs w:val="18"/>
              </w:rPr>
              <w:lastRenderedPageBreak/>
              <w:t>two messages such that the two parts need to be 'glued together' to get the complete contents for a single instance of any sequence?</w:t>
            </w:r>
            <w:r w:rsidRPr="00386D34">
              <w:rPr>
                <w:rFonts w:cs="Arial"/>
                <w:sz w:val="18"/>
                <w:szCs w:val="18"/>
              </w:rPr>
              <w:br/>
              <w:t>4. If instances of repeatable sequences (e.g. Sequence B2 Account Information) are split across multiple messages, can it be assumed that any particular instance will not be repeated on more than one message (or split in two as in Q3)?</w:t>
            </w:r>
            <w:r w:rsidRPr="00386D34">
              <w:rPr>
                <w:rFonts w:cs="Arial"/>
                <w:sz w:val="18"/>
                <w:szCs w:val="18"/>
              </w:rPr>
              <w:br/>
              <w:t>5. Are there any guidelines/rules for using the Linkages Sequence to tie together multi-part messages i.e. usage of 'LINK//WITH'?</w:t>
            </w:r>
          </w:p>
        </w:tc>
        <w:tc>
          <w:tcPr>
            <w:tcW w:w="1170" w:type="dxa"/>
            <w:tcBorders>
              <w:top w:val="nil"/>
              <w:left w:val="nil"/>
              <w:bottom w:val="single" w:sz="4" w:space="0" w:color="auto"/>
              <w:right w:val="single" w:sz="4" w:space="0" w:color="auto"/>
            </w:tcBorders>
            <w:shd w:val="clear" w:color="auto" w:fill="auto"/>
            <w:vAlign w:val="bottom"/>
            <w:hideMark/>
          </w:tcPr>
          <w:p w:rsidR="00386D34" w:rsidRDefault="00386D34" w:rsidP="00386D34">
            <w:pPr>
              <w:jc w:val="left"/>
              <w:rPr>
                <w:rFonts w:cs="Arial"/>
                <w:sz w:val="20"/>
              </w:rPr>
            </w:pPr>
            <w:r>
              <w:rPr>
                <w:rFonts w:cs="Arial"/>
                <w:sz w:val="20"/>
              </w:rPr>
              <w:lastRenderedPageBreak/>
              <w:t> </w:t>
            </w:r>
          </w:p>
        </w:tc>
        <w:tc>
          <w:tcPr>
            <w:tcW w:w="6840" w:type="dxa"/>
            <w:tcBorders>
              <w:top w:val="nil"/>
              <w:left w:val="nil"/>
              <w:bottom w:val="single" w:sz="4" w:space="0" w:color="auto"/>
              <w:right w:val="single" w:sz="4" w:space="0" w:color="auto"/>
            </w:tcBorders>
            <w:shd w:val="clear" w:color="auto" w:fill="auto"/>
            <w:vAlign w:val="bottom"/>
            <w:hideMark/>
          </w:tcPr>
          <w:p w:rsidR="00386D34" w:rsidRPr="00386D34" w:rsidRDefault="00386D34" w:rsidP="00386D34">
            <w:pPr>
              <w:jc w:val="left"/>
              <w:rPr>
                <w:rFonts w:cs="Arial"/>
                <w:sz w:val="18"/>
                <w:szCs w:val="18"/>
              </w:rPr>
            </w:pPr>
            <w:r w:rsidRPr="00386D34">
              <w:rPr>
                <w:rFonts w:cs="Arial"/>
                <w:sz w:val="18"/>
                <w:szCs w:val="18"/>
              </w:rPr>
              <w:t> </w:t>
            </w:r>
            <w:r w:rsidR="00630E14">
              <w:rPr>
                <w:rFonts w:cs="Arial"/>
                <w:sz w:val="18"/>
                <w:szCs w:val="18"/>
              </w:rPr>
              <w:t>New</w:t>
            </w:r>
          </w:p>
        </w:tc>
      </w:tr>
      <w:tr w:rsidR="00611FE6" w:rsidRPr="00CC1FE0" w:rsidTr="00386D34">
        <w:trPr>
          <w:trHeight w:val="532"/>
        </w:trPr>
        <w:tc>
          <w:tcPr>
            <w:tcW w:w="915" w:type="dxa"/>
            <w:tcBorders>
              <w:top w:val="nil"/>
              <w:left w:val="single" w:sz="4" w:space="0" w:color="auto"/>
              <w:bottom w:val="single" w:sz="4" w:space="0" w:color="auto"/>
              <w:right w:val="single" w:sz="4" w:space="0" w:color="auto"/>
            </w:tcBorders>
            <w:shd w:val="clear" w:color="000000" w:fill="FFFFFF"/>
            <w:vAlign w:val="bottom"/>
            <w:hideMark/>
          </w:tcPr>
          <w:p w:rsidR="00611FE6" w:rsidRPr="00611FE6" w:rsidRDefault="00611FE6" w:rsidP="00630E14">
            <w:pPr>
              <w:jc w:val="center"/>
              <w:rPr>
                <w:rFonts w:cs="Arial"/>
                <w:b/>
                <w:i/>
                <w:sz w:val="20"/>
              </w:rPr>
            </w:pPr>
            <w:r w:rsidRPr="00611FE6">
              <w:rPr>
                <w:rFonts w:cs="Arial"/>
                <w:b/>
                <w:i/>
                <w:sz w:val="20"/>
              </w:rPr>
              <w:lastRenderedPageBreak/>
              <w:t>CA 233</w:t>
            </w:r>
          </w:p>
        </w:tc>
        <w:tc>
          <w:tcPr>
            <w:tcW w:w="1814" w:type="dxa"/>
            <w:tcBorders>
              <w:top w:val="nil"/>
              <w:left w:val="nil"/>
              <w:bottom w:val="single" w:sz="4" w:space="0" w:color="auto"/>
              <w:right w:val="single" w:sz="4" w:space="0" w:color="auto"/>
            </w:tcBorders>
            <w:shd w:val="clear" w:color="auto" w:fill="auto"/>
            <w:vAlign w:val="bottom"/>
            <w:hideMark/>
          </w:tcPr>
          <w:p w:rsidR="00611FE6" w:rsidRPr="00611FE6" w:rsidRDefault="00611FE6" w:rsidP="00611FE6">
            <w:pPr>
              <w:jc w:val="left"/>
              <w:rPr>
                <w:rFonts w:cs="Arial"/>
                <w:i/>
                <w:sz w:val="20"/>
              </w:rPr>
            </w:pPr>
            <w:r w:rsidRPr="00611FE6">
              <w:rPr>
                <w:rFonts w:cs="Arial"/>
                <w:i/>
                <w:sz w:val="20"/>
              </w:rPr>
              <w:t>Buyer / Broker Protection Deadline</w:t>
            </w:r>
          </w:p>
        </w:tc>
        <w:tc>
          <w:tcPr>
            <w:tcW w:w="3316" w:type="dxa"/>
            <w:tcBorders>
              <w:top w:val="nil"/>
              <w:left w:val="nil"/>
              <w:bottom w:val="single" w:sz="4" w:space="0" w:color="auto"/>
              <w:right w:val="single" w:sz="4" w:space="0" w:color="auto"/>
            </w:tcBorders>
            <w:shd w:val="clear" w:color="auto" w:fill="auto"/>
            <w:vAlign w:val="bottom"/>
            <w:hideMark/>
          </w:tcPr>
          <w:p w:rsidR="00611FE6" w:rsidRPr="00611FE6" w:rsidRDefault="00611FE6" w:rsidP="00611FE6">
            <w:pPr>
              <w:jc w:val="left"/>
              <w:rPr>
                <w:rFonts w:cs="Arial"/>
                <w:i/>
                <w:sz w:val="20"/>
              </w:rPr>
            </w:pPr>
            <w:r w:rsidRPr="00611FE6">
              <w:rPr>
                <w:rFonts w:cs="Arial"/>
                <w:i/>
                <w:sz w:val="20"/>
              </w:rPr>
              <w:t>Review the key dates/deadlines definitions covering the European CA MP Standards in addition to GUPA (Guaranteed Participation Date/Time):</w:t>
            </w:r>
            <w:r w:rsidRPr="00611FE6">
              <w:rPr>
                <w:rFonts w:cs="Arial"/>
                <w:i/>
                <w:sz w:val="20"/>
              </w:rPr>
              <w:br/>
              <w:t>+ECPD: Election to</w:t>
            </w:r>
            <w:r w:rsidRPr="00611FE6">
              <w:rPr>
                <w:rFonts w:cs="Arial"/>
                <w:i/>
                <w:sz w:val="20"/>
              </w:rPr>
              <w:br/>
              <w:t>Counterparty Deadline</w:t>
            </w:r>
            <w:r w:rsidRPr="00611FE6">
              <w:rPr>
                <w:rFonts w:cs="Arial"/>
                <w:i/>
                <w:sz w:val="20"/>
              </w:rPr>
              <w:br/>
              <w:t xml:space="preserve">+ PODT: Protect Date/Time </w:t>
            </w:r>
            <w:r w:rsidRPr="00611FE6">
              <w:rPr>
                <w:rFonts w:cs="Arial"/>
                <w:i/>
                <w:sz w:val="20"/>
              </w:rPr>
              <w:br/>
              <w:t>+ CVPR: Cover Expiration Date/Time</w:t>
            </w:r>
          </w:p>
        </w:tc>
        <w:tc>
          <w:tcPr>
            <w:tcW w:w="1170" w:type="dxa"/>
            <w:tcBorders>
              <w:top w:val="nil"/>
              <w:left w:val="nil"/>
              <w:bottom w:val="single" w:sz="4" w:space="0" w:color="auto"/>
              <w:right w:val="single" w:sz="4" w:space="0" w:color="auto"/>
            </w:tcBorders>
            <w:shd w:val="clear" w:color="auto" w:fill="auto"/>
            <w:vAlign w:val="bottom"/>
            <w:hideMark/>
          </w:tcPr>
          <w:p w:rsidR="00611FE6" w:rsidRPr="00611FE6" w:rsidRDefault="00611FE6" w:rsidP="00386D34">
            <w:pPr>
              <w:jc w:val="left"/>
              <w:rPr>
                <w:rFonts w:cs="Arial"/>
                <w:i/>
                <w:sz w:val="20"/>
              </w:rPr>
            </w:pPr>
            <w:r w:rsidRPr="00611FE6">
              <w:rPr>
                <w:rFonts w:cs="Arial"/>
                <w:i/>
                <w:sz w:val="20"/>
              </w:rPr>
              <w:t>SE</w:t>
            </w:r>
          </w:p>
        </w:tc>
        <w:tc>
          <w:tcPr>
            <w:tcW w:w="6840" w:type="dxa"/>
            <w:tcBorders>
              <w:top w:val="nil"/>
              <w:left w:val="nil"/>
              <w:bottom w:val="single" w:sz="4" w:space="0" w:color="auto"/>
              <w:right w:val="single" w:sz="4" w:space="0" w:color="auto"/>
            </w:tcBorders>
            <w:shd w:val="clear" w:color="auto" w:fill="auto"/>
            <w:vAlign w:val="bottom"/>
            <w:hideMark/>
          </w:tcPr>
          <w:p w:rsidR="00611FE6" w:rsidRPr="00611FE6" w:rsidRDefault="00611FE6" w:rsidP="00611FE6">
            <w:pPr>
              <w:jc w:val="left"/>
              <w:rPr>
                <w:rFonts w:cs="Arial"/>
                <w:i/>
                <w:sz w:val="18"/>
                <w:szCs w:val="18"/>
              </w:rPr>
            </w:pPr>
            <w:r>
              <w:rPr>
                <w:rFonts w:cs="Arial"/>
                <w:i/>
                <w:sz w:val="18"/>
                <w:szCs w:val="18"/>
              </w:rPr>
              <w:t>If time allows..</w:t>
            </w:r>
          </w:p>
        </w:tc>
      </w:tr>
      <w:tr w:rsidR="00630E14" w:rsidRPr="00CC1FE0" w:rsidTr="00082106">
        <w:trPr>
          <w:trHeight w:val="532"/>
        </w:trPr>
        <w:tc>
          <w:tcPr>
            <w:tcW w:w="14055" w:type="dxa"/>
            <w:gridSpan w:val="5"/>
            <w:tcBorders>
              <w:top w:val="nil"/>
              <w:left w:val="single" w:sz="4" w:space="0" w:color="auto"/>
              <w:bottom w:val="single" w:sz="4" w:space="0" w:color="auto"/>
              <w:right w:val="single" w:sz="4" w:space="0" w:color="auto"/>
            </w:tcBorders>
            <w:shd w:val="clear" w:color="auto" w:fill="92D050"/>
            <w:vAlign w:val="center"/>
            <w:hideMark/>
          </w:tcPr>
          <w:p w:rsidR="00630E14" w:rsidRPr="00386D34" w:rsidRDefault="00630E14" w:rsidP="00082106">
            <w:pPr>
              <w:jc w:val="left"/>
              <w:rPr>
                <w:rFonts w:cs="Arial"/>
                <w:b/>
                <w:bCs/>
                <w:sz w:val="18"/>
                <w:szCs w:val="18"/>
              </w:rPr>
            </w:pPr>
          </w:p>
        </w:tc>
      </w:tr>
      <w:tr w:rsidR="005B27CB" w:rsidRPr="00CC1FE0" w:rsidTr="00CC1FE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5B27CB" w:rsidRDefault="005B27CB" w:rsidP="005B27CB">
            <w:pPr>
              <w:jc w:val="left"/>
              <w:rPr>
                <w:rFonts w:cs="Arial"/>
                <w:sz w:val="20"/>
              </w:rPr>
            </w:pPr>
          </w:p>
        </w:tc>
        <w:tc>
          <w:tcPr>
            <w:tcW w:w="1814" w:type="dxa"/>
            <w:tcBorders>
              <w:top w:val="nil"/>
              <w:left w:val="nil"/>
              <w:bottom w:val="single" w:sz="4" w:space="0" w:color="auto"/>
              <w:right w:val="single" w:sz="4" w:space="0" w:color="auto"/>
            </w:tcBorders>
            <w:shd w:val="clear" w:color="auto" w:fill="auto"/>
            <w:vAlign w:val="center"/>
            <w:hideMark/>
          </w:tcPr>
          <w:p w:rsidR="005B27CB" w:rsidRPr="00386D34" w:rsidRDefault="00386D34" w:rsidP="00386D34">
            <w:pPr>
              <w:jc w:val="left"/>
              <w:rPr>
                <w:rFonts w:cs="Arial"/>
                <w:b/>
                <w:sz w:val="20"/>
              </w:rPr>
            </w:pPr>
            <w:r w:rsidRPr="00386D34">
              <w:rPr>
                <w:rFonts w:cs="Arial"/>
                <w:b/>
                <w:sz w:val="20"/>
              </w:rPr>
              <w:t>ISO 20022</w:t>
            </w:r>
            <w:r w:rsidRPr="00386D34">
              <w:rPr>
                <w:rFonts w:cs="Arial"/>
                <w:b/>
                <w:color w:val="000000" w:themeColor="text1"/>
                <w:sz w:val="20"/>
              </w:rPr>
              <w:t xml:space="preserve"> SubGroup Update</w:t>
            </w:r>
          </w:p>
        </w:tc>
        <w:tc>
          <w:tcPr>
            <w:tcW w:w="3316" w:type="dxa"/>
            <w:tcBorders>
              <w:top w:val="nil"/>
              <w:left w:val="nil"/>
              <w:bottom w:val="single" w:sz="4" w:space="0" w:color="auto"/>
              <w:right w:val="single" w:sz="4" w:space="0" w:color="auto"/>
            </w:tcBorders>
            <w:shd w:val="clear" w:color="auto" w:fill="auto"/>
            <w:vAlign w:val="center"/>
            <w:hideMark/>
          </w:tcPr>
          <w:p w:rsidR="005B27CB" w:rsidRPr="00386D34" w:rsidRDefault="005B27CB" w:rsidP="00386D34">
            <w:pPr>
              <w:jc w:val="left"/>
              <w:rPr>
                <w:rFonts w:cs="Arial"/>
                <w:color w:val="000000" w:themeColor="text1"/>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5B27CB" w:rsidRDefault="00630E14" w:rsidP="00386D34">
            <w:pPr>
              <w:jc w:val="left"/>
              <w:rPr>
                <w:rFonts w:cs="Arial"/>
                <w:sz w:val="20"/>
              </w:rPr>
            </w:pPr>
            <w:r>
              <w:rPr>
                <w:rFonts w:cs="Arial"/>
                <w:sz w:val="20"/>
              </w:rPr>
              <w:t>ISO20022 Subgroup (Veronique)</w:t>
            </w:r>
          </w:p>
        </w:tc>
        <w:tc>
          <w:tcPr>
            <w:tcW w:w="6840" w:type="dxa"/>
            <w:tcBorders>
              <w:top w:val="nil"/>
              <w:left w:val="nil"/>
              <w:bottom w:val="single" w:sz="4" w:space="0" w:color="auto"/>
              <w:right w:val="single" w:sz="4" w:space="0" w:color="auto"/>
            </w:tcBorders>
            <w:shd w:val="clear" w:color="auto" w:fill="auto"/>
            <w:vAlign w:val="center"/>
            <w:hideMark/>
          </w:tcPr>
          <w:p w:rsidR="005B27CB" w:rsidRPr="00386D34" w:rsidRDefault="005B27CB" w:rsidP="00386D34">
            <w:pPr>
              <w:jc w:val="left"/>
              <w:rPr>
                <w:rFonts w:cs="Arial"/>
                <w:b/>
                <w:bCs/>
                <w:sz w:val="18"/>
                <w:szCs w:val="18"/>
              </w:rPr>
            </w:pPr>
          </w:p>
        </w:tc>
      </w:tr>
      <w:tr w:rsidR="00386D34" w:rsidRPr="00CC1FE0" w:rsidTr="00CC1FE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pPr>
              <w:rPr>
                <w:rFonts w:cs="Arial"/>
                <w:b/>
                <w:bCs/>
                <w:sz w:val="20"/>
              </w:rPr>
            </w:pPr>
            <w:r>
              <w:rPr>
                <w:rFonts w:cs="Arial"/>
                <w:b/>
                <w:bCs/>
                <w:sz w:val="20"/>
              </w:rPr>
              <w:t> </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b/>
                <w:bCs/>
                <w:sz w:val="20"/>
              </w:rPr>
            </w:pPr>
            <w:r>
              <w:rPr>
                <w:rFonts w:cs="Arial"/>
                <w:b/>
                <w:bCs/>
                <w:sz w:val="20"/>
              </w:rPr>
              <w:t>Tax Subgroup Update</w:t>
            </w:r>
          </w:p>
        </w:tc>
        <w:tc>
          <w:tcPr>
            <w:tcW w:w="3316"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sz w:val="18"/>
                <w:szCs w:val="18"/>
                <w:u w:val="single"/>
              </w:rPr>
            </w:pPr>
            <w:r w:rsidRPr="00386D34">
              <w:rPr>
                <w:rFonts w:cs="Arial"/>
                <w:b/>
                <w:bCs/>
                <w:color w:val="FF0000"/>
                <w:sz w:val="18"/>
                <w:szCs w:val="18"/>
                <w:u w:val="single"/>
              </w:rPr>
              <w:t>Actions</w:t>
            </w:r>
            <w:r w:rsidRPr="00386D34">
              <w:rPr>
                <w:rFonts w:cs="Arial"/>
                <w:sz w:val="18"/>
                <w:szCs w:val="18"/>
                <w:u w:val="single"/>
              </w:rPr>
              <w:br/>
            </w:r>
            <w:r w:rsidRPr="00386D34">
              <w:rPr>
                <w:rFonts w:cs="Arial"/>
                <w:sz w:val="18"/>
                <w:szCs w:val="18"/>
              </w:rPr>
              <w:t>Jean-Pierre and Kimchi to schedule the tax subgroup conf calls for 2012.</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Tax Subgroup</w:t>
            </w:r>
            <w:r w:rsidR="00630E14">
              <w:rPr>
                <w:rFonts w:cs="Arial"/>
                <w:sz w:val="20"/>
              </w:rPr>
              <w:t xml:space="preserve"> (Kimchi)</w:t>
            </w:r>
          </w:p>
        </w:tc>
        <w:tc>
          <w:tcPr>
            <w:tcW w:w="6840"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b/>
                <w:bCs/>
                <w:sz w:val="18"/>
                <w:szCs w:val="18"/>
                <w:u w:val="single"/>
              </w:rPr>
            </w:pPr>
            <w:r w:rsidRPr="00386D34">
              <w:rPr>
                <w:rFonts w:cs="Arial"/>
                <w:b/>
                <w:bCs/>
                <w:sz w:val="18"/>
                <w:szCs w:val="18"/>
                <w:u w:val="single"/>
              </w:rPr>
              <w:t>Telco March 28, 2012: T</w:t>
            </w:r>
            <w:r w:rsidRPr="00386D34">
              <w:rPr>
                <w:rFonts w:cs="Arial"/>
                <w:sz w:val="18"/>
                <w:szCs w:val="18"/>
              </w:rPr>
              <w:t>he last conf call was on March 12, the next meeting to be held during the SMPG meeting in Athens. The group is reviewing the content of some key messages. The issue with the highest probable impact is the possible inclusion of tax reclaims in the message flow for the underlying event (similar to disclosure and consent, which can also be processed as part of an event or as a separate event).</w:t>
            </w:r>
            <w:r w:rsidRPr="00386D34">
              <w:rPr>
                <w:rFonts w:cs="Arial"/>
                <w:sz w:val="18"/>
                <w:szCs w:val="18"/>
              </w:rPr>
              <w:br/>
              <w:t>The tax certification process and the different tax qualifiers are also reviewed.</w:t>
            </w:r>
            <w:r w:rsidRPr="00386D34">
              <w:rPr>
                <w:rFonts w:cs="Arial"/>
                <w:b/>
                <w:bCs/>
                <w:sz w:val="18"/>
                <w:szCs w:val="18"/>
                <w:u w:val="single"/>
              </w:rPr>
              <w:br/>
              <w:t xml:space="preserve">Telco Feb 29, 2012:  </w:t>
            </w:r>
            <w:r w:rsidRPr="00386D34">
              <w:rPr>
                <w:rFonts w:cs="Arial"/>
                <w:sz w:val="18"/>
                <w:szCs w:val="18"/>
              </w:rPr>
              <w:t>Report at next conference call.</w:t>
            </w:r>
            <w:r w:rsidRPr="00386D34">
              <w:rPr>
                <w:rFonts w:cs="Arial"/>
                <w:b/>
                <w:bCs/>
                <w:sz w:val="18"/>
                <w:szCs w:val="18"/>
                <w:u w:val="single"/>
              </w:rPr>
              <w:br/>
              <w:t>Telco Jan 25, 2012:  T</w:t>
            </w:r>
            <w:r w:rsidRPr="00386D34">
              <w:rPr>
                <w:rFonts w:cs="Arial"/>
                <w:sz w:val="18"/>
                <w:szCs w:val="18"/>
              </w:rPr>
              <w:t xml:space="preserve">he tax subgroup had a call last week. Regular calls will be </w:t>
            </w:r>
            <w:r w:rsidRPr="00386D34">
              <w:rPr>
                <w:rFonts w:cs="Arial"/>
                <w:sz w:val="18"/>
                <w:szCs w:val="18"/>
              </w:rPr>
              <w:lastRenderedPageBreak/>
              <w:t>held every six weeks from now on. The subgroup has started to create a workflow / process document as well as a table of tax qualifiers accross all CA messages.</w:t>
            </w:r>
            <w:r w:rsidRPr="00386D34">
              <w:rPr>
                <w:rFonts w:cs="Arial"/>
                <w:b/>
                <w:bCs/>
                <w:sz w:val="18"/>
                <w:szCs w:val="18"/>
                <w:u w:val="single"/>
              </w:rPr>
              <w:br/>
              <w:t xml:space="preserve">Telco Dec. 20, 2011: </w:t>
            </w:r>
            <w:r w:rsidRPr="00386D34">
              <w:rPr>
                <w:rFonts w:cs="Arial"/>
                <w:sz w:val="18"/>
                <w:szCs w:val="18"/>
              </w:rPr>
              <w:t>No representative present at the call. Mari asked if any calls were scheduled, but none have been. Christine to email Bernard, Kim and Jean-Pierre.</w:t>
            </w:r>
            <w:r w:rsidRPr="00386D34">
              <w:rPr>
                <w:rFonts w:cs="Arial"/>
                <w:b/>
                <w:bCs/>
                <w:sz w:val="18"/>
                <w:szCs w:val="18"/>
                <w:u w:val="single"/>
              </w:rPr>
              <w:br/>
              <w:t xml:space="preserve">Telco Nov. 30, 2011:  </w:t>
            </w:r>
            <w:r w:rsidRPr="00386D34">
              <w:rPr>
                <w:rFonts w:cs="Arial"/>
                <w:sz w:val="18"/>
                <w:szCs w:val="18"/>
              </w:rPr>
              <w:t xml:space="preserve">Jean-Pierre Klak has accepted  the offer to co-chair with Kimchi the tax subgroup. </w:t>
            </w:r>
            <w:r w:rsidRPr="00386D34">
              <w:rPr>
                <w:rFonts w:cs="Arial"/>
                <w:b/>
                <w:bCs/>
                <w:sz w:val="18"/>
                <w:szCs w:val="18"/>
                <w:u w:val="single"/>
              </w:rPr>
              <w:br/>
              <w:t xml:space="preserve">La Hulpe October 10-11:  </w:t>
            </w:r>
            <w:r w:rsidRPr="00386D34">
              <w:rPr>
                <w:rFonts w:cs="Arial"/>
                <w:sz w:val="18"/>
                <w:szCs w:val="18"/>
              </w:rPr>
              <w:t>Kim has been acting as chair for the last few months, but never offered to so. She has indicated that she needs assistance. The tax sub-group should appoint a chair. Bernard is responsible for finding a chair from the sub-group members or an NMPG</w:t>
            </w:r>
          </w:p>
        </w:tc>
      </w:tr>
      <w:tr w:rsidR="00386D34" w:rsidRPr="00CC1FE0" w:rsidTr="00CC1FE0">
        <w:trPr>
          <w:trHeight w:val="532"/>
        </w:trPr>
        <w:tc>
          <w:tcPr>
            <w:tcW w:w="915" w:type="dxa"/>
            <w:tcBorders>
              <w:top w:val="nil"/>
              <w:left w:val="single" w:sz="4" w:space="0" w:color="auto"/>
              <w:bottom w:val="single" w:sz="4" w:space="0" w:color="auto"/>
              <w:right w:val="single" w:sz="4" w:space="0" w:color="auto"/>
            </w:tcBorders>
            <w:shd w:val="clear" w:color="000000" w:fill="FFFFFF"/>
            <w:vAlign w:val="center"/>
            <w:hideMark/>
          </w:tcPr>
          <w:p w:rsidR="00386D34" w:rsidRDefault="00386D34">
            <w:pPr>
              <w:rPr>
                <w:rFonts w:cs="Arial"/>
                <w:b/>
                <w:bCs/>
                <w:sz w:val="20"/>
              </w:rPr>
            </w:pPr>
            <w:r>
              <w:rPr>
                <w:rFonts w:cs="Arial"/>
                <w:b/>
                <w:bCs/>
                <w:sz w:val="20"/>
              </w:rPr>
              <w:lastRenderedPageBreak/>
              <w:t> </w:t>
            </w:r>
          </w:p>
        </w:tc>
        <w:tc>
          <w:tcPr>
            <w:tcW w:w="1814"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b/>
                <w:bCs/>
                <w:sz w:val="20"/>
              </w:rPr>
            </w:pPr>
            <w:r>
              <w:rPr>
                <w:rFonts w:cs="Arial"/>
                <w:b/>
                <w:bCs/>
                <w:sz w:val="20"/>
              </w:rPr>
              <w:t>PV Subgroup Status</w:t>
            </w:r>
          </w:p>
        </w:tc>
        <w:tc>
          <w:tcPr>
            <w:tcW w:w="3316"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spacing w:after="240"/>
              <w:jc w:val="left"/>
              <w:rPr>
                <w:rFonts w:cs="Arial"/>
                <w:b/>
                <w:bCs/>
                <w:sz w:val="18"/>
                <w:szCs w:val="18"/>
              </w:rPr>
            </w:pPr>
            <w:r w:rsidRPr="00386D34">
              <w:rPr>
                <w:rFonts w:cs="Arial"/>
                <w:b/>
                <w:bCs/>
                <w:color w:val="FF0000"/>
                <w:sz w:val="18"/>
                <w:szCs w:val="18"/>
                <w:u w:val="single"/>
              </w:rPr>
              <w:t>Actions</w:t>
            </w:r>
            <w:r w:rsidRPr="00386D34">
              <w:rPr>
                <w:rFonts w:cs="Arial"/>
                <w:b/>
                <w:bCs/>
                <w:color w:val="FF0000"/>
                <w:sz w:val="18"/>
                <w:szCs w:val="18"/>
                <w:u w:val="single"/>
              </w:rPr>
              <w:br/>
            </w:r>
            <w:r w:rsidRPr="00386D34">
              <w:rPr>
                <w:rFonts w:cs="Arial"/>
                <w:color w:val="000000"/>
                <w:sz w:val="18"/>
                <w:szCs w:val="18"/>
                <w:u w:val="single"/>
              </w:rPr>
              <w:t>1. Jacques</w:t>
            </w:r>
            <w:r w:rsidRPr="00386D34">
              <w:rPr>
                <w:rFonts w:cs="Arial"/>
                <w:color w:val="000000"/>
                <w:sz w:val="18"/>
                <w:szCs w:val="18"/>
              </w:rPr>
              <w:t xml:space="preserve"> to email Christine the contact details of the ISS and Broadridge members. </w:t>
            </w:r>
            <w:r w:rsidRPr="00386D34">
              <w:rPr>
                <w:rFonts w:cs="Arial"/>
                <w:color w:val="000000"/>
                <w:sz w:val="18"/>
                <w:szCs w:val="18"/>
              </w:rPr>
              <w:br/>
            </w:r>
            <w:r w:rsidRPr="00386D34">
              <w:rPr>
                <w:rFonts w:cs="Arial"/>
                <w:color w:val="000000"/>
                <w:sz w:val="18"/>
                <w:szCs w:val="18"/>
                <w:u w:val="single"/>
              </w:rPr>
              <w:t>2. Christine</w:t>
            </w:r>
            <w:r w:rsidRPr="00386D34">
              <w:rPr>
                <w:rFonts w:cs="Arial"/>
                <w:color w:val="000000"/>
                <w:sz w:val="18"/>
                <w:szCs w:val="18"/>
              </w:rPr>
              <w:t xml:space="preserve"> will email the group members, with copy to the SMPG CA-WG, to request one or more members to stand as chair, and to inform the sub-group that unless a chair can be found the sub-group will be closed.</w:t>
            </w:r>
          </w:p>
        </w:tc>
        <w:tc>
          <w:tcPr>
            <w:tcW w:w="1170" w:type="dxa"/>
            <w:tcBorders>
              <w:top w:val="nil"/>
              <w:left w:val="nil"/>
              <w:bottom w:val="single" w:sz="4" w:space="0" w:color="auto"/>
              <w:right w:val="single" w:sz="4" w:space="0" w:color="auto"/>
            </w:tcBorders>
            <w:shd w:val="clear" w:color="auto" w:fill="auto"/>
            <w:vAlign w:val="center"/>
            <w:hideMark/>
          </w:tcPr>
          <w:p w:rsidR="00386D34" w:rsidRDefault="00386D34" w:rsidP="00386D34">
            <w:pPr>
              <w:jc w:val="left"/>
              <w:rPr>
                <w:rFonts w:cs="Arial"/>
                <w:sz w:val="20"/>
              </w:rPr>
            </w:pPr>
            <w:r>
              <w:rPr>
                <w:rFonts w:cs="Arial"/>
                <w:sz w:val="20"/>
              </w:rPr>
              <w:t>PV Subgroup</w:t>
            </w:r>
            <w:r w:rsidR="00630E14">
              <w:rPr>
                <w:rFonts w:cs="Arial"/>
                <w:sz w:val="20"/>
              </w:rPr>
              <w:t xml:space="preserve"> (Christine)</w:t>
            </w:r>
          </w:p>
        </w:tc>
        <w:tc>
          <w:tcPr>
            <w:tcW w:w="6840" w:type="dxa"/>
            <w:tcBorders>
              <w:top w:val="nil"/>
              <w:left w:val="nil"/>
              <w:bottom w:val="single" w:sz="4" w:space="0" w:color="auto"/>
              <w:right w:val="single" w:sz="4" w:space="0" w:color="auto"/>
            </w:tcBorders>
            <w:shd w:val="clear" w:color="auto" w:fill="auto"/>
            <w:vAlign w:val="center"/>
            <w:hideMark/>
          </w:tcPr>
          <w:p w:rsidR="00386D34" w:rsidRPr="00386D34" w:rsidRDefault="00386D34" w:rsidP="00386D34">
            <w:pPr>
              <w:jc w:val="left"/>
              <w:rPr>
                <w:rFonts w:cs="Arial"/>
                <w:b/>
                <w:bCs/>
                <w:sz w:val="18"/>
                <w:szCs w:val="18"/>
              </w:rPr>
            </w:pPr>
            <w:r w:rsidRPr="00386D34">
              <w:rPr>
                <w:rFonts w:cs="Arial"/>
                <w:b/>
                <w:bCs/>
                <w:sz w:val="18"/>
                <w:szCs w:val="18"/>
                <w:u w:val="single"/>
              </w:rPr>
              <w:t xml:space="preserve">Telco March 28, 2012: </w:t>
            </w:r>
            <w:r w:rsidRPr="00386D34">
              <w:rPr>
                <w:rFonts w:cs="Arial"/>
                <w:sz w:val="18"/>
                <w:szCs w:val="18"/>
              </w:rPr>
              <w:t>Christine has emailed the PV subgroup members to ask for a new chair. Candidates to email Jacques/Christine by April 13. If no chair, the subgroup will be closed. The member from Broadridge requested in what consisted the role of chair. Christine will revert to them.</w:t>
            </w:r>
            <w:r w:rsidRPr="00386D34">
              <w:rPr>
                <w:rFonts w:cs="Arial"/>
                <w:b/>
                <w:bCs/>
                <w:sz w:val="18"/>
                <w:szCs w:val="18"/>
                <w:u w:val="single"/>
              </w:rPr>
              <w:br/>
              <w:t xml:space="preserve">Telco Feb 29, 2012: </w:t>
            </w:r>
            <w:r w:rsidRPr="00386D34">
              <w:rPr>
                <w:rFonts w:cs="Arial"/>
                <w:sz w:val="18"/>
                <w:szCs w:val="18"/>
              </w:rPr>
              <w:t xml:space="preserve">The possible chair, George Harris, has declined the offer. </w:t>
            </w:r>
            <w:r w:rsidRPr="00386D34">
              <w:rPr>
                <w:rFonts w:cs="Arial"/>
                <w:b/>
                <w:bCs/>
                <w:sz w:val="18"/>
                <w:szCs w:val="18"/>
                <w:u w:val="single"/>
              </w:rPr>
              <w:br/>
              <w:t xml:space="preserve">Telco Jan 25, 2012: </w:t>
            </w:r>
            <w:r w:rsidRPr="00386D34">
              <w:rPr>
                <w:rFonts w:cs="Arial"/>
                <w:sz w:val="18"/>
                <w:szCs w:val="18"/>
              </w:rPr>
              <w:t>Jacques, Matthew and Christine had a call with the possible chair, George Harris, a couple of weeks ago. Christine has sent George some background documentation. George to review, and a new call will be held to discuss with him way forward. Revert at next conf call.</w:t>
            </w:r>
            <w:r w:rsidRPr="00386D34">
              <w:rPr>
                <w:rFonts w:cs="Arial"/>
                <w:b/>
                <w:bCs/>
                <w:sz w:val="18"/>
                <w:szCs w:val="18"/>
                <w:u w:val="single"/>
              </w:rPr>
              <w:br/>
              <w:t>Telco Dec. 20, 2011:</w:t>
            </w:r>
            <w:r w:rsidRPr="00386D34">
              <w:rPr>
                <w:rFonts w:cs="Arial"/>
                <w:sz w:val="18"/>
                <w:szCs w:val="18"/>
              </w:rPr>
              <w:t xml:space="preserve"> The UK NMPG has proposed George Harris (JPM) who is not a member of the UK NMPG. A conf. call will be arranged between the co-chairs and Georges to discuss how to organise this on second week of January.</w:t>
            </w:r>
            <w:r w:rsidRPr="00386D34">
              <w:rPr>
                <w:rFonts w:cs="Arial"/>
                <w:b/>
                <w:bCs/>
                <w:sz w:val="18"/>
                <w:szCs w:val="18"/>
                <w:u w:val="single"/>
              </w:rPr>
              <w:br/>
              <w:t xml:space="preserve">Telco Nov. 30, 2011: </w:t>
            </w:r>
            <w:r w:rsidRPr="00386D34">
              <w:rPr>
                <w:rFonts w:cs="Arial"/>
                <w:sz w:val="18"/>
                <w:szCs w:val="18"/>
              </w:rPr>
              <w:t>The UK NMPG has proposed George Harris (JPM) who is not a member of the UK NMPG. A conf. call will be arranged between the co-chairs and Georges to discuss how to organise this.</w:t>
            </w:r>
            <w:r w:rsidRPr="00386D34">
              <w:rPr>
                <w:rFonts w:cs="Arial"/>
                <w:sz w:val="18"/>
                <w:szCs w:val="18"/>
              </w:rPr>
              <w:br/>
              <w:t>ISS has accepted to join the group. SWIFT will contact Broadridge to ask them to join the group.</w:t>
            </w:r>
            <w:r w:rsidRPr="00386D34">
              <w:rPr>
                <w:rFonts w:cs="Arial"/>
                <w:sz w:val="18"/>
                <w:szCs w:val="18"/>
              </w:rPr>
              <w:br/>
            </w:r>
            <w:r w:rsidRPr="00386D34">
              <w:rPr>
                <w:rFonts w:cs="Arial"/>
                <w:b/>
                <w:bCs/>
                <w:sz w:val="18"/>
                <w:szCs w:val="18"/>
                <w:u w:val="single"/>
              </w:rPr>
              <w:t xml:space="preserve">La Hulpe October 10-11: </w:t>
            </w:r>
            <w:r w:rsidRPr="00386D34">
              <w:rPr>
                <w:rFonts w:cs="Arial"/>
                <w:sz w:val="18"/>
                <w:szCs w:val="18"/>
              </w:rPr>
              <w:br/>
              <w:t>Didier has not had the time to perform the duties as chair Christine will email the sub-group and ask for a new chair. If no chair can be found, the group will be closed.</w:t>
            </w:r>
            <w:r w:rsidRPr="00386D34">
              <w:rPr>
                <w:rFonts w:cs="Arial"/>
                <w:b/>
                <w:bCs/>
                <w:sz w:val="18"/>
                <w:szCs w:val="18"/>
                <w:u w:val="single"/>
              </w:rPr>
              <w:br/>
              <w:t xml:space="preserve">Telco June 29:  </w:t>
            </w:r>
            <w:r w:rsidRPr="00386D34">
              <w:rPr>
                <w:rFonts w:cs="Arial"/>
                <w:sz w:val="18"/>
                <w:szCs w:val="18"/>
              </w:rPr>
              <w:t>Next conf call planned for early July.</w:t>
            </w:r>
            <w:r w:rsidRPr="00386D34">
              <w:rPr>
                <w:rFonts w:cs="Arial"/>
                <w:b/>
                <w:bCs/>
                <w:sz w:val="18"/>
                <w:szCs w:val="18"/>
                <w:u w:val="single"/>
              </w:rPr>
              <w:br/>
              <w:t xml:space="preserve">Telco May 6: </w:t>
            </w:r>
            <w:r w:rsidRPr="00386D34">
              <w:rPr>
                <w:rFonts w:cs="Arial"/>
                <w:sz w:val="18"/>
                <w:szCs w:val="18"/>
              </w:rPr>
              <w:t>The kick off conference call is scheduled for May 11.</w:t>
            </w:r>
          </w:p>
        </w:tc>
      </w:tr>
    </w:tbl>
    <w:p w:rsidR="00AE1423" w:rsidRDefault="00AE1423" w:rsidP="00A55054">
      <w:pPr>
        <w:rPr>
          <w:rFonts w:cs="Arial"/>
        </w:rPr>
        <w:sectPr w:rsidR="00AE1423" w:rsidSect="004676F7">
          <w:pgSz w:w="15840" w:h="12240" w:orient="landscape" w:code="1"/>
          <w:pgMar w:top="1282" w:right="994" w:bottom="1181" w:left="850" w:header="720" w:footer="518" w:gutter="0"/>
          <w:cols w:space="720"/>
          <w:docGrid w:linePitch="299"/>
        </w:sectPr>
      </w:pPr>
    </w:p>
    <w:p w:rsidR="007A3E4F" w:rsidRDefault="007A3E4F" w:rsidP="00630E14">
      <w:pPr>
        <w:spacing w:before="120"/>
        <w:rPr>
          <w:lang w:val="en-GB"/>
        </w:rPr>
      </w:pPr>
    </w:p>
    <w:sectPr w:rsidR="007A3E4F" w:rsidSect="00183C78">
      <w:pgSz w:w="12240" w:h="15840"/>
      <w:pgMar w:top="993" w:right="1183" w:bottom="851" w:left="1276" w:header="720" w:footer="51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7D" w:rsidRDefault="00D0717D">
      <w:r>
        <w:separator/>
      </w:r>
    </w:p>
  </w:endnote>
  <w:endnote w:type="continuationSeparator" w:id="0">
    <w:p w:rsidR="00D0717D" w:rsidRDefault="00D071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34" w:rsidRDefault="00AA3098">
    <w:pPr>
      <w:pStyle w:val="Footer"/>
      <w:framePr w:wrap="around" w:vAnchor="text" w:hAnchor="margin" w:xAlign="right" w:y="1"/>
      <w:rPr>
        <w:rStyle w:val="PageNumber"/>
      </w:rPr>
    </w:pPr>
    <w:r>
      <w:rPr>
        <w:rStyle w:val="PageNumber"/>
      </w:rPr>
      <w:fldChar w:fldCharType="begin"/>
    </w:r>
    <w:r w:rsidR="00386D34">
      <w:rPr>
        <w:rStyle w:val="PageNumber"/>
      </w:rPr>
      <w:instrText xml:space="preserve">PAGE  </w:instrText>
    </w:r>
    <w:r>
      <w:rPr>
        <w:rStyle w:val="PageNumber"/>
      </w:rPr>
      <w:fldChar w:fldCharType="separate"/>
    </w:r>
    <w:r w:rsidR="00386D34">
      <w:rPr>
        <w:rStyle w:val="PageNumber"/>
        <w:noProof/>
      </w:rPr>
      <w:t>4</w:t>
    </w:r>
    <w:r>
      <w:rPr>
        <w:rStyle w:val="PageNumber"/>
      </w:rPr>
      <w:fldChar w:fldCharType="end"/>
    </w:r>
  </w:p>
  <w:p w:rsidR="00386D34" w:rsidRDefault="00386D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34" w:rsidRPr="004676F7" w:rsidRDefault="00386D34" w:rsidP="004676F7">
    <w:pPr>
      <w:pStyle w:val="Footer"/>
      <w:tabs>
        <w:tab w:val="clear" w:pos="4320"/>
        <w:tab w:val="left" w:pos="180"/>
      </w:tabs>
      <w:jc w:val="center"/>
      <w:rPr>
        <w:sz w:val="20"/>
      </w:rPr>
    </w:pPr>
    <w:r w:rsidRPr="004676F7">
      <w:rPr>
        <w:sz w:val="20"/>
      </w:rPr>
      <w:t xml:space="preserve">Page </w:t>
    </w:r>
    <w:r w:rsidR="00AA3098" w:rsidRPr="004676F7">
      <w:rPr>
        <w:sz w:val="20"/>
      </w:rPr>
      <w:fldChar w:fldCharType="begin"/>
    </w:r>
    <w:r w:rsidRPr="004676F7">
      <w:rPr>
        <w:sz w:val="20"/>
      </w:rPr>
      <w:instrText xml:space="preserve"> PAGE   \* MERGEFORMAT </w:instrText>
    </w:r>
    <w:r w:rsidR="00AA3098" w:rsidRPr="004676F7">
      <w:rPr>
        <w:sz w:val="20"/>
      </w:rPr>
      <w:fldChar w:fldCharType="separate"/>
    </w:r>
    <w:r w:rsidR="00611FE6">
      <w:rPr>
        <w:noProof/>
        <w:sz w:val="20"/>
      </w:rPr>
      <w:t>12</w:t>
    </w:r>
    <w:r w:rsidR="00AA3098" w:rsidRPr="004676F7">
      <w:rPr>
        <w:sz w:val="20"/>
      </w:rPr>
      <w:fldChar w:fldCharType="end"/>
    </w:r>
  </w:p>
  <w:p w:rsidR="00386D34" w:rsidRDefault="00386D34" w:rsidP="004676F7">
    <w:pPr>
      <w:pStyle w:val="Footer"/>
      <w:tabs>
        <w:tab w:val="clear" w:pos="8640"/>
        <w:tab w:val="left" w:pos="6930"/>
        <w:tab w:val="left" w:pos="909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7D" w:rsidRDefault="00D0717D">
      <w:r>
        <w:separator/>
      </w:r>
    </w:p>
  </w:footnote>
  <w:footnote w:type="continuationSeparator" w:id="0">
    <w:p w:rsidR="00D0717D" w:rsidRDefault="00D07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34" w:rsidRPr="00382502" w:rsidRDefault="00386D34" w:rsidP="00927F36">
    <w:pPr>
      <w:pStyle w:val="Header"/>
      <w:tabs>
        <w:tab w:val="clear" w:pos="8640"/>
        <w:tab w:val="left" w:pos="3960"/>
        <w:tab w:val="left" w:pos="4860"/>
        <w:tab w:val="center" w:pos="7020"/>
        <w:tab w:val="right" w:pos="13860"/>
      </w:tabs>
      <w:jc w:val="center"/>
      <w:rPr>
        <w:b/>
        <w:sz w:val="20"/>
        <w:lang w:val="en-GB"/>
      </w:rPr>
    </w:pPr>
    <w:r w:rsidRPr="00382502">
      <w:rPr>
        <w:b/>
        <w:sz w:val="20"/>
        <w:lang w:val="en-GB"/>
      </w:rPr>
      <w:t>CA SMPG Corporate Action Detailed Agenda Athens April 24 – 26,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A2414B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08422756"/>
    <w:lvl w:ilvl="0">
      <w:start w:val="1"/>
      <w:numFmt w:val="bullet"/>
      <w:lvlText w:val=""/>
      <w:lvlJc w:val="left"/>
      <w:pPr>
        <w:tabs>
          <w:tab w:val="num" w:pos="360"/>
        </w:tabs>
        <w:ind w:left="360" w:hanging="360"/>
      </w:pPr>
      <w:rPr>
        <w:rFonts w:ascii="Symbol" w:hAnsi="Symbol" w:hint="default"/>
      </w:rPr>
    </w:lvl>
  </w:abstractNum>
  <w:abstractNum w:abstractNumId="2">
    <w:nsid w:val="04D87A1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
    <w:nsid w:val="36AD3A43"/>
    <w:multiLevelType w:val="multilevel"/>
    <w:tmpl w:val="E9005A26"/>
    <w:lvl w:ilvl="0">
      <w:start w:val="1"/>
      <w:numFmt w:val="upperRoman"/>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1"/>
      <w:numFmt w:val="lowerRoman"/>
      <w:pStyle w:val="Heading3"/>
      <w:suff w:val="space"/>
      <w:lvlText w:val="%3."/>
      <w:lvlJc w:val="left"/>
      <w:pPr>
        <w:ind w:left="936"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
    <w:nsid w:val="3BD926BE"/>
    <w:multiLevelType w:val="hybridMultilevel"/>
    <w:tmpl w:val="EB90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E74C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BA60F7"/>
    <w:multiLevelType w:val="multilevel"/>
    <w:tmpl w:val="B0CAEB3E"/>
    <w:lvl w:ilvl="0">
      <w:start w:val="1"/>
      <w:numFmt w:val="upperRoman"/>
      <w:pStyle w:val="Heading1"/>
      <w:suff w:val="space"/>
      <w:lvlText w:val="%1."/>
      <w:lvlJc w:val="left"/>
      <w:rPr>
        <w:rFonts w:cs="Times New Roman"/>
      </w:rPr>
    </w:lvl>
    <w:lvl w:ilvl="1">
      <w:start w:val="1"/>
      <w:numFmt w:val="upperLetter"/>
      <w:pStyle w:val="Heading2"/>
      <w:suff w:val="space"/>
      <w:lvlText w:val="%2."/>
      <w:lvlJc w:val="left"/>
      <w:pPr>
        <w:ind w:left="680" w:hanging="680"/>
      </w:pPr>
      <w:rPr>
        <w:rFonts w:cs="Times New Roman"/>
      </w:rPr>
    </w:lvl>
    <w:lvl w:ilvl="2">
      <w:start w:val="1"/>
      <w:numFmt w:val="none"/>
      <w:suff w:val="space"/>
      <w:lvlText w:val="Scenario "/>
      <w:lvlJc w:val="left"/>
      <w:pPr>
        <w:ind w:left="510" w:hanging="510"/>
      </w:pPr>
      <w:rPr>
        <w:rFonts w:cs="Times New Roman"/>
      </w:rPr>
    </w:lvl>
    <w:lvl w:ilvl="3">
      <w:start w:val="1"/>
      <w:numFmt w:val="decimal"/>
      <w:pStyle w:val="Heading4"/>
      <w:suff w:val="space"/>
      <w:lvlText w:val="Level %4. "/>
      <w:lvlJc w:val="left"/>
      <w:pPr>
        <w:ind w:left="794" w:hanging="794"/>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8">
    <w:nsid w:val="5D850503"/>
    <w:multiLevelType w:val="hybridMultilevel"/>
    <w:tmpl w:val="C69CC984"/>
    <w:lvl w:ilvl="0" w:tplc="B47C763C">
      <w:numFmt w:val="bullet"/>
      <w:lvlText w:val="-"/>
      <w:lvlJc w:val="left"/>
      <w:pPr>
        <w:ind w:left="720" w:hanging="360"/>
      </w:pPr>
      <w:rPr>
        <w:rFonts w:ascii="Calibri" w:eastAsia="Times New Roman" w:hAnsi="Calibri" w:hint="default"/>
        <w:color w:val="1F497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E50775"/>
    <w:multiLevelType w:val="hybridMultilevel"/>
    <w:tmpl w:val="A6AC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7"/>
  </w:num>
  <w:num w:numId="6">
    <w:abstractNumId w:val="0"/>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6"/>
  </w:num>
  <w:num w:numId="13">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1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0421"/>
    <w:rsid w:val="0001226B"/>
    <w:rsid w:val="00013BCB"/>
    <w:rsid w:val="00037390"/>
    <w:rsid w:val="000404FA"/>
    <w:rsid w:val="0004195E"/>
    <w:rsid w:val="0004464A"/>
    <w:rsid w:val="00070AEA"/>
    <w:rsid w:val="0008141C"/>
    <w:rsid w:val="000814B9"/>
    <w:rsid w:val="00097817"/>
    <w:rsid w:val="000978E1"/>
    <w:rsid w:val="000A112E"/>
    <w:rsid w:val="000A2F7E"/>
    <w:rsid w:val="000A3CFA"/>
    <w:rsid w:val="000B1276"/>
    <w:rsid w:val="000C1747"/>
    <w:rsid w:val="000C2638"/>
    <w:rsid w:val="000D0505"/>
    <w:rsid w:val="000D25BF"/>
    <w:rsid w:val="000D42D1"/>
    <w:rsid w:val="000D59CB"/>
    <w:rsid w:val="000D6DD1"/>
    <w:rsid w:val="000F6D48"/>
    <w:rsid w:val="001035E4"/>
    <w:rsid w:val="00120CB6"/>
    <w:rsid w:val="00121B6A"/>
    <w:rsid w:val="001320FF"/>
    <w:rsid w:val="001412AA"/>
    <w:rsid w:val="00145D5A"/>
    <w:rsid w:val="001665EC"/>
    <w:rsid w:val="001670A3"/>
    <w:rsid w:val="00172FE0"/>
    <w:rsid w:val="0017648B"/>
    <w:rsid w:val="001801EB"/>
    <w:rsid w:val="00183C78"/>
    <w:rsid w:val="001A6223"/>
    <w:rsid w:val="001A7D30"/>
    <w:rsid w:val="001D3A26"/>
    <w:rsid w:val="001D3C47"/>
    <w:rsid w:val="001E472D"/>
    <w:rsid w:val="001E5E83"/>
    <w:rsid w:val="001F1203"/>
    <w:rsid w:val="001F4E7A"/>
    <w:rsid w:val="00200894"/>
    <w:rsid w:val="0021424D"/>
    <w:rsid w:val="00220559"/>
    <w:rsid w:val="00220B79"/>
    <w:rsid w:val="00222079"/>
    <w:rsid w:val="0022371C"/>
    <w:rsid w:val="00225E45"/>
    <w:rsid w:val="00232CA4"/>
    <w:rsid w:val="0023786B"/>
    <w:rsid w:val="002605D8"/>
    <w:rsid w:val="002643EF"/>
    <w:rsid w:val="002761B6"/>
    <w:rsid w:val="00284666"/>
    <w:rsid w:val="002857C8"/>
    <w:rsid w:val="002861A1"/>
    <w:rsid w:val="00297C89"/>
    <w:rsid w:val="00297D2F"/>
    <w:rsid w:val="002A0F7E"/>
    <w:rsid w:val="002A19E0"/>
    <w:rsid w:val="002A7A46"/>
    <w:rsid w:val="002B7263"/>
    <w:rsid w:val="002C413B"/>
    <w:rsid w:val="002F54A0"/>
    <w:rsid w:val="0030123A"/>
    <w:rsid w:val="00305B60"/>
    <w:rsid w:val="00305EB4"/>
    <w:rsid w:val="00317C6F"/>
    <w:rsid w:val="0032440E"/>
    <w:rsid w:val="00337885"/>
    <w:rsid w:val="00345560"/>
    <w:rsid w:val="0034563A"/>
    <w:rsid w:val="003500D5"/>
    <w:rsid w:val="00352BAD"/>
    <w:rsid w:val="00354B3A"/>
    <w:rsid w:val="0035652B"/>
    <w:rsid w:val="0036407A"/>
    <w:rsid w:val="003675D5"/>
    <w:rsid w:val="00371D29"/>
    <w:rsid w:val="00371F17"/>
    <w:rsid w:val="003778E2"/>
    <w:rsid w:val="00382502"/>
    <w:rsid w:val="00383446"/>
    <w:rsid w:val="0038605D"/>
    <w:rsid w:val="00386D34"/>
    <w:rsid w:val="003B6859"/>
    <w:rsid w:val="003B7750"/>
    <w:rsid w:val="003C0CC0"/>
    <w:rsid w:val="003C5909"/>
    <w:rsid w:val="003C5ADC"/>
    <w:rsid w:val="003C5FE9"/>
    <w:rsid w:val="003D139F"/>
    <w:rsid w:val="003E5E36"/>
    <w:rsid w:val="003F4167"/>
    <w:rsid w:val="00403F9F"/>
    <w:rsid w:val="00411CE4"/>
    <w:rsid w:val="00417F60"/>
    <w:rsid w:val="00420876"/>
    <w:rsid w:val="004211E3"/>
    <w:rsid w:val="0042575B"/>
    <w:rsid w:val="00430421"/>
    <w:rsid w:val="004327ED"/>
    <w:rsid w:val="0043331B"/>
    <w:rsid w:val="00435B37"/>
    <w:rsid w:val="00450996"/>
    <w:rsid w:val="00452CFF"/>
    <w:rsid w:val="00457C92"/>
    <w:rsid w:val="004676F7"/>
    <w:rsid w:val="00471518"/>
    <w:rsid w:val="004746DF"/>
    <w:rsid w:val="00486575"/>
    <w:rsid w:val="00491260"/>
    <w:rsid w:val="00491EA7"/>
    <w:rsid w:val="00493A99"/>
    <w:rsid w:val="004A054C"/>
    <w:rsid w:val="004B0127"/>
    <w:rsid w:val="004C0A5B"/>
    <w:rsid w:val="004C2E3B"/>
    <w:rsid w:val="004D5F86"/>
    <w:rsid w:val="004E340D"/>
    <w:rsid w:val="004E7681"/>
    <w:rsid w:val="004E779A"/>
    <w:rsid w:val="004F2926"/>
    <w:rsid w:val="00516856"/>
    <w:rsid w:val="00517214"/>
    <w:rsid w:val="00522B61"/>
    <w:rsid w:val="00523DF9"/>
    <w:rsid w:val="00524590"/>
    <w:rsid w:val="00526048"/>
    <w:rsid w:val="00533B00"/>
    <w:rsid w:val="00537CC6"/>
    <w:rsid w:val="00555C96"/>
    <w:rsid w:val="005622CA"/>
    <w:rsid w:val="00571AD2"/>
    <w:rsid w:val="00581BAB"/>
    <w:rsid w:val="00583121"/>
    <w:rsid w:val="00590BDB"/>
    <w:rsid w:val="005A6FA9"/>
    <w:rsid w:val="005B1AD8"/>
    <w:rsid w:val="005B27CB"/>
    <w:rsid w:val="005B3AC3"/>
    <w:rsid w:val="005B4B6A"/>
    <w:rsid w:val="005B60F5"/>
    <w:rsid w:val="005C1454"/>
    <w:rsid w:val="005C52BD"/>
    <w:rsid w:val="005C56DB"/>
    <w:rsid w:val="005D2851"/>
    <w:rsid w:val="005E0C50"/>
    <w:rsid w:val="005E4B1B"/>
    <w:rsid w:val="005E65E9"/>
    <w:rsid w:val="005F24C7"/>
    <w:rsid w:val="00605106"/>
    <w:rsid w:val="00611FE6"/>
    <w:rsid w:val="00613E7E"/>
    <w:rsid w:val="00626AA4"/>
    <w:rsid w:val="00630E14"/>
    <w:rsid w:val="00634DB0"/>
    <w:rsid w:val="00635FCF"/>
    <w:rsid w:val="00651654"/>
    <w:rsid w:val="00651F94"/>
    <w:rsid w:val="00663572"/>
    <w:rsid w:val="00664FC3"/>
    <w:rsid w:val="0068202E"/>
    <w:rsid w:val="0068294D"/>
    <w:rsid w:val="006872CA"/>
    <w:rsid w:val="006978ED"/>
    <w:rsid w:val="006A3B5C"/>
    <w:rsid w:val="006C1CA3"/>
    <w:rsid w:val="006D21AB"/>
    <w:rsid w:val="006D6A54"/>
    <w:rsid w:val="006E23D4"/>
    <w:rsid w:val="006E5958"/>
    <w:rsid w:val="006F113D"/>
    <w:rsid w:val="006F3517"/>
    <w:rsid w:val="00705EF4"/>
    <w:rsid w:val="00707734"/>
    <w:rsid w:val="00710ECC"/>
    <w:rsid w:val="00720FFD"/>
    <w:rsid w:val="00721C9A"/>
    <w:rsid w:val="00722186"/>
    <w:rsid w:val="007253BB"/>
    <w:rsid w:val="00725A2A"/>
    <w:rsid w:val="00725E26"/>
    <w:rsid w:val="00726E70"/>
    <w:rsid w:val="00730767"/>
    <w:rsid w:val="00731F33"/>
    <w:rsid w:val="00734E6E"/>
    <w:rsid w:val="00751F2C"/>
    <w:rsid w:val="00753644"/>
    <w:rsid w:val="00754431"/>
    <w:rsid w:val="00771AA2"/>
    <w:rsid w:val="00783AC4"/>
    <w:rsid w:val="007870CD"/>
    <w:rsid w:val="00790B22"/>
    <w:rsid w:val="007A3E4F"/>
    <w:rsid w:val="007B1583"/>
    <w:rsid w:val="007B2B7D"/>
    <w:rsid w:val="007D16CA"/>
    <w:rsid w:val="007F1219"/>
    <w:rsid w:val="007F1F50"/>
    <w:rsid w:val="007F3E73"/>
    <w:rsid w:val="007F5626"/>
    <w:rsid w:val="008034E8"/>
    <w:rsid w:val="00814AE8"/>
    <w:rsid w:val="0082232D"/>
    <w:rsid w:val="00827D5D"/>
    <w:rsid w:val="00837BEF"/>
    <w:rsid w:val="00847B5E"/>
    <w:rsid w:val="008722F1"/>
    <w:rsid w:val="008871E6"/>
    <w:rsid w:val="00891366"/>
    <w:rsid w:val="008A2AB1"/>
    <w:rsid w:val="008A69AA"/>
    <w:rsid w:val="008C243A"/>
    <w:rsid w:val="008E0485"/>
    <w:rsid w:val="008E09A7"/>
    <w:rsid w:val="008E5C4E"/>
    <w:rsid w:val="008F7927"/>
    <w:rsid w:val="00903069"/>
    <w:rsid w:val="00907E96"/>
    <w:rsid w:val="00907F47"/>
    <w:rsid w:val="00911912"/>
    <w:rsid w:val="00922AEF"/>
    <w:rsid w:val="00924664"/>
    <w:rsid w:val="00927F36"/>
    <w:rsid w:val="00931B7C"/>
    <w:rsid w:val="00934E91"/>
    <w:rsid w:val="0094461E"/>
    <w:rsid w:val="00944A2D"/>
    <w:rsid w:val="0095321C"/>
    <w:rsid w:val="00992B74"/>
    <w:rsid w:val="009A1DE6"/>
    <w:rsid w:val="009A5F85"/>
    <w:rsid w:val="009B6EC0"/>
    <w:rsid w:val="009C2626"/>
    <w:rsid w:val="009D1EF4"/>
    <w:rsid w:val="009D665C"/>
    <w:rsid w:val="009E7AEB"/>
    <w:rsid w:val="00A045D6"/>
    <w:rsid w:val="00A156FF"/>
    <w:rsid w:val="00A15FD1"/>
    <w:rsid w:val="00A3073C"/>
    <w:rsid w:val="00A37E87"/>
    <w:rsid w:val="00A414D3"/>
    <w:rsid w:val="00A42AD8"/>
    <w:rsid w:val="00A475BD"/>
    <w:rsid w:val="00A52610"/>
    <w:rsid w:val="00A55054"/>
    <w:rsid w:val="00A70BDA"/>
    <w:rsid w:val="00A74ABE"/>
    <w:rsid w:val="00A85E19"/>
    <w:rsid w:val="00A96B06"/>
    <w:rsid w:val="00A97398"/>
    <w:rsid w:val="00AA0F50"/>
    <w:rsid w:val="00AA3098"/>
    <w:rsid w:val="00AA5367"/>
    <w:rsid w:val="00AA6100"/>
    <w:rsid w:val="00AA7F36"/>
    <w:rsid w:val="00AB11CB"/>
    <w:rsid w:val="00AB4947"/>
    <w:rsid w:val="00AB5A16"/>
    <w:rsid w:val="00AB622F"/>
    <w:rsid w:val="00AD6D8D"/>
    <w:rsid w:val="00AE1423"/>
    <w:rsid w:val="00AE254A"/>
    <w:rsid w:val="00AF750B"/>
    <w:rsid w:val="00B066A5"/>
    <w:rsid w:val="00B120E6"/>
    <w:rsid w:val="00B14A53"/>
    <w:rsid w:val="00B14FDC"/>
    <w:rsid w:val="00B34098"/>
    <w:rsid w:val="00B350E9"/>
    <w:rsid w:val="00B42F39"/>
    <w:rsid w:val="00B62F91"/>
    <w:rsid w:val="00B6610F"/>
    <w:rsid w:val="00B948A4"/>
    <w:rsid w:val="00B96743"/>
    <w:rsid w:val="00B97965"/>
    <w:rsid w:val="00BA59E0"/>
    <w:rsid w:val="00BB1945"/>
    <w:rsid w:val="00BB7D44"/>
    <w:rsid w:val="00BE2E05"/>
    <w:rsid w:val="00BE32D4"/>
    <w:rsid w:val="00BF05AD"/>
    <w:rsid w:val="00C15DFE"/>
    <w:rsid w:val="00C246BD"/>
    <w:rsid w:val="00C34B1A"/>
    <w:rsid w:val="00C35781"/>
    <w:rsid w:val="00C360A7"/>
    <w:rsid w:val="00C40814"/>
    <w:rsid w:val="00C42259"/>
    <w:rsid w:val="00C54883"/>
    <w:rsid w:val="00C606D0"/>
    <w:rsid w:val="00C7124F"/>
    <w:rsid w:val="00C75CB2"/>
    <w:rsid w:val="00C80510"/>
    <w:rsid w:val="00C81FCC"/>
    <w:rsid w:val="00C825CF"/>
    <w:rsid w:val="00C94F05"/>
    <w:rsid w:val="00CA56C1"/>
    <w:rsid w:val="00CC07EA"/>
    <w:rsid w:val="00CC0CF6"/>
    <w:rsid w:val="00CC1FE0"/>
    <w:rsid w:val="00CD39F6"/>
    <w:rsid w:val="00CF2BAF"/>
    <w:rsid w:val="00D0717D"/>
    <w:rsid w:val="00D14151"/>
    <w:rsid w:val="00D27359"/>
    <w:rsid w:val="00D316FB"/>
    <w:rsid w:val="00D36539"/>
    <w:rsid w:val="00D37F34"/>
    <w:rsid w:val="00D41A7C"/>
    <w:rsid w:val="00D52F59"/>
    <w:rsid w:val="00D57B2F"/>
    <w:rsid w:val="00D65BBE"/>
    <w:rsid w:val="00D65E01"/>
    <w:rsid w:val="00D773BD"/>
    <w:rsid w:val="00D83FAA"/>
    <w:rsid w:val="00D84154"/>
    <w:rsid w:val="00D87D71"/>
    <w:rsid w:val="00DC1627"/>
    <w:rsid w:val="00DD58CE"/>
    <w:rsid w:val="00E1638B"/>
    <w:rsid w:val="00E1649D"/>
    <w:rsid w:val="00E25945"/>
    <w:rsid w:val="00E26ACF"/>
    <w:rsid w:val="00E354B4"/>
    <w:rsid w:val="00E45D70"/>
    <w:rsid w:val="00E46149"/>
    <w:rsid w:val="00E51BEC"/>
    <w:rsid w:val="00E63C17"/>
    <w:rsid w:val="00E63CA5"/>
    <w:rsid w:val="00E74BF2"/>
    <w:rsid w:val="00E74DA9"/>
    <w:rsid w:val="00E8494C"/>
    <w:rsid w:val="00E90B3F"/>
    <w:rsid w:val="00EC1F0B"/>
    <w:rsid w:val="00EC7B0C"/>
    <w:rsid w:val="00ED12DD"/>
    <w:rsid w:val="00EE4FA3"/>
    <w:rsid w:val="00F004D1"/>
    <w:rsid w:val="00F008B6"/>
    <w:rsid w:val="00F019D0"/>
    <w:rsid w:val="00F02B36"/>
    <w:rsid w:val="00F04B71"/>
    <w:rsid w:val="00F167C3"/>
    <w:rsid w:val="00F168DE"/>
    <w:rsid w:val="00F32E4A"/>
    <w:rsid w:val="00F414AC"/>
    <w:rsid w:val="00F50885"/>
    <w:rsid w:val="00F56E11"/>
    <w:rsid w:val="00F64044"/>
    <w:rsid w:val="00F6733E"/>
    <w:rsid w:val="00F75B50"/>
    <w:rsid w:val="00F76FA5"/>
    <w:rsid w:val="00F83295"/>
    <w:rsid w:val="00F963B6"/>
    <w:rsid w:val="00F96DA6"/>
    <w:rsid w:val="00FA5A40"/>
    <w:rsid w:val="00FA6678"/>
    <w:rsid w:val="00FC5B1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678"/>
    <w:pPr>
      <w:jc w:val="both"/>
    </w:pPr>
    <w:rPr>
      <w:rFonts w:ascii="Arial" w:hAnsi="Arial"/>
      <w:sz w:val="22"/>
      <w:lang w:val="en-US" w:eastAsia="en-US"/>
    </w:rPr>
  </w:style>
  <w:style w:type="paragraph" w:styleId="Heading1">
    <w:name w:val="heading 1"/>
    <w:basedOn w:val="Normal"/>
    <w:next w:val="Normal"/>
    <w:link w:val="Heading1Char"/>
    <w:uiPriority w:val="9"/>
    <w:qFormat/>
    <w:rsid w:val="00F167C3"/>
    <w:pPr>
      <w:keepNext/>
      <w:numPr>
        <w:numId w:val="5"/>
      </w:numPr>
      <w:spacing w:before="120" w:after="120"/>
      <w:outlineLvl w:val="0"/>
    </w:pPr>
    <w:rPr>
      <w:sz w:val="32"/>
      <w:u w:val="single"/>
    </w:rPr>
  </w:style>
  <w:style w:type="paragraph" w:styleId="Heading2">
    <w:name w:val="heading 2"/>
    <w:aliases w:val="TSBTWO"/>
    <w:basedOn w:val="Normal"/>
    <w:next w:val="BlockText"/>
    <w:link w:val="Heading2Char"/>
    <w:uiPriority w:val="9"/>
    <w:qFormat/>
    <w:rsid w:val="00F167C3"/>
    <w:pPr>
      <w:keepNext/>
      <w:numPr>
        <w:ilvl w:val="1"/>
        <w:numId w:val="5"/>
      </w:numPr>
      <w:spacing w:before="120"/>
      <w:outlineLvl w:val="1"/>
    </w:pPr>
    <w:rPr>
      <w:b/>
      <w:i/>
      <w:sz w:val="24"/>
    </w:rPr>
  </w:style>
  <w:style w:type="paragraph" w:styleId="Heading3">
    <w:name w:val="heading 3"/>
    <w:aliases w:val="TSBTHREE"/>
    <w:basedOn w:val="Normal"/>
    <w:next w:val="Normal"/>
    <w:link w:val="Heading3Char"/>
    <w:uiPriority w:val="9"/>
    <w:qFormat/>
    <w:rsid w:val="00F167C3"/>
    <w:pPr>
      <w:keepNext/>
      <w:numPr>
        <w:ilvl w:val="2"/>
        <w:numId w:val="7"/>
      </w:numPr>
      <w:spacing w:before="120" w:after="60"/>
      <w:outlineLvl w:val="2"/>
    </w:pPr>
    <w:rPr>
      <w:u w:val="dotted"/>
      <w:lang w:val="en-GB"/>
    </w:rPr>
  </w:style>
  <w:style w:type="paragraph" w:styleId="Heading4">
    <w:name w:val="heading 4"/>
    <w:aliases w:val="TSBFOUR"/>
    <w:basedOn w:val="Normal"/>
    <w:next w:val="Normal"/>
    <w:link w:val="Heading4Char"/>
    <w:uiPriority w:val="9"/>
    <w:qFormat/>
    <w:rsid w:val="00F167C3"/>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
    <w:qFormat/>
    <w:rsid w:val="00F167C3"/>
    <w:pPr>
      <w:numPr>
        <w:ilvl w:val="4"/>
        <w:numId w:val="5"/>
      </w:numPr>
      <w:spacing w:before="240"/>
      <w:outlineLvl w:val="4"/>
    </w:pPr>
  </w:style>
  <w:style w:type="paragraph" w:styleId="Heading6">
    <w:name w:val="heading 6"/>
    <w:basedOn w:val="Normal"/>
    <w:next w:val="Normal"/>
    <w:link w:val="Heading6Char"/>
    <w:uiPriority w:val="9"/>
    <w:qFormat/>
    <w:rsid w:val="00F167C3"/>
    <w:pPr>
      <w:numPr>
        <w:ilvl w:val="5"/>
        <w:numId w:val="5"/>
      </w:numPr>
      <w:spacing w:before="240"/>
      <w:outlineLvl w:val="5"/>
    </w:pPr>
    <w:rPr>
      <w:i/>
    </w:rPr>
  </w:style>
  <w:style w:type="paragraph" w:styleId="Heading7">
    <w:name w:val="heading 7"/>
    <w:basedOn w:val="Normal"/>
    <w:next w:val="Normal"/>
    <w:link w:val="Heading7Char"/>
    <w:uiPriority w:val="9"/>
    <w:qFormat/>
    <w:rsid w:val="00F167C3"/>
    <w:pPr>
      <w:numPr>
        <w:ilvl w:val="6"/>
        <w:numId w:val="5"/>
      </w:numPr>
      <w:spacing w:before="240"/>
      <w:outlineLvl w:val="6"/>
    </w:pPr>
  </w:style>
  <w:style w:type="paragraph" w:styleId="Heading8">
    <w:name w:val="heading 8"/>
    <w:basedOn w:val="Normal"/>
    <w:next w:val="Normal"/>
    <w:link w:val="Heading8Char"/>
    <w:uiPriority w:val="9"/>
    <w:qFormat/>
    <w:rsid w:val="00F167C3"/>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
    <w:qFormat/>
    <w:rsid w:val="00F167C3"/>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A36"/>
    <w:rPr>
      <w:rFonts w:ascii="Arial" w:hAnsi="Arial"/>
      <w:sz w:val="32"/>
      <w:u w:val="single"/>
      <w:lang w:val="en-US" w:eastAsia="en-US"/>
    </w:rPr>
  </w:style>
  <w:style w:type="character" w:customStyle="1" w:styleId="Heading2Char">
    <w:name w:val="Heading 2 Char"/>
    <w:aliases w:val="TSBTWO Char"/>
    <w:basedOn w:val="DefaultParagraphFont"/>
    <w:link w:val="Heading2"/>
    <w:uiPriority w:val="9"/>
    <w:rsid w:val="00AE7A36"/>
    <w:rPr>
      <w:rFonts w:ascii="Arial" w:hAnsi="Arial"/>
      <w:b/>
      <w:i/>
      <w:sz w:val="24"/>
      <w:lang w:val="en-US" w:eastAsia="en-US"/>
    </w:rPr>
  </w:style>
  <w:style w:type="character" w:customStyle="1" w:styleId="Heading3Char">
    <w:name w:val="Heading 3 Char"/>
    <w:aliases w:val="TSBTHREE Char"/>
    <w:basedOn w:val="DefaultParagraphFont"/>
    <w:link w:val="Heading3"/>
    <w:uiPriority w:val="9"/>
    <w:rsid w:val="00AE7A36"/>
    <w:rPr>
      <w:rFonts w:ascii="Arial" w:hAnsi="Arial"/>
      <w:sz w:val="22"/>
      <w:u w:val="dotted"/>
      <w:lang w:eastAsia="en-US"/>
    </w:rPr>
  </w:style>
  <w:style w:type="character" w:customStyle="1" w:styleId="Heading4Char">
    <w:name w:val="Heading 4 Char"/>
    <w:aliases w:val="TSBFOUR Char"/>
    <w:basedOn w:val="DefaultParagraphFont"/>
    <w:link w:val="Heading4"/>
    <w:uiPriority w:val="9"/>
    <w:rsid w:val="00AE7A36"/>
    <w:rPr>
      <w:rFonts w:ascii="Arial" w:hAnsi="Arial"/>
      <w:b/>
      <w:i/>
      <w:sz w:val="22"/>
      <w:lang w:eastAsia="en-US"/>
    </w:rPr>
  </w:style>
  <w:style w:type="character" w:customStyle="1" w:styleId="Heading5Char">
    <w:name w:val="Heading 5 Char"/>
    <w:basedOn w:val="DefaultParagraphFont"/>
    <w:link w:val="Heading5"/>
    <w:uiPriority w:val="9"/>
    <w:rsid w:val="00AE7A36"/>
    <w:rPr>
      <w:rFonts w:ascii="Arial" w:hAnsi="Arial"/>
      <w:sz w:val="22"/>
      <w:lang w:val="en-US" w:eastAsia="en-US"/>
    </w:rPr>
  </w:style>
  <w:style w:type="character" w:customStyle="1" w:styleId="Heading6Char">
    <w:name w:val="Heading 6 Char"/>
    <w:basedOn w:val="DefaultParagraphFont"/>
    <w:link w:val="Heading6"/>
    <w:uiPriority w:val="9"/>
    <w:rsid w:val="00AE7A36"/>
    <w:rPr>
      <w:rFonts w:ascii="Arial" w:hAnsi="Arial"/>
      <w:i/>
      <w:sz w:val="22"/>
      <w:lang w:val="en-US" w:eastAsia="en-US"/>
    </w:rPr>
  </w:style>
  <w:style w:type="character" w:customStyle="1" w:styleId="Heading7Char">
    <w:name w:val="Heading 7 Char"/>
    <w:basedOn w:val="DefaultParagraphFont"/>
    <w:link w:val="Heading7"/>
    <w:uiPriority w:val="9"/>
    <w:rsid w:val="00AE7A36"/>
    <w:rPr>
      <w:rFonts w:ascii="Arial" w:hAnsi="Arial"/>
      <w:sz w:val="22"/>
      <w:lang w:val="en-US" w:eastAsia="en-US"/>
    </w:rPr>
  </w:style>
  <w:style w:type="character" w:customStyle="1" w:styleId="Heading8Char">
    <w:name w:val="Heading 8 Char"/>
    <w:basedOn w:val="DefaultParagraphFont"/>
    <w:link w:val="Heading8"/>
    <w:uiPriority w:val="9"/>
    <w:rsid w:val="00AE7A36"/>
    <w:rPr>
      <w:rFonts w:ascii="Arial" w:hAnsi="Arial"/>
      <w:color w:val="FFFFFF"/>
      <w:sz w:val="22"/>
      <w:u w:val="single"/>
      <w:lang w:val="es-ES" w:eastAsia="en-US"/>
    </w:rPr>
  </w:style>
  <w:style w:type="character" w:customStyle="1" w:styleId="Heading9Char">
    <w:name w:val="Heading 9 Char"/>
    <w:basedOn w:val="DefaultParagraphFont"/>
    <w:link w:val="Heading9"/>
    <w:uiPriority w:val="9"/>
    <w:rsid w:val="00AE7A36"/>
    <w:rPr>
      <w:rFonts w:ascii="Arial" w:hAnsi="Arial"/>
      <w:b/>
      <w:i/>
      <w:sz w:val="18"/>
      <w:lang w:val="en-US" w:eastAsia="en-US"/>
    </w:rPr>
  </w:style>
  <w:style w:type="paragraph" w:styleId="BlockText">
    <w:name w:val="Block Text"/>
    <w:basedOn w:val="Normal"/>
    <w:uiPriority w:val="99"/>
    <w:rsid w:val="00F167C3"/>
    <w:pPr>
      <w:spacing w:before="40"/>
    </w:pPr>
  </w:style>
  <w:style w:type="paragraph" w:styleId="Title">
    <w:name w:val="Title"/>
    <w:basedOn w:val="Normal"/>
    <w:next w:val="Normal"/>
    <w:link w:val="TitleChar"/>
    <w:qFormat/>
    <w:rsid w:val="00F167C3"/>
    <w:pPr>
      <w:spacing w:before="120" w:after="240"/>
      <w:jc w:val="center"/>
    </w:pPr>
    <w:rPr>
      <w:sz w:val="56"/>
      <w:u w:val="double"/>
      <w:lang w:val="en-GB"/>
    </w:rPr>
  </w:style>
  <w:style w:type="character" w:customStyle="1" w:styleId="TitleChar">
    <w:name w:val="Title Char"/>
    <w:basedOn w:val="DefaultParagraphFont"/>
    <w:link w:val="Title"/>
    <w:uiPriority w:val="10"/>
    <w:rsid w:val="00AE7A36"/>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F167C3"/>
    <w:rPr>
      <w:sz w:val="36"/>
      <w:u w:val="single"/>
      <w:lang w:val="es-ES"/>
    </w:rPr>
  </w:style>
  <w:style w:type="character" w:customStyle="1" w:styleId="BodyTextChar">
    <w:name w:val="Body Text Char"/>
    <w:basedOn w:val="DefaultParagraphFont"/>
    <w:link w:val="BodyText"/>
    <w:uiPriority w:val="99"/>
    <w:semiHidden/>
    <w:rsid w:val="00AE7A36"/>
    <w:rPr>
      <w:rFonts w:ascii="Arial" w:hAnsi="Arial"/>
      <w:sz w:val="22"/>
      <w:lang w:val="en-US" w:eastAsia="en-US"/>
    </w:rPr>
  </w:style>
  <w:style w:type="paragraph" w:styleId="BodyTextIndent3">
    <w:name w:val="Body Text Indent 3"/>
    <w:basedOn w:val="Normal"/>
    <w:link w:val="BodyTextIndent3Char"/>
    <w:uiPriority w:val="99"/>
    <w:rsid w:val="00F167C3"/>
    <w:pPr>
      <w:ind w:left="5040" w:hanging="2160"/>
    </w:pPr>
    <w:rPr>
      <w:lang w:val="en-GB"/>
    </w:rPr>
  </w:style>
  <w:style w:type="character" w:customStyle="1" w:styleId="BodyTextIndent3Char">
    <w:name w:val="Body Text Indent 3 Char"/>
    <w:basedOn w:val="DefaultParagraphFont"/>
    <w:link w:val="BodyTextIndent3"/>
    <w:uiPriority w:val="99"/>
    <w:semiHidden/>
    <w:rsid w:val="00AE7A36"/>
    <w:rPr>
      <w:rFonts w:ascii="Arial" w:hAnsi="Arial"/>
      <w:sz w:val="16"/>
      <w:szCs w:val="16"/>
      <w:lang w:val="en-US" w:eastAsia="en-US"/>
    </w:rPr>
  </w:style>
  <w:style w:type="paragraph" w:styleId="BodyText3">
    <w:name w:val="Body Text 3"/>
    <w:basedOn w:val="Normal"/>
    <w:link w:val="BodyText3Char"/>
    <w:uiPriority w:val="99"/>
    <w:rsid w:val="00F167C3"/>
    <w:pPr>
      <w:spacing w:before="80" w:after="60"/>
    </w:pPr>
    <w:rPr>
      <w:sz w:val="24"/>
      <w:lang w:val="en-GB"/>
    </w:rPr>
  </w:style>
  <w:style w:type="character" w:customStyle="1" w:styleId="BodyText3Char">
    <w:name w:val="Body Text 3 Char"/>
    <w:basedOn w:val="DefaultParagraphFont"/>
    <w:link w:val="BodyText3"/>
    <w:uiPriority w:val="99"/>
    <w:semiHidden/>
    <w:rsid w:val="00AE7A36"/>
    <w:rPr>
      <w:rFonts w:ascii="Arial" w:hAnsi="Arial"/>
      <w:sz w:val="16"/>
      <w:szCs w:val="16"/>
      <w:lang w:val="en-US" w:eastAsia="en-US"/>
    </w:rPr>
  </w:style>
  <w:style w:type="paragraph" w:styleId="BodyText2">
    <w:name w:val="Body Text 2"/>
    <w:basedOn w:val="Normal"/>
    <w:link w:val="BodyText2Char"/>
    <w:uiPriority w:val="99"/>
    <w:rsid w:val="00F167C3"/>
    <w:pPr>
      <w:jc w:val="center"/>
    </w:pPr>
    <w:rPr>
      <w:b/>
      <w:color w:val="FF0000"/>
      <w:sz w:val="24"/>
    </w:rPr>
  </w:style>
  <w:style w:type="character" w:customStyle="1" w:styleId="BodyText2Char">
    <w:name w:val="Body Text 2 Char"/>
    <w:basedOn w:val="DefaultParagraphFont"/>
    <w:link w:val="BodyText2"/>
    <w:uiPriority w:val="99"/>
    <w:semiHidden/>
    <w:rsid w:val="00AE7A36"/>
    <w:rPr>
      <w:rFonts w:ascii="Arial" w:hAnsi="Arial"/>
      <w:sz w:val="22"/>
      <w:lang w:val="en-US" w:eastAsia="en-US"/>
    </w:rPr>
  </w:style>
  <w:style w:type="paragraph" w:styleId="Subtitle">
    <w:name w:val="Subtitle"/>
    <w:basedOn w:val="Normal"/>
    <w:link w:val="SubtitleChar"/>
    <w:uiPriority w:val="11"/>
    <w:qFormat/>
    <w:rsid w:val="00F167C3"/>
    <w:rPr>
      <w:b/>
      <w:color w:val="FF0000"/>
      <w:u w:val="single"/>
    </w:rPr>
  </w:style>
  <w:style w:type="character" w:customStyle="1" w:styleId="SubtitleChar">
    <w:name w:val="Subtitle Char"/>
    <w:basedOn w:val="DefaultParagraphFont"/>
    <w:link w:val="Subtitle"/>
    <w:uiPriority w:val="11"/>
    <w:rsid w:val="00AE7A36"/>
    <w:rPr>
      <w:rFonts w:ascii="Cambria" w:eastAsia="Times New Roman" w:hAnsi="Cambria" w:cs="Times New Roman"/>
      <w:sz w:val="24"/>
      <w:szCs w:val="24"/>
      <w:lang w:val="en-US" w:eastAsia="en-US"/>
    </w:rPr>
  </w:style>
  <w:style w:type="paragraph" w:styleId="Header">
    <w:name w:val="header"/>
    <w:basedOn w:val="Normal"/>
    <w:link w:val="HeaderChar"/>
    <w:rsid w:val="00F167C3"/>
    <w:pPr>
      <w:tabs>
        <w:tab w:val="center" w:pos="4320"/>
        <w:tab w:val="right" w:pos="8640"/>
      </w:tabs>
    </w:pPr>
  </w:style>
  <w:style w:type="character" w:customStyle="1" w:styleId="HeaderChar">
    <w:name w:val="Header Char"/>
    <w:basedOn w:val="DefaultParagraphFont"/>
    <w:link w:val="Header"/>
    <w:uiPriority w:val="99"/>
    <w:semiHidden/>
    <w:rsid w:val="00AE7A36"/>
    <w:rPr>
      <w:rFonts w:ascii="Arial" w:hAnsi="Arial"/>
      <w:sz w:val="22"/>
      <w:lang w:val="en-US" w:eastAsia="en-US"/>
    </w:rPr>
  </w:style>
  <w:style w:type="paragraph" w:styleId="Footer">
    <w:name w:val="footer"/>
    <w:basedOn w:val="Normal"/>
    <w:link w:val="FooterChar"/>
    <w:uiPriority w:val="99"/>
    <w:rsid w:val="00F167C3"/>
    <w:pPr>
      <w:tabs>
        <w:tab w:val="center" w:pos="4320"/>
        <w:tab w:val="right" w:pos="8640"/>
      </w:tabs>
    </w:pPr>
  </w:style>
  <w:style w:type="character" w:customStyle="1" w:styleId="FooterChar">
    <w:name w:val="Footer Char"/>
    <w:basedOn w:val="DefaultParagraphFont"/>
    <w:link w:val="Footer"/>
    <w:uiPriority w:val="99"/>
    <w:rsid w:val="00AE7A36"/>
    <w:rPr>
      <w:rFonts w:ascii="Arial" w:hAnsi="Arial"/>
      <w:sz w:val="22"/>
      <w:lang w:val="en-US" w:eastAsia="en-US"/>
    </w:rPr>
  </w:style>
  <w:style w:type="character" w:styleId="PageNumber">
    <w:name w:val="page number"/>
    <w:basedOn w:val="DefaultParagraphFont"/>
    <w:uiPriority w:val="99"/>
    <w:rsid w:val="00F167C3"/>
    <w:rPr>
      <w:rFonts w:cs="Times New Roman"/>
    </w:rPr>
  </w:style>
  <w:style w:type="paragraph" w:customStyle="1" w:styleId="Tabletext">
    <w:name w:val="Table text"/>
    <w:rsid w:val="00F167C3"/>
    <w:rPr>
      <w:noProof/>
      <w:sz w:val="24"/>
      <w:lang w:val="en-US" w:eastAsia="en-US"/>
    </w:rPr>
  </w:style>
  <w:style w:type="paragraph" w:customStyle="1" w:styleId="Liste21">
    <w:name w:val="Liste 21"/>
    <w:basedOn w:val="Normal"/>
    <w:rsid w:val="00F167C3"/>
    <w:pPr>
      <w:tabs>
        <w:tab w:val="num" w:pos="360"/>
      </w:tabs>
      <w:ind w:left="360" w:hanging="360"/>
      <w:jc w:val="left"/>
    </w:pPr>
    <w:rPr>
      <w:sz w:val="16"/>
    </w:rPr>
  </w:style>
  <w:style w:type="paragraph" w:styleId="ListBullet">
    <w:name w:val="List Bullet"/>
    <w:basedOn w:val="Normal"/>
    <w:autoRedefine/>
    <w:uiPriority w:val="99"/>
    <w:rsid w:val="00F167C3"/>
    <w:pPr>
      <w:tabs>
        <w:tab w:val="num" w:pos="360"/>
      </w:tabs>
      <w:ind w:left="360" w:hanging="360"/>
      <w:jc w:val="left"/>
    </w:pPr>
  </w:style>
  <w:style w:type="paragraph" w:styleId="FootnoteText">
    <w:name w:val="footnote text"/>
    <w:basedOn w:val="Normal"/>
    <w:link w:val="FootnoteTextChar"/>
    <w:uiPriority w:val="99"/>
    <w:semiHidden/>
    <w:rsid w:val="00F167C3"/>
    <w:pPr>
      <w:widowControl w:val="0"/>
      <w:jc w:val="left"/>
    </w:pPr>
  </w:style>
  <w:style w:type="character" w:customStyle="1" w:styleId="FootnoteTextChar">
    <w:name w:val="Footnote Text Char"/>
    <w:basedOn w:val="DefaultParagraphFont"/>
    <w:link w:val="FootnoteText"/>
    <w:uiPriority w:val="99"/>
    <w:semiHidden/>
    <w:rsid w:val="00AE7A36"/>
    <w:rPr>
      <w:rFonts w:ascii="Arial" w:hAnsi="Arial"/>
      <w:lang w:val="en-US" w:eastAsia="en-US"/>
    </w:rPr>
  </w:style>
  <w:style w:type="character" w:styleId="Hyperlink">
    <w:name w:val="Hyperlink"/>
    <w:basedOn w:val="DefaultParagraphFont"/>
    <w:uiPriority w:val="99"/>
    <w:rsid w:val="00F167C3"/>
    <w:rPr>
      <w:rFonts w:cs="Times New Roman"/>
      <w:color w:val="0000FF"/>
      <w:u w:val="single"/>
    </w:rPr>
  </w:style>
  <w:style w:type="paragraph" w:customStyle="1" w:styleId="Documenttitle">
    <w:name w:val="Document title"/>
    <w:basedOn w:val="Normal"/>
    <w:rsid w:val="00F167C3"/>
    <w:pPr>
      <w:spacing w:before="140" w:after="280"/>
      <w:jc w:val="center"/>
    </w:pPr>
    <w:rPr>
      <w:b/>
      <w:sz w:val="32"/>
    </w:rPr>
  </w:style>
  <w:style w:type="character" w:customStyle="1" w:styleId="arialhelvetica131">
    <w:name w:val="arialhelvetica131"/>
    <w:basedOn w:val="DefaultParagraphFont"/>
    <w:rsid w:val="00F167C3"/>
    <w:rPr>
      <w:rFonts w:ascii="Arial" w:hAnsi="Arial" w:cs="Arial"/>
      <w:sz w:val="22"/>
      <w:szCs w:val="22"/>
    </w:rPr>
  </w:style>
  <w:style w:type="character" w:customStyle="1" w:styleId="stdtext1">
    <w:name w:val="stdtext1"/>
    <w:basedOn w:val="DefaultParagraphFont"/>
    <w:rsid w:val="00F167C3"/>
    <w:rPr>
      <w:rFonts w:ascii="Verdana" w:hAnsi="Verdana" w:cs="Times New Roman"/>
      <w:color w:val="666633"/>
      <w:sz w:val="18"/>
      <w:szCs w:val="18"/>
    </w:rPr>
  </w:style>
  <w:style w:type="paragraph" w:styleId="ListBullet2">
    <w:name w:val="List Bullet 2"/>
    <w:basedOn w:val="Normal"/>
    <w:autoRedefine/>
    <w:uiPriority w:val="99"/>
    <w:rsid w:val="00F167C3"/>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39"/>
    <w:semiHidden/>
    <w:rsid w:val="00F167C3"/>
    <w:pPr>
      <w:tabs>
        <w:tab w:val="left" w:pos="360"/>
      </w:tabs>
    </w:pPr>
  </w:style>
  <w:style w:type="paragraph" w:styleId="TOC2">
    <w:name w:val="toc 2"/>
    <w:basedOn w:val="Normal"/>
    <w:next w:val="Normal"/>
    <w:autoRedefine/>
    <w:uiPriority w:val="39"/>
    <w:semiHidden/>
    <w:rsid w:val="00F167C3"/>
    <w:pPr>
      <w:ind w:left="220"/>
    </w:pPr>
  </w:style>
  <w:style w:type="paragraph" w:styleId="TOC3">
    <w:name w:val="toc 3"/>
    <w:basedOn w:val="Normal"/>
    <w:next w:val="Normal"/>
    <w:autoRedefine/>
    <w:uiPriority w:val="39"/>
    <w:semiHidden/>
    <w:rsid w:val="00F167C3"/>
    <w:pPr>
      <w:ind w:left="440"/>
    </w:pPr>
  </w:style>
  <w:style w:type="paragraph" w:styleId="TOC4">
    <w:name w:val="toc 4"/>
    <w:basedOn w:val="Normal"/>
    <w:next w:val="Normal"/>
    <w:autoRedefine/>
    <w:uiPriority w:val="39"/>
    <w:semiHidden/>
    <w:rsid w:val="00F167C3"/>
    <w:pPr>
      <w:ind w:left="660"/>
    </w:pPr>
  </w:style>
  <w:style w:type="paragraph" w:styleId="TOC5">
    <w:name w:val="toc 5"/>
    <w:basedOn w:val="Normal"/>
    <w:next w:val="Normal"/>
    <w:autoRedefine/>
    <w:uiPriority w:val="39"/>
    <w:semiHidden/>
    <w:rsid w:val="00F167C3"/>
    <w:pPr>
      <w:ind w:left="880"/>
    </w:pPr>
  </w:style>
  <w:style w:type="paragraph" w:styleId="TOC6">
    <w:name w:val="toc 6"/>
    <w:basedOn w:val="Normal"/>
    <w:next w:val="Normal"/>
    <w:autoRedefine/>
    <w:uiPriority w:val="39"/>
    <w:semiHidden/>
    <w:rsid w:val="00F167C3"/>
    <w:pPr>
      <w:ind w:left="1100"/>
    </w:pPr>
  </w:style>
  <w:style w:type="paragraph" w:styleId="TOC7">
    <w:name w:val="toc 7"/>
    <w:basedOn w:val="Normal"/>
    <w:next w:val="Normal"/>
    <w:autoRedefine/>
    <w:uiPriority w:val="39"/>
    <w:semiHidden/>
    <w:rsid w:val="00F167C3"/>
    <w:pPr>
      <w:ind w:left="1320"/>
    </w:pPr>
  </w:style>
  <w:style w:type="paragraph" w:styleId="TOC8">
    <w:name w:val="toc 8"/>
    <w:basedOn w:val="Normal"/>
    <w:next w:val="Normal"/>
    <w:autoRedefine/>
    <w:uiPriority w:val="39"/>
    <w:semiHidden/>
    <w:rsid w:val="00F167C3"/>
    <w:pPr>
      <w:ind w:left="1540"/>
    </w:pPr>
  </w:style>
  <w:style w:type="paragraph" w:styleId="TOC9">
    <w:name w:val="toc 9"/>
    <w:basedOn w:val="Normal"/>
    <w:next w:val="Normal"/>
    <w:autoRedefine/>
    <w:uiPriority w:val="39"/>
    <w:semiHidden/>
    <w:rsid w:val="00F167C3"/>
    <w:pPr>
      <w:ind w:left="1760"/>
    </w:pPr>
  </w:style>
  <w:style w:type="character" w:styleId="FollowedHyperlink">
    <w:name w:val="FollowedHyperlink"/>
    <w:basedOn w:val="DefaultParagraphFont"/>
    <w:uiPriority w:val="99"/>
    <w:rsid w:val="00F167C3"/>
    <w:rPr>
      <w:rFonts w:cs="Times New Roman"/>
      <w:color w:val="800080"/>
      <w:u w:val="single"/>
    </w:rPr>
  </w:style>
  <w:style w:type="character" w:styleId="FootnoteReference">
    <w:name w:val="footnote reference"/>
    <w:basedOn w:val="DefaultParagraphFont"/>
    <w:uiPriority w:val="99"/>
    <w:semiHidden/>
    <w:rsid w:val="00F167C3"/>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rsid w:val="00AE7A36"/>
    <w:rPr>
      <w:rFonts w:ascii="Arial" w:hAnsi="Arial"/>
      <w:sz w:val="22"/>
      <w:lang w:val="en-US" w:eastAsia="en-US"/>
    </w:rPr>
  </w:style>
  <w:style w:type="character" w:customStyle="1" w:styleId="inserted1">
    <w:name w:val="inserted1"/>
    <w:basedOn w:val="DefaultParagraphFont"/>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rsid w:val="00B42F39"/>
    <w:rPr>
      <w:rFonts w:ascii="Arial" w:hAnsi="Arial" w:cs="Arial"/>
      <w:color w:val="000000"/>
      <w:sz w:val="18"/>
      <w:szCs w:val="18"/>
      <w:u w:val="none"/>
      <w:effect w:val="none"/>
    </w:rPr>
  </w:style>
  <w:style w:type="table" w:styleId="TableGrid">
    <w:name w:val="Table Grid"/>
    <w:basedOn w:val="TableNormal"/>
    <w:uiPriority w:val="59"/>
    <w:rsid w:val="002A0F7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webb Char"/>
    <w:basedOn w:val="DefaultParagraphFont"/>
    <w:link w:val="NormalWeb"/>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unhideWhenUsed/>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numbering" w:styleId="111111">
    <w:name w:val="Outline List 2"/>
    <w:basedOn w:val="NoList"/>
    <w:uiPriority w:val="99"/>
    <w:semiHidden/>
    <w:unhideWhenUsed/>
    <w:rsid w:val="00AE7A36"/>
    <w:pPr>
      <w:numPr>
        <w:numId w:val="8"/>
      </w:numPr>
    </w:pPr>
  </w:style>
  <w:style w:type="paragraph" w:styleId="BalloonText">
    <w:name w:val="Balloon Text"/>
    <w:basedOn w:val="Normal"/>
    <w:link w:val="BalloonTextChar"/>
    <w:rsid w:val="00382502"/>
    <w:rPr>
      <w:rFonts w:ascii="Tahoma" w:hAnsi="Tahoma" w:cs="Tahoma"/>
      <w:sz w:val="16"/>
      <w:szCs w:val="16"/>
    </w:rPr>
  </w:style>
  <w:style w:type="character" w:customStyle="1" w:styleId="BalloonTextChar">
    <w:name w:val="Balloon Text Char"/>
    <w:basedOn w:val="DefaultParagraphFont"/>
    <w:link w:val="BalloonText"/>
    <w:rsid w:val="003825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7246621">
      <w:marLeft w:val="0"/>
      <w:marRight w:val="0"/>
      <w:marTop w:val="0"/>
      <w:marBottom w:val="0"/>
      <w:divBdr>
        <w:top w:val="none" w:sz="0" w:space="0" w:color="auto"/>
        <w:left w:val="none" w:sz="0" w:space="0" w:color="auto"/>
        <w:bottom w:val="none" w:sz="0" w:space="0" w:color="auto"/>
        <w:right w:val="none" w:sz="0" w:space="0" w:color="auto"/>
      </w:divBdr>
    </w:div>
    <w:div w:id="1057246622">
      <w:marLeft w:val="0"/>
      <w:marRight w:val="0"/>
      <w:marTop w:val="0"/>
      <w:marBottom w:val="0"/>
      <w:divBdr>
        <w:top w:val="none" w:sz="0" w:space="0" w:color="auto"/>
        <w:left w:val="none" w:sz="0" w:space="0" w:color="auto"/>
        <w:bottom w:val="none" w:sz="0" w:space="0" w:color="auto"/>
        <w:right w:val="none" w:sz="0" w:space="0" w:color="auto"/>
      </w:divBdr>
      <w:divsChild>
        <w:div w:id="1057246631">
          <w:marLeft w:val="0"/>
          <w:marRight w:val="0"/>
          <w:marTop w:val="80"/>
          <w:marBottom w:val="0"/>
          <w:divBdr>
            <w:top w:val="single" w:sz="2" w:space="0" w:color="008000"/>
            <w:left w:val="single" w:sz="2" w:space="0" w:color="008000"/>
            <w:bottom w:val="single" w:sz="2" w:space="0" w:color="008000"/>
            <w:right w:val="single" w:sz="2" w:space="0" w:color="008000"/>
          </w:divBdr>
          <w:divsChild>
            <w:div w:id="1057246620">
              <w:marLeft w:val="0"/>
              <w:marRight w:val="0"/>
              <w:marTop w:val="0"/>
              <w:marBottom w:val="0"/>
              <w:divBdr>
                <w:top w:val="single" w:sz="2" w:space="0" w:color="FFA500"/>
                <w:left w:val="single" w:sz="2" w:space="0" w:color="FFA500"/>
                <w:bottom w:val="single" w:sz="2" w:space="0" w:color="FFA500"/>
                <w:right w:val="single" w:sz="2" w:space="0" w:color="FFA500"/>
              </w:divBdr>
              <w:divsChild>
                <w:div w:id="1057246626">
                  <w:marLeft w:val="0"/>
                  <w:marRight w:val="0"/>
                  <w:marTop w:val="0"/>
                  <w:marBottom w:val="0"/>
                  <w:divBdr>
                    <w:top w:val="none" w:sz="0" w:space="0" w:color="auto"/>
                    <w:left w:val="none" w:sz="0" w:space="0" w:color="auto"/>
                    <w:bottom w:val="none" w:sz="0" w:space="0" w:color="auto"/>
                    <w:right w:val="none" w:sz="0" w:space="0" w:color="auto"/>
                  </w:divBdr>
                  <w:divsChild>
                    <w:div w:id="1057246628">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057246623">
      <w:marLeft w:val="0"/>
      <w:marRight w:val="0"/>
      <w:marTop w:val="0"/>
      <w:marBottom w:val="0"/>
      <w:divBdr>
        <w:top w:val="none" w:sz="0" w:space="0" w:color="auto"/>
        <w:left w:val="none" w:sz="0" w:space="0" w:color="auto"/>
        <w:bottom w:val="none" w:sz="0" w:space="0" w:color="auto"/>
        <w:right w:val="none" w:sz="0" w:space="0" w:color="auto"/>
      </w:divBdr>
    </w:div>
    <w:div w:id="1057246624">
      <w:marLeft w:val="0"/>
      <w:marRight w:val="0"/>
      <w:marTop w:val="0"/>
      <w:marBottom w:val="0"/>
      <w:divBdr>
        <w:top w:val="none" w:sz="0" w:space="0" w:color="auto"/>
        <w:left w:val="none" w:sz="0" w:space="0" w:color="auto"/>
        <w:bottom w:val="none" w:sz="0" w:space="0" w:color="auto"/>
        <w:right w:val="none" w:sz="0" w:space="0" w:color="auto"/>
      </w:divBdr>
    </w:div>
    <w:div w:id="1057246625">
      <w:marLeft w:val="0"/>
      <w:marRight w:val="0"/>
      <w:marTop w:val="0"/>
      <w:marBottom w:val="0"/>
      <w:divBdr>
        <w:top w:val="none" w:sz="0" w:space="0" w:color="auto"/>
        <w:left w:val="none" w:sz="0" w:space="0" w:color="auto"/>
        <w:bottom w:val="none" w:sz="0" w:space="0" w:color="auto"/>
        <w:right w:val="none" w:sz="0" w:space="0" w:color="auto"/>
      </w:divBdr>
    </w:div>
    <w:div w:id="1057246627">
      <w:marLeft w:val="0"/>
      <w:marRight w:val="0"/>
      <w:marTop w:val="0"/>
      <w:marBottom w:val="0"/>
      <w:divBdr>
        <w:top w:val="none" w:sz="0" w:space="0" w:color="auto"/>
        <w:left w:val="none" w:sz="0" w:space="0" w:color="auto"/>
        <w:bottom w:val="none" w:sz="0" w:space="0" w:color="auto"/>
        <w:right w:val="none" w:sz="0" w:space="0" w:color="auto"/>
      </w:divBdr>
    </w:div>
    <w:div w:id="1057246629">
      <w:marLeft w:val="0"/>
      <w:marRight w:val="0"/>
      <w:marTop w:val="0"/>
      <w:marBottom w:val="0"/>
      <w:divBdr>
        <w:top w:val="none" w:sz="0" w:space="0" w:color="auto"/>
        <w:left w:val="none" w:sz="0" w:space="0" w:color="auto"/>
        <w:bottom w:val="none" w:sz="0" w:space="0" w:color="auto"/>
        <w:right w:val="none" w:sz="0" w:space="0" w:color="auto"/>
      </w:divBdr>
    </w:div>
    <w:div w:id="1057246630">
      <w:marLeft w:val="0"/>
      <w:marRight w:val="0"/>
      <w:marTop w:val="0"/>
      <w:marBottom w:val="0"/>
      <w:divBdr>
        <w:top w:val="none" w:sz="0" w:space="0" w:color="auto"/>
        <w:left w:val="none" w:sz="0" w:space="0" w:color="auto"/>
        <w:bottom w:val="none" w:sz="0" w:space="0" w:color="auto"/>
        <w:right w:val="none" w:sz="0" w:space="0" w:color="auto"/>
      </w:divBdr>
    </w:div>
    <w:div w:id="1610820210">
      <w:bodyDiv w:val="1"/>
      <w:marLeft w:val="0"/>
      <w:marRight w:val="0"/>
      <w:marTop w:val="0"/>
      <w:marBottom w:val="0"/>
      <w:divBdr>
        <w:top w:val="none" w:sz="0" w:space="0" w:color="auto"/>
        <w:left w:val="none" w:sz="0" w:space="0" w:color="auto"/>
        <w:bottom w:val="none" w:sz="0" w:space="0" w:color="auto"/>
        <w:right w:val="none" w:sz="0" w:space="0" w:color="auto"/>
      </w:divBdr>
    </w:div>
    <w:div w:id="21210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Office_Excel_Worksheet1.xlsx"/><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package" Target="embeddings/Microsoft_Office_Word_Document2.docx"/><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4982</Words>
  <Characters>28398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Place of settlement and place of safekeeping market practice</vt:lpstr>
    </vt:vector>
  </TitlesOfParts>
  <Company>S.W.I.F.T.</Company>
  <LinksUpToDate>false</LinksUpToDate>
  <CharactersWithSpaces>33314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of settlement and place of safekeeping market practice</dc:title>
  <dc:subject/>
  <dc:creator>Alexandre Kech</dc:creator>
  <cp:keywords/>
  <dc:description/>
  <cp:lastModifiedBy>Jacques Littré</cp:lastModifiedBy>
  <cp:revision>20</cp:revision>
  <cp:lastPrinted>2012-03-29T12:28:00Z</cp:lastPrinted>
  <dcterms:created xsi:type="dcterms:W3CDTF">2012-03-29T07:33:00Z</dcterms:created>
  <dcterms:modified xsi:type="dcterms:W3CDTF">2012-04-16T09:25:00Z</dcterms:modified>
</cp:coreProperties>
</file>