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103" w:rsidRPr="007A69C8" w:rsidRDefault="00EB51C4" w:rsidP="00592037">
      <w:pPr>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2pt;margin-top:-27pt;width:296pt;height:222pt;z-index:251657728">
            <v:imagedata r:id="rId8" o:title="SMPG2"/>
            <w10:wrap type="topAndBottom"/>
          </v:shape>
        </w:pict>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Pr="007A69C8" w:rsidRDefault="003562A2"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AB6103" w:rsidRPr="007A69C8" w:rsidRDefault="0076568D" w:rsidP="00592037">
      <w:pPr>
        <w:pStyle w:val="Header"/>
        <w:rPr>
          <w:lang w:val="en-GB"/>
        </w:rPr>
      </w:pPr>
      <w:r w:rsidRPr="005850FF">
        <w:rPr>
          <w:lang w:val="en-GB"/>
        </w:rPr>
        <w:t>Minutes</w:t>
      </w:r>
      <w:r w:rsidR="0057492E">
        <w:rPr>
          <w:lang w:val="en-GB"/>
        </w:rPr>
        <w:t xml:space="preserve"> of </w:t>
      </w:r>
      <w:r w:rsidR="003D56C9">
        <w:rPr>
          <w:lang w:val="en-GB"/>
        </w:rPr>
        <w:t>Athens</w:t>
      </w:r>
      <w:r w:rsidR="0057492E">
        <w:rPr>
          <w:lang w:val="en-GB"/>
        </w:rPr>
        <w:t xml:space="preserve"> Meeting</w:t>
      </w:r>
    </w:p>
    <w:p w:rsidR="00AB6103" w:rsidRPr="007A69C8" w:rsidRDefault="003D56C9" w:rsidP="00592037">
      <w:pPr>
        <w:pStyle w:val="Header"/>
        <w:rPr>
          <w:lang w:val="en-GB"/>
        </w:rPr>
      </w:pPr>
      <w:r>
        <w:rPr>
          <w:lang w:val="en-GB"/>
        </w:rPr>
        <w:t>24 – 26 Apr</w:t>
      </w:r>
      <w:r w:rsidR="00650C44">
        <w:rPr>
          <w:lang w:val="en-GB"/>
        </w:rPr>
        <w:t>.</w:t>
      </w:r>
      <w:r w:rsidR="00B20795">
        <w:rPr>
          <w:lang w:val="en-GB"/>
        </w:rPr>
        <w:t xml:space="preserve"> 201</w:t>
      </w:r>
      <w:r>
        <w:rPr>
          <w:lang w:val="en-GB"/>
        </w:rPr>
        <w:t>2</w:t>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57492E" w:rsidRDefault="007A08A5" w:rsidP="00141100">
      <w:pPr>
        <w:tabs>
          <w:tab w:val="left" w:pos="3690"/>
        </w:tabs>
        <w:rPr>
          <w:lang w:val="en-GB"/>
        </w:rPr>
        <w:sectPr w:rsidR="00AB6103" w:rsidRPr="0057492E">
          <w:footerReference w:type="even" r:id="rId9"/>
          <w:footerReference w:type="default" r:id="rId10"/>
          <w:pgSz w:w="12240" w:h="15840"/>
          <w:pgMar w:top="1106" w:right="1800" w:bottom="1440" w:left="1800" w:header="720" w:footer="720" w:gutter="0"/>
          <w:cols w:space="720"/>
          <w:docGrid w:linePitch="360"/>
        </w:sectPr>
      </w:pPr>
      <w:bookmarkStart w:id="0" w:name="_Toc54501830"/>
      <w:r>
        <w:rPr>
          <w:lang w:val="en-GB"/>
        </w:rPr>
        <w:t>Draft</w:t>
      </w:r>
      <w:r w:rsidR="00BB670F">
        <w:rPr>
          <w:lang w:val="en-GB"/>
        </w:rPr>
        <w:t xml:space="preserve"> Version</w:t>
      </w:r>
      <w:r w:rsidR="00BB670F" w:rsidRPr="0057492E">
        <w:rPr>
          <w:lang w:val="en-GB"/>
        </w:rPr>
        <w:t xml:space="preserve">  </w:t>
      </w:r>
      <w:r w:rsidR="0076568D" w:rsidRPr="0057492E">
        <w:rPr>
          <w:lang w:val="en-GB"/>
        </w:rPr>
        <w:t>v</w:t>
      </w:r>
      <w:r>
        <w:rPr>
          <w:lang w:val="en-GB"/>
        </w:rPr>
        <w:t>0.1</w:t>
      </w:r>
      <w:r w:rsidR="008179FB">
        <w:rPr>
          <w:lang w:val="en-GB"/>
        </w:rPr>
        <w:t xml:space="preserve"> – </w:t>
      </w:r>
      <w:r w:rsidR="003D56C9">
        <w:rPr>
          <w:lang w:val="en-GB"/>
        </w:rPr>
        <w:t xml:space="preserve">May </w:t>
      </w:r>
      <w:r w:rsidR="00486DD6">
        <w:rPr>
          <w:lang w:val="en-GB"/>
        </w:rPr>
        <w:t>10</w:t>
      </w:r>
      <w:r w:rsidR="003D56C9">
        <w:rPr>
          <w:lang w:val="en-GB"/>
        </w:rPr>
        <w:t>, 2012</w:t>
      </w:r>
    </w:p>
    <w:p w:rsidR="00AB6103" w:rsidRDefault="00E81D81" w:rsidP="00592037">
      <w:pPr>
        <w:pStyle w:val="Title1"/>
      </w:pPr>
      <w:r>
        <w:lastRenderedPageBreak/>
        <w:t>Table of Contents</w:t>
      </w:r>
    </w:p>
    <w:p w:rsidR="009A29E6" w:rsidRDefault="00EB51C4">
      <w:pPr>
        <w:pStyle w:val="TOC1"/>
        <w:rPr>
          <w:rFonts w:asciiTheme="minorHAnsi" w:eastAsiaTheme="minorEastAsia" w:hAnsiTheme="minorHAnsi" w:cstheme="minorBidi"/>
          <w:b w:val="0"/>
          <w:bCs w:val="0"/>
          <w:sz w:val="22"/>
          <w:szCs w:val="22"/>
          <w:lang w:val="en-GB" w:eastAsia="en-GB"/>
        </w:rPr>
      </w:pPr>
      <w:r w:rsidRPr="00EB51C4">
        <w:rPr>
          <w:bCs w:val="0"/>
        </w:rPr>
        <w:fldChar w:fldCharType="begin"/>
      </w:r>
      <w:r w:rsidR="00A718E5">
        <w:rPr>
          <w:bCs w:val="0"/>
        </w:rPr>
        <w:instrText xml:space="preserve"> TOC \o "1-1" \h \z \u </w:instrText>
      </w:r>
      <w:r w:rsidRPr="00EB51C4">
        <w:rPr>
          <w:bCs w:val="0"/>
        </w:rPr>
        <w:fldChar w:fldCharType="separate"/>
      </w:r>
      <w:hyperlink w:anchor="_Toc324436887" w:history="1">
        <w:r w:rsidR="009A29E6" w:rsidRPr="00F16F4B">
          <w:rPr>
            <w:rStyle w:val="Hyperlink"/>
          </w:rPr>
          <w:t>1.</w:t>
        </w:r>
        <w:r w:rsidR="009A29E6">
          <w:rPr>
            <w:rFonts w:asciiTheme="minorHAnsi" w:eastAsiaTheme="minorEastAsia" w:hAnsiTheme="minorHAnsi" w:cstheme="minorBidi"/>
            <w:b w:val="0"/>
            <w:bCs w:val="0"/>
            <w:sz w:val="22"/>
            <w:szCs w:val="22"/>
            <w:lang w:val="en-GB" w:eastAsia="en-GB"/>
          </w:rPr>
          <w:tab/>
        </w:r>
        <w:r w:rsidR="009A29E6" w:rsidRPr="00F16F4B">
          <w:rPr>
            <w:rStyle w:val="Hyperlink"/>
          </w:rPr>
          <w:t>Minutes / Notes takers</w:t>
        </w:r>
        <w:r w:rsidR="009A29E6">
          <w:rPr>
            <w:webHidden/>
          </w:rPr>
          <w:tab/>
        </w:r>
        <w:r w:rsidR="009A29E6">
          <w:rPr>
            <w:webHidden/>
          </w:rPr>
          <w:fldChar w:fldCharType="begin"/>
        </w:r>
        <w:r w:rsidR="009A29E6">
          <w:rPr>
            <w:webHidden/>
          </w:rPr>
          <w:instrText xml:space="preserve"> PAGEREF _Toc324436887 \h </w:instrText>
        </w:r>
        <w:r w:rsidR="009A29E6">
          <w:rPr>
            <w:webHidden/>
          </w:rPr>
        </w:r>
        <w:r w:rsidR="009A29E6">
          <w:rPr>
            <w:webHidden/>
          </w:rPr>
          <w:fldChar w:fldCharType="separate"/>
        </w:r>
        <w:r w:rsidR="009A29E6">
          <w:rPr>
            <w:webHidden/>
          </w:rPr>
          <w:t>4</w:t>
        </w:r>
        <w:r w:rsidR="009A29E6">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88" w:history="1">
        <w:r w:rsidRPr="00F16F4B">
          <w:rPr>
            <w:rStyle w:val="Hyperlink"/>
          </w:rPr>
          <w:t>2.</w:t>
        </w:r>
        <w:r>
          <w:rPr>
            <w:rFonts w:asciiTheme="minorHAnsi" w:eastAsiaTheme="minorEastAsia" w:hAnsiTheme="minorHAnsi" w:cstheme="minorBidi"/>
            <w:b w:val="0"/>
            <w:bCs w:val="0"/>
            <w:sz w:val="22"/>
            <w:szCs w:val="22"/>
            <w:lang w:val="en-GB" w:eastAsia="en-GB"/>
          </w:rPr>
          <w:tab/>
        </w:r>
        <w:r w:rsidRPr="00F16F4B">
          <w:rPr>
            <w:rStyle w:val="Hyperlink"/>
          </w:rPr>
          <w:t>Next Telco/Meeting Schedule 2012</w:t>
        </w:r>
        <w:r>
          <w:rPr>
            <w:webHidden/>
          </w:rPr>
          <w:tab/>
        </w:r>
        <w:r>
          <w:rPr>
            <w:webHidden/>
          </w:rPr>
          <w:fldChar w:fldCharType="begin"/>
        </w:r>
        <w:r>
          <w:rPr>
            <w:webHidden/>
          </w:rPr>
          <w:instrText xml:space="preserve"> PAGEREF _Toc324436888 \h </w:instrText>
        </w:r>
        <w:r>
          <w:rPr>
            <w:webHidden/>
          </w:rPr>
        </w:r>
        <w:r>
          <w:rPr>
            <w:webHidden/>
          </w:rPr>
          <w:fldChar w:fldCharType="separate"/>
        </w:r>
        <w:r>
          <w:rPr>
            <w:webHidden/>
          </w:rPr>
          <w:t>4</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89" w:history="1">
        <w:r w:rsidRPr="00F16F4B">
          <w:rPr>
            <w:rStyle w:val="Hyperlink"/>
          </w:rPr>
          <w:t>3.</w:t>
        </w:r>
        <w:r>
          <w:rPr>
            <w:rFonts w:asciiTheme="minorHAnsi" w:eastAsiaTheme="minorEastAsia" w:hAnsiTheme="minorHAnsi" w:cstheme="minorBidi"/>
            <w:b w:val="0"/>
            <w:bCs w:val="0"/>
            <w:sz w:val="22"/>
            <w:szCs w:val="22"/>
            <w:lang w:val="en-GB" w:eastAsia="en-GB"/>
          </w:rPr>
          <w:tab/>
        </w:r>
        <w:r w:rsidRPr="00F16F4B">
          <w:rPr>
            <w:rStyle w:val="Hyperlink"/>
            <w:lang w:eastAsia="en-GB"/>
          </w:rPr>
          <w:t>Approval of March 28 Minutes</w:t>
        </w:r>
        <w:r>
          <w:rPr>
            <w:webHidden/>
          </w:rPr>
          <w:tab/>
        </w:r>
        <w:r>
          <w:rPr>
            <w:webHidden/>
          </w:rPr>
          <w:fldChar w:fldCharType="begin"/>
        </w:r>
        <w:r>
          <w:rPr>
            <w:webHidden/>
          </w:rPr>
          <w:instrText xml:space="preserve"> PAGEREF _Toc324436889 \h </w:instrText>
        </w:r>
        <w:r>
          <w:rPr>
            <w:webHidden/>
          </w:rPr>
        </w:r>
        <w:r>
          <w:rPr>
            <w:webHidden/>
          </w:rPr>
          <w:fldChar w:fldCharType="separate"/>
        </w:r>
        <w:r>
          <w:rPr>
            <w:webHidden/>
          </w:rPr>
          <w:t>4</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0" w:history="1">
        <w:r w:rsidRPr="00F16F4B">
          <w:rPr>
            <w:rStyle w:val="Hyperlink"/>
          </w:rPr>
          <w:t>4.</w:t>
        </w:r>
        <w:r>
          <w:rPr>
            <w:rFonts w:asciiTheme="minorHAnsi" w:eastAsiaTheme="minorEastAsia" w:hAnsiTheme="minorHAnsi" w:cstheme="minorBidi"/>
            <w:b w:val="0"/>
            <w:bCs w:val="0"/>
            <w:sz w:val="22"/>
            <w:szCs w:val="22"/>
            <w:lang w:val="en-GB" w:eastAsia="en-GB"/>
          </w:rPr>
          <w:tab/>
        </w:r>
        <w:r w:rsidRPr="00F16F4B">
          <w:rPr>
            <w:rStyle w:val="Hyperlink"/>
          </w:rPr>
          <w:t>CA 203 – Part 2 EIG+ &amp; Templates Remaining Issues</w:t>
        </w:r>
        <w:r>
          <w:rPr>
            <w:webHidden/>
          </w:rPr>
          <w:tab/>
        </w:r>
        <w:r>
          <w:rPr>
            <w:webHidden/>
          </w:rPr>
          <w:fldChar w:fldCharType="begin"/>
        </w:r>
        <w:r>
          <w:rPr>
            <w:webHidden/>
          </w:rPr>
          <w:instrText xml:space="preserve"> PAGEREF _Toc324436890 \h </w:instrText>
        </w:r>
        <w:r>
          <w:rPr>
            <w:webHidden/>
          </w:rPr>
        </w:r>
        <w:r>
          <w:rPr>
            <w:webHidden/>
          </w:rPr>
          <w:fldChar w:fldCharType="separate"/>
        </w:r>
        <w:r>
          <w:rPr>
            <w:webHidden/>
          </w:rPr>
          <w:t>4</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1" w:history="1">
        <w:r w:rsidRPr="00F16F4B">
          <w:rPr>
            <w:rStyle w:val="Hyperlink"/>
          </w:rPr>
          <w:t>5.</w:t>
        </w:r>
        <w:r>
          <w:rPr>
            <w:rFonts w:asciiTheme="minorHAnsi" w:eastAsiaTheme="minorEastAsia" w:hAnsiTheme="minorHAnsi" w:cstheme="minorBidi"/>
            <w:b w:val="0"/>
            <w:bCs w:val="0"/>
            <w:sz w:val="22"/>
            <w:szCs w:val="22"/>
            <w:lang w:val="en-GB" w:eastAsia="en-GB"/>
          </w:rPr>
          <w:tab/>
        </w:r>
        <w:r w:rsidRPr="00F16F4B">
          <w:rPr>
            <w:rStyle w:val="Hyperlink"/>
          </w:rPr>
          <w:t>CA 202 - Funds related CA Events</w:t>
        </w:r>
        <w:r>
          <w:rPr>
            <w:webHidden/>
          </w:rPr>
          <w:tab/>
        </w:r>
        <w:r>
          <w:rPr>
            <w:webHidden/>
          </w:rPr>
          <w:fldChar w:fldCharType="begin"/>
        </w:r>
        <w:r>
          <w:rPr>
            <w:webHidden/>
          </w:rPr>
          <w:instrText xml:space="preserve"> PAGEREF _Toc324436891 \h </w:instrText>
        </w:r>
        <w:r>
          <w:rPr>
            <w:webHidden/>
          </w:rPr>
        </w:r>
        <w:r>
          <w:rPr>
            <w:webHidden/>
          </w:rPr>
          <w:fldChar w:fldCharType="separate"/>
        </w:r>
        <w:r>
          <w:rPr>
            <w:webHidden/>
          </w:rPr>
          <w:t>8</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2" w:history="1">
        <w:r w:rsidRPr="00F16F4B">
          <w:rPr>
            <w:rStyle w:val="Hyperlink"/>
          </w:rPr>
          <w:t>6.</w:t>
        </w:r>
        <w:r>
          <w:rPr>
            <w:rFonts w:asciiTheme="minorHAnsi" w:eastAsiaTheme="minorEastAsia" w:hAnsiTheme="minorHAnsi" w:cstheme="minorBidi"/>
            <w:b w:val="0"/>
            <w:bCs w:val="0"/>
            <w:sz w:val="22"/>
            <w:szCs w:val="22"/>
            <w:lang w:val="en-GB" w:eastAsia="en-GB"/>
          </w:rPr>
          <w:tab/>
        </w:r>
        <w:r w:rsidRPr="00F16F4B">
          <w:rPr>
            <w:rStyle w:val="Hyperlink"/>
          </w:rPr>
          <w:t>CA 214 - MT567 definition of PACK vs. PEND</w:t>
        </w:r>
        <w:r>
          <w:rPr>
            <w:webHidden/>
          </w:rPr>
          <w:tab/>
        </w:r>
        <w:r>
          <w:rPr>
            <w:webHidden/>
          </w:rPr>
          <w:fldChar w:fldCharType="begin"/>
        </w:r>
        <w:r>
          <w:rPr>
            <w:webHidden/>
          </w:rPr>
          <w:instrText xml:space="preserve"> PAGEREF _Toc324436892 \h </w:instrText>
        </w:r>
        <w:r>
          <w:rPr>
            <w:webHidden/>
          </w:rPr>
        </w:r>
        <w:r>
          <w:rPr>
            <w:webHidden/>
          </w:rPr>
          <w:fldChar w:fldCharType="separate"/>
        </w:r>
        <w:r>
          <w:rPr>
            <w:webHidden/>
          </w:rPr>
          <w:t>8</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3" w:history="1">
        <w:r w:rsidRPr="00F16F4B">
          <w:rPr>
            <w:rStyle w:val="Hyperlink"/>
          </w:rPr>
          <w:t>7.</w:t>
        </w:r>
        <w:r>
          <w:rPr>
            <w:rFonts w:asciiTheme="minorHAnsi" w:eastAsiaTheme="minorEastAsia" w:hAnsiTheme="minorHAnsi" w:cstheme="minorBidi"/>
            <w:b w:val="0"/>
            <w:bCs w:val="0"/>
            <w:sz w:val="22"/>
            <w:szCs w:val="22"/>
            <w:lang w:val="en-GB" w:eastAsia="en-GB"/>
          </w:rPr>
          <w:tab/>
        </w:r>
        <w:r w:rsidRPr="00F16F4B">
          <w:rPr>
            <w:rStyle w:val="Hyperlink"/>
          </w:rPr>
          <w:t>CA 224 - MT 56X - New Event Type  INFO &amp; new INFO Indicator</w:t>
        </w:r>
        <w:r>
          <w:rPr>
            <w:webHidden/>
          </w:rPr>
          <w:tab/>
        </w:r>
        <w:r>
          <w:rPr>
            <w:webHidden/>
          </w:rPr>
          <w:fldChar w:fldCharType="begin"/>
        </w:r>
        <w:r>
          <w:rPr>
            <w:webHidden/>
          </w:rPr>
          <w:instrText xml:space="preserve"> PAGEREF _Toc324436893 \h </w:instrText>
        </w:r>
        <w:r>
          <w:rPr>
            <w:webHidden/>
          </w:rPr>
        </w:r>
        <w:r>
          <w:rPr>
            <w:webHidden/>
          </w:rPr>
          <w:fldChar w:fldCharType="separate"/>
        </w:r>
        <w:r>
          <w:rPr>
            <w:webHidden/>
          </w:rPr>
          <w:t>9</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4" w:history="1">
        <w:r w:rsidRPr="00F16F4B">
          <w:rPr>
            <w:rStyle w:val="Hyperlink"/>
          </w:rPr>
          <w:t>8.</w:t>
        </w:r>
        <w:r>
          <w:rPr>
            <w:rFonts w:asciiTheme="minorHAnsi" w:eastAsiaTheme="minorEastAsia" w:hAnsiTheme="minorHAnsi" w:cstheme="minorBidi"/>
            <w:b w:val="0"/>
            <w:bCs w:val="0"/>
            <w:sz w:val="22"/>
            <w:szCs w:val="22"/>
            <w:lang w:val="en-GB" w:eastAsia="en-GB"/>
          </w:rPr>
          <w:tab/>
        </w:r>
        <w:r w:rsidRPr="00F16F4B">
          <w:rPr>
            <w:rStyle w:val="Hyperlink"/>
          </w:rPr>
          <w:t>CA 223 - MT 56X - New Event Type for Partial Redemption in Pro-Rata</w:t>
        </w:r>
        <w:r>
          <w:rPr>
            <w:webHidden/>
          </w:rPr>
          <w:tab/>
        </w:r>
        <w:r>
          <w:rPr>
            <w:webHidden/>
          </w:rPr>
          <w:fldChar w:fldCharType="begin"/>
        </w:r>
        <w:r>
          <w:rPr>
            <w:webHidden/>
          </w:rPr>
          <w:instrText xml:space="preserve"> PAGEREF _Toc324436894 \h </w:instrText>
        </w:r>
        <w:r>
          <w:rPr>
            <w:webHidden/>
          </w:rPr>
        </w:r>
        <w:r>
          <w:rPr>
            <w:webHidden/>
          </w:rPr>
          <w:fldChar w:fldCharType="separate"/>
        </w:r>
        <w:r>
          <w:rPr>
            <w:webHidden/>
          </w:rPr>
          <w:t>10</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5" w:history="1">
        <w:r w:rsidRPr="00F16F4B">
          <w:rPr>
            <w:rStyle w:val="Hyperlink"/>
          </w:rPr>
          <w:t>9.</w:t>
        </w:r>
        <w:r>
          <w:rPr>
            <w:rFonts w:asciiTheme="minorHAnsi" w:eastAsiaTheme="minorEastAsia" w:hAnsiTheme="minorHAnsi" w:cstheme="minorBidi"/>
            <w:b w:val="0"/>
            <w:bCs w:val="0"/>
            <w:sz w:val="22"/>
            <w:szCs w:val="22"/>
            <w:lang w:val="en-GB" w:eastAsia="en-GB"/>
          </w:rPr>
          <w:tab/>
        </w:r>
        <w:r w:rsidRPr="00F16F4B">
          <w:rPr>
            <w:rStyle w:val="Hyperlink"/>
          </w:rPr>
          <w:t>CA 226 - Disclosure (DSCL) event - Clarify usage / market practice</w:t>
        </w:r>
        <w:r>
          <w:rPr>
            <w:webHidden/>
          </w:rPr>
          <w:tab/>
        </w:r>
        <w:r>
          <w:rPr>
            <w:webHidden/>
          </w:rPr>
          <w:fldChar w:fldCharType="begin"/>
        </w:r>
        <w:r>
          <w:rPr>
            <w:webHidden/>
          </w:rPr>
          <w:instrText xml:space="preserve"> PAGEREF _Toc324436895 \h </w:instrText>
        </w:r>
        <w:r>
          <w:rPr>
            <w:webHidden/>
          </w:rPr>
        </w:r>
        <w:r>
          <w:rPr>
            <w:webHidden/>
          </w:rPr>
          <w:fldChar w:fldCharType="separate"/>
        </w:r>
        <w:r>
          <w:rPr>
            <w:webHidden/>
          </w:rPr>
          <w:t>10</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6" w:history="1">
        <w:r w:rsidRPr="00F16F4B">
          <w:rPr>
            <w:rStyle w:val="Hyperlink"/>
          </w:rPr>
          <w:t>10.</w:t>
        </w:r>
        <w:r>
          <w:rPr>
            <w:rFonts w:asciiTheme="minorHAnsi" w:eastAsiaTheme="minorEastAsia" w:hAnsiTheme="minorHAnsi" w:cstheme="minorBidi"/>
            <w:b w:val="0"/>
            <w:bCs w:val="0"/>
            <w:sz w:val="22"/>
            <w:szCs w:val="22"/>
            <w:lang w:val="en-GB" w:eastAsia="en-GB"/>
          </w:rPr>
          <w:tab/>
        </w:r>
        <w:r w:rsidRPr="00F16F4B">
          <w:rPr>
            <w:rStyle w:val="Hyperlink"/>
          </w:rPr>
          <w:t>CA 167 - Consent Events /+ Schemes - Clarify business flows.</w:t>
        </w:r>
        <w:r>
          <w:rPr>
            <w:webHidden/>
          </w:rPr>
          <w:tab/>
        </w:r>
        <w:r>
          <w:rPr>
            <w:webHidden/>
          </w:rPr>
          <w:fldChar w:fldCharType="begin"/>
        </w:r>
        <w:r>
          <w:rPr>
            <w:webHidden/>
          </w:rPr>
          <w:instrText xml:space="preserve"> PAGEREF _Toc324436896 \h </w:instrText>
        </w:r>
        <w:r>
          <w:rPr>
            <w:webHidden/>
          </w:rPr>
        </w:r>
        <w:r>
          <w:rPr>
            <w:webHidden/>
          </w:rPr>
          <w:fldChar w:fldCharType="separate"/>
        </w:r>
        <w:r>
          <w:rPr>
            <w:webHidden/>
          </w:rPr>
          <w:t>11</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7" w:history="1">
        <w:r w:rsidRPr="00F16F4B">
          <w:rPr>
            <w:rStyle w:val="Hyperlink"/>
          </w:rPr>
          <w:t>11.</w:t>
        </w:r>
        <w:r>
          <w:rPr>
            <w:rFonts w:asciiTheme="minorHAnsi" w:eastAsiaTheme="minorEastAsia" w:hAnsiTheme="minorHAnsi" w:cstheme="minorBidi"/>
            <w:b w:val="0"/>
            <w:bCs w:val="0"/>
            <w:sz w:val="22"/>
            <w:szCs w:val="22"/>
            <w:lang w:val="en-GB" w:eastAsia="en-GB"/>
          </w:rPr>
          <w:tab/>
        </w:r>
        <w:r w:rsidRPr="00F16F4B">
          <w:rPr>
            <w:rStyle w:val="Hyperlink"/>
          </w:rPr>
          <w:t>CA 194 - Reinvestment of Fund Cash Distribution</w:t>
        </w:r>
        <w:r>
          <w:rPr>
            <w:webHidden/>
          </w:rPr>
          <w:tab/>
        </w:r>
        <w:r>
          <w:rPr>
            <w:webHidden/>
          </w:rPr>
          <w:fldChar w:fldCharType="begin"/>
        </w:r>
        <w:r>
          <w:rPr>
            <w:webHidden/>
          </w:rPr>
          <w:instrText xml:space="preserve"> PAGEREF _Toc324436897 \h </w:instrText>
        </w:r>
        <w:r>
          <w:rPr>
            <w:webHidden/>
          </w:rPr>
        </w:r>
        <w:r>
          <w:rPr>
            <w:webHidden/>
          </w:rPr>
          <w:fldChar w:fldCharType="separate"/>
        </w:r>
        <w:r>
          <w:rPr>
            <w:webHidden/>
          </w:rPr>
          <w:t>11</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8" w:history="1">
        <w:r w:rsidRPr="00F16F4B">
          <w:rPr>
            <w:rStyle w:val="Hyperlink"/>
          </w:rPr>
          <w:t>12.</w:t>
        </w:r>
        <w:r>
          <w:rPr>
            <w:rFonts w:asciiTheme="minorHAnsi" w:eastAsiaTheme="minorEastAsia" w:hAnsiTheme="minorHAnsi" w:cstheme="minorBidi"/>
            <w:b w:val="0"/>
            <w:bCs w:val="0"/>
            <w:sz w:val="22"/>
            <w:szCs w:val="22"/>
            <w:lang w:val="en-GB" w:eastAsia="en-GB"/>
          </w:rPr>
          <w:tab/>
        </w:r>
        <w:r w:rsidRPr="00F16F4B">
          <w:rPr>
            <w:rStyle w:val="Hyperlink"/>
          </w:rPr>
          <w:t>CA 225 - MT 565 - Add Option Features, Rates and Narrative (Option Numbering)</w:t>
        </w:r>
        <w:r>
          <w:rPr>
            <w:webHidden/>
          </w:rPr>
          <w:tab/>
        </w:r>
        <w:r>
          <w:rPr>
            <w:webHidden/>
          </w:rPr>
          <w:fldChar w:fldCharType="begin"/>
        </w:r>
        <w:r>
          <w:rPr>
            <w:webHidden/>
          </w:rPr>
          <w:instrText xml:space="preserve"> PAGEREF _Toc324436898 \h </w:instrText>
        </w:r>
        <w:r>
          <w:rPr>
            <w:webHidden/>
          </w:rPr>
        </w:r>
        <w:r>
          <w:rPr>
            <w:webHidden/>
          </w:rPr>
          <w:fldChar w:fldCharType="separate"/>
        </w:r>
        <w:r>
          <w:rPr>
            <w:webHidden/>
          </w:rPr>
          <w:t>12</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899" w:history="1">
        <w:r w:rsidRPr="00F16F4B">
          <w:rPr>
            <w:rStyle w:val="Hyperlink"/>
          </w:rPr>
          <w:t>13.</w:t>
        </w:r>
        <w:r>
          <w:rPr>
            <w:rFonts w:asciiTheme="minorHAnsi" w:eastAsiaTheme="minorEastAsia" w:hAnsiTheme="minorHAnsi" w:cstheme="minorBidi"/>
            <w:b w:val="0"/>
            <w:bCs w:val="0"/>
            <w:sz w:val="22"/>
            <w:szCs w:val="22"/>
            <w:lang w:val="en-GB" w:eastAsia="en-GB"/>
          </w:rPr>
          <w:tab/>
        </w:r>
        <w:r w:rsidRPr="00F16F4B">
          <w:rPr>
            <w:rStyle w:val="Hyperlink"/>
          </w:rPr>
          <w:t>CA 230 - SOFE and INCE redundancy</w:t>
        </w:r>
        <w:r>
          <w:rPr>
            <w:webHidden/>
          </w:rPr>
          <w:tab/>
        </w:r>
        <w:r>
          <w:rPr>
            <w:webHidden/>
          </w:rPr>
          <w:fldChar w:fldCharType="begin"/>
        </w:r>
        <w:r>
          <w:rPr>
            <w:webHidden/>
          </w:rPr>
          <w:instrText xml:space="preserve"> PAGEREF _Toc324436899 \h </w:instrText>
        </w:r>
        <w:r>
          <w:rPr>
            <w:webHidden/>
          </w:rPr>
        </w:r>
        <w:r>
          <w:rPr>
            <w:webHidden/>
          </w:rPr>
          <w:fldChar w:fldCharType="separate"/>
        </w:r>
        <w:r>
          <w:rPr>
            <w:webHidden/>
          </w:rPr>
          <w:t>13</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0" w:history="1">
        <w:r w:rsidRPr="00F16F4B">
          <w:rPr>
            <w:rStyle w:val="Hyperlink"/>
          </w:rPr>
          <w:t>14.</w:t>
        </w:r>
        <w:r>
          <w:rPr>
            <w:rFonts w:asciiTheme="minorHAnsi" w:eastAsiaTheme="minorEastAsia" w:hAnsiTheme="minorHAnsi" w:cstheme="minorBidi"/>
            <w:b w:val="0"/>
            <w:bCs w:val="0"/>
            <w:sz w:val="22"/>
            <w:szCs w:val="22"/>
            <w:lang w:val="en-GB" w:eastAsia="en-GB"/>
          </w:rPr>
          <w:tab/>
        </w:r>
        <w:r w:rsidRPr="00F16F4B">
          <w:rPr>
            <w:rStyle w:val="Hyperlink"/>
          </w:rPr>
          <w:t>CA 231 - Interim and Final Dividend</w:t>
        </w:r>
        <w:r>
          <w:rPr>
            <w:webHidden/>
          </w:rPr>
          <w:tab/>
        </w:r>
        <w:r>
          <w:rPr>
            <w:webHidden/>
          </w:rPr>
          <w:fldChar w:fldCharType="begin"/>
        </w:r>
        <w:r>
          <w:rPr>
            <w:webHidden/>
          </w:rPr>
          <w:instrText xml:space="preserve"> PAGEREF _Toc324436900 \h </w:instrText>
        </w:r>
        <w:r>
          <w:rPr>
            <w:webHidden/>
          </w:rPr>
        </w:r>
        <w:r>
          <w:rPr>
            <w:webHidden/>
          </w:rPr>
          <w:fldChar w:fldCharType="separate"/>
        </w:r>
        <w:r>
          <w:rPr>
            <w:webHidden/>
          </w:rPr>
          <w:t>13</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1" w:history="1">
        <w:r w:rsidRPr="00F16F4B">
          <w:rPr>
            <w:rStyle w:val="Hyperlink"/>
          </w:rPr>
          <w:t>15.</w:t>
        </w:r>
        <w:r>
          <w:rPr>
            <w:rFonts w:asciiTheme="minorHAnsi" w:eastAsiaTheme="minorEastAsia" w:hAnsiTheme="minorHAnsi" w:cstheme="minorBidi"/>
            <w:b w:val="0"/>
            <w:bCs w:val="0"/>
            <w:sz w:val="22"/>
            <w:szCs w:val="22"/>
            <w:lang w:val="en-GB" w:eastAsia="en-GB"/>
          </w:rPr>
          <w:tab/>
        </w:r>
        <w:r w:rsidRPr="00F16F4B">
          <w:rPr>
            <w:rStyle w:val="Hyperlink"/>
          </w:rPr>
          <w:t>CA 210 - Overelection/subcription market practice review</w:t>
        </w:r>
        <w:r>
          <w:rPr>
            <w:webHidden/>
          </w:rPr>
          <w:tab/>
        </w:r>
        <w:r>
          <w:rPr>
            <w:webHidden/>
          </w:rPr>
          <w:fldChar w:fldCharType="begin"/>
        </w:r>
        <w:r>
          <w:rPr>
            <w:webHidden/>
          </w:rPr>
          <w:instrText xml:space="preserve"> PAGEREF _Toc324436901 \h </w:instrText>
        </w:r>
        <w:r>
          <w:rPr>
            <w:webHidden/>
          </w:rPr>
        </w:r>
        <w:r>
          <w:rPr>
            <w:webHidden/>
          </w:rPr>
          <w:fldChar w:fldCharType="separate"/>
        </w:r>
        <w:r>
          <w:rPr>
            <w:webHidden/>
          </w:rPr>
          <w:t>13</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2" w:history="1">
        <w:r w:rsidRPr="00F16F4B">
          <w:rPr>
            <w:rStyle w:val="Hyperlink"/>
          </w:rPr>
          <w:t>16.</w:t>
        </w:r>
        <w:r>
          <w:rPr>
            <w:rFonts w:asciiTheme="minorHAnsi" w:eastAsiaTheme="minorEastAsia" w:hAnsiTheme="minorHAnsi" w:cstheme="minorBidi"/>
            <w:b w:val="0"/>
            <w:bCs w:val="0"/>
            <w:sz w:val="22"/>
            <w:szCs w:val="22"/>
            <w:lang w:val="en-GB" w:eastAsia="en-GB"/>
          </w:rPr>
          <w:tab/>
        </w:r>
        <w:r w:rsidRPr="00F16F4B">
          <w:rPr>
            <w:rStyle w:val="Hyperlink"/>
          </w:rPr>
          <w:t>CA 232 - Pagination MP</w:t>
        </w:r>
        <w:r>
          <w:rPr>
            <w:webHidden/>
          </w:rPr>
          <w:tab/>
        </w:r>
        <w:r>
          <w:rPr>
            <w:webHidden/>
          </w:rPr>
          <w:fldChar w:fldCharType="begin"/>
        </w:r>
        <w:r>
          <w:rPr>
            <w:webHidden/>
          </w:rPr>
          <w:instrText xml:space="preserve"> PAGEREF _Toc324436902 \h </w:instrText>
        </w:r>
        <w:r>
          <w:rPr>
            <w:webHidden/>
          </w:rPr>
        </w:r>
        <w:r>
          <w:rPr>
            <w:webHidden/>
          </w:rPr>
          <w:fldChar w:fldCharType="separate"/>
        </w:r>
        <w:r>
          <w:rPr>
            <w:webHidden/>
          </w:rPr>
          <w:t>13</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3" w:history="1">
        <w:r w:rsidRPr="00F16F4B">
          <w:rPr>
            <w:rStyle w:val="Hyperlink"/>
          </w:rPr>
          <w:t>17.</w:t>
        </w:r>
        <w:r>
          <w:rPr>
            <w:rFonts w:asciiTheme="minorHAnsi" w:eastAsiaTheme="minorEastAsia" w:hAnsiTheme="minorHAnsi" w:cstheme="minorBidi"/>
            <w:b w:val="0"/>
            <w:bCs w:val="0"/>
            <w:sz w:val="22"/>
            <w:szCs w:val="22"/>
            <w:lang w:val="en-GB" w:eastAsia="en-GB"/>
          </w:rPr>
          <w:tab/>
        </w:r>
        <w:r w:rsidRPr="00F16F4B">
          <w:rPr>
            <w:rStyle w:val="Hyperlink"/>
          </w:rPr>
          <w:t>CA 233 - Buyer / Broker Protection Deadline</w:t>
        </w:r>
        <w:r>
          <w:rPr>
            <w:webHidden/>
          </w:rPr>
          <w:tab/>
        </w:r>
        <w:r>
          <w:rPr>
            <w:webHidden/>
          </w:rPr>
          <w:fldChar w:fldCharType="begin"/>
        </w:r>
        <w:r>
          <w:rPr>
            <w:webHidden/>
          </w:rPr>
          <w:instrText xml:space="preserve"> PAGEREF _Toc324436903 \h </w:instrText>
        </w:r>
        <w:r>
          <w:rPr>
            <w:webHidden/>
          </w:rPr>
        </w:r>
        <w:r>
          <w:rPr>
            <w:webHidden/>
          </w:rPr>
          <w:fldChar w:fldCharType="separate"/>
        </w:r>
        <w:r>
          <w:rPr>
            <w:webHidden/>
          </w:rPr>
          <w:t>14</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4" w:history="1">
        <w:r w:rsidRPr="00F16F4B">
          <w:rPr>
            <w:rStyle w:val="Hyperlink"/>
          </w:rPr>
          <w:t>18.</w:t>
        </w:r>
        <w:r>
          <w:rPr>
            <w:rFonts w:asciiTheme="minorHAnsi" w:eastAsiaTheme="minorEastAsia" w:hAnsiTheme="minorHAnsi" w:cstheme="minorBidi"/>
            <w:b w:val="0"/>
            <w:bCs w:val="0"/>
            <w:sz w:val="22"/>
            <w:szCs w:val="22"/>
            <w:lang w:val="en-GB" w:eastAsia="en-GB"/>
          </w:rPr>
          <w:tab/>
        </w:r>
        <w:r w:rsidRPr="00F16F4B">
          <w:rPr>
            <w:rStyle w:val="Hyperlink"/>
          </w:rPr>
          <w:t>Additional items</w:t>
        </w:r>
        <w:r>
          <w:rPr>
            <w:webHidden/>
          </w:rPr>
          <w:tab/>
        </w:r>
        <w:r>
          <w:rPr>
            <w:webHidden/>
          </w:rPr>
          <w:fldChar w:fldCharType="begin"/>
        </w:r>
        <w:r>
          <w:rPr>
            <w:webHidden/>
          </w:rPr>
          <w:instrText xml:space="preserve"> PAGEREF _Toc324436904 \h </w:instrText>
        </w:r>
        <w:r>
          <w:rPr>
            <w:webHidden/>
          </w:rPr>
        </w:r>
        <w:r>
          <w:rPr>
            <w:webHidden/>
          </w:rPr>
          <w:fldChar w:fldCharType="separate"/>
        </w:r>
        <w:r>
          <w:rPr>
            <w:webHidden/>
          </w:rPr>
          <w:t>14</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5" w:history="1">
        <w:r w:rsidRPr="00F16F4B">
          <w:rPr>
            <w:rStyle w:val="Hyperlink"/>
          </w:rPr>
          <w:t>19.</w:t>
        </w:r>
        <w:r>
          <w:rPr>
            <w:rFonts w:asciiTheme="minorHAnsi" w:eastAsiaTheme="minorEastAsia" w:hAnsiTheme="minorHAnsi" w:cstheme="minorBidi"/>
            <w:b w:val="0"/>
            <w:bCs w:val="0"/>
            <w:sz w:val="22"/>
            <w:szCs w:val="22"/>
            <w:lang w:val="en-GB" w:eastAsia="en-GB"/>
          </w:rPr>
          <w:tab/>
        </w:r>
        <w:r w:rsidRPr="00F16F4B">
          <w:rPr>
            <w:rStyle w:val="Hyperlink"/>
          </w:rPr>
          <w:t>GMP1 Subgroup Status Report (Veronique)</w:t>
        </w:r>
        <w:r>
          <w:rPr>
            <w:webHidden/>
          </w:rPr>
          <w:tab/>
        </w:r>
        <w:r>
          <w:rPr>
            <w:webHidden/>
          </w:rPr>
          <w:fldChar w:fldCharType="begin"/>
        </w:r>
        <w:r>
          <w:rPr>
            <w:webHidden/>
          </w:rPr>
          <w:instrText xml:space="preserve"> PAGEREF _Toc324436905 \h </w:instrText>
        </w:r>
        <w:r>
          <w:rPr>
            <w:webHidden/>
          </w:rPr>
        </w:r>
        <w:r>
          <w:rPr>
            <w:webHidden/>
          </w:rPr>
          <w:fldChar w:fldCharType="separate"/>
        </w:r>
        <w:r>
          <w:rPr>
            <w:webHidden/>
          </w:rPr>
          <w:t>15</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6" w:history="1">
        <w:r w:rsidRPr="00F16F4B">
          <w:rPr>
            <w:rStyle w:val="Hyperlink"/>
          </w:rPr>
          <w:t>20.</w:t>
        </w:r>
        <w:r>
          <w:rPr>
            <w:rFonts w:asciiTheme="minorHAnsi" w:eastAsiaTheme="minorEastAsia" w:hAnsiTheme="minorHAnsi" w:cstheme="minorBidi"/>
            <w:b w:val="0"/>
            <w:bCs w:val="0"/>
            <w:sz w:val="22"/>
            <w:szCs w:val="22"/>
            <w:lang w:val="en-GB" w:eastAsia="en-GB"/>
          </w:rPr>
          <w:tab/>
        </w:r>
        <w:r w:rsidRPr="00F16F4B">
          <w:rPr>
            <w:rStyle w:val="Hyperlink"/>
          </w:rPr>
          <w:t>Tax Subgroup Status Report (Bernard)</w:t>
        </w:r>
        <w:r>
          <w:rPr>
            <w:webHidden/>
          </w:rPr>
          <w:tab/>
        </w:r>
        <w:r>
          <w:rPr>
            <w:webHidden/>
          </w:rPr>
          <w:fldChar w:fldCharType="begin"/>
        </w:r>
        <w:r>
          <w:rPr>
            <w:webHidden/>
          </w:rPr>
          <w:instrText xml:space="preserve"> PAGEREF _Toc324436906 \h </w:instrText>
        </w:r>
        <w:r>
          <w:rPr>
            <w:webHidden/>
          </w:rPr>
        </w:r>
        <w:r>
          <w:rPr>
            <w:webHidden/>
          </w:rPr>
          <w:fldChar w:fldCharType="separate"/>
        </w:r>
        <w:r>
          <w:rPr>
            <w:webHidden/>
          </w:rPr>
          <w:t>15</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7" w:history="1">
        <w:r w:rsidRPr="00F16F4B">
          <w:rPr>
            <w:rStyle w:val="Hyperlink"/>
          </w:rPr>
          <w:t>21.</w:t>
        </w:r>
        <w:r>
          <w:rPr>
            <w:rFonts w:asciiTheme="minorHAnsi" w:eastAsiaTheme="minorEastAsia" w:hAnsiTheme="minorHAnsi" w:cstheme="minorBidi"/>
            <w:b w:val="0"/>
            <w:bCs w:val="0"/>
            <w:sz w:val="22"/>
            <w:szCs w:val="22"/>
            <w:lang w:val="en-GB" w:eastAsia="en-GB"/>
          </w:rPr>
          <w:tab/>
        </w:r>
        <w:r w:rsidRPr="00F16F4B">
          <w:rPr>
            <w:rStyle w:val="Hyperlink"/>
          </w:rPr>
          <w:t>Proxy Voting Subgroup Status Report (Christine)</w:t>
        </w:r>
        <w:r>
          <w:rPr>
            <w:webHidden/>
          </w:rPr>
          <w:tab/>
        </w:r>
        <w:r>
          <w:rPr>
            <w:webHidden/>
          </w:rPr>
          <w:fldChar w:fldCharType="begin"/>
        </w:r>
        <w:r>
          <w:rPr>
            <w:webHidden/>
          </w:rPr>
          <w:instrText xml:space="preserve"> PAGEREF _Toc324436907 \h </w:instrText>
        </w:r>
        <w:r>
          <w:rPr>
            <w:webHidden/>
          </w:rPr>
        </w:r>
        <w:r>
          <w:rPr>
            <w:webHidden/>
          </w:rPr>
          <w:fldChar w:fldCharType="separate"/>
        </w:r>
        <w:r>
          <w:rPr>
            <w:webHidden/>
          </w:rPr>
          <w:t>16</w:t>
        </w:r>
        <w:r>
          <w:rPr>
            <w:webHidden/>
          </w:rPr>
          <w:fldChar w:fldCharType="end"/>
        </w:r>
      </w:hyperlink>
    </w:p>
    <w:p w:rsidR="009A29E6" w:rsidRDefault="009A29E6">
      <w:pPr>
        <w:pStyle w:val="TOC1"/>
        <w:rPr>
          <w:rFonts w:asciiTheme="minorHAnsi" w:eastAsiaTheme="minorEastAsia" w:hAnsiTheme="minorHAnsi" w:cstheme="minorBidi"/>
          <w:b w:val="0"/>
          <w:bCs w:val="0"/>
          <w:sz w:val="22"/>
          <w:szCs w:val="22"/>
          <w:lang w:val="en-GB" w:eastAsia="en-GB"/>
        </w:rPr>
      </w:pPr>
      <w:hyperlink w:anchor="_Toc324436908" w:history="1">
        <w:r w:rsidRPr="00F16F4B">
          <w:rPr>
            <w:rStyle w:val="Hyperlink"/>
          </w:rPr>
          <w:t>22.</w:t>
        </w:r>
        <w:r>
          <w:rPr>
            <w:rFonts w:asciiTheme="minorHAnsi" w:eastAsiaTheme="minorEastAsia" w:hAnsiTheme="minorHAnsi" w:cstheme="minorBidi"/>
            <w:b w:val="0"/>
            <w:bCs w:val="0"/>
            <w:sz w:val="22"/>
            <w:szCs w:val="22"/>
            <w:lang w:val="en-GB" w:eastAsia="en-GB"/>
          </w:rPr>
          <w:tab/>
        </w:r>
        <w:r w:rsidRPr="00F16F4B">
          <w:rPr>
            <w:rStyle w:val="Hyperlink"/>
          </w:rPr>
          <w:t>Contribution of the CA WG to a new SMPG presentation</w:t>
        </w:r>
        <w:r>
          <w:rPr>
            <w:webHidden/>
          </w:rPr>
          <w:tab/>
        </w:r>
        <w:r>
          <w:rPr>
            <w:webHidden/>
          </w:rPr>
          <w:fldChar w:fldCharType="begin"/>
        </w:r>
        <w:r>
          <w:rPr>
            <w:webHidden/>
          </w:rPr>
          <w:instrText xml:space="preserve"> PAGEREF _Toc324436908 \h </w:instrText>
        </w:r>
        <w:r>
          <w:rPr>
            <w:webHidden/>
          </w:rPr>
        </w:r>
        <w:r>
          <w:rPr>
            <w:webHidden/>
          </w:rPr>
          <w:fldChar w:fldCharType="separate"/>
        </w:r>
        <w:r>
          <w:rPr>
            <w:webHidden/>
          </w:rPr>
          <w:t>16</w:t>
        </w:r>
        <w:r>
          <w:rPr>
            <w:webHidden/>
          </w:rPr>
          <w:fldChar w:fldCharType="end"/>
        </w:r>
      </w:hyperlink>
    </w:p>
    <w:p w:rsidR="00AB6103" w:rsidRDefault="00EB51C4" w:rsidP="00A718E5">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1" w:name="OLE_LINK1"/>
      <w:bookmarkStart w:id="2" w:name="OLE_LINK2"/>
      <w:r w:rsidR="00AB6103" w:rsidRPr="00C11FA9">
        <w:lastRenderedPageBreak/>
        <w:t>Attendees</w:t>
      </w:r>
      <w:bookmarkEnd w:id="0"/>
    </w:p>
    <w:p w:rsidR="003D56C9" w:rsidRDefault="003D56C9" w:rsidP="003D56C9"/>
    <w:tbl>
      <w:tblPr>
        <w:tblW w:w="500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tblPr>
      <w:tblGrid>
        <w:gridCol w:w="1132"/>
        <w:gridCol w:w="1427"/>
        <w:gridCol w:w="1353"/>
        <w:gridCol w:w="2083"/>
        <w:gridCol w:w="3455"/>
      </w:tblGrid>
      <w:tr w:rsidR="003D56C9" w:rsidRPr="00ED35A1" w:rsidTr="00ED35A1">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b/>
                <w:lang w:val="en-GB"/>
              </w:rPr>
            </w:pPr>
          </w:p>
        </w:tc>
        <w:tc>
          <w:tcPr>
            <w:tcW w:w="755" w:type="pct"/>
            <w:tcBorders>
              <w:left w:val="single" w:sz="4" w:space="0" w:color="auto"/>
            </w:tcBorders>
            <w:shd w:val="clear" w:color="auto" w:fill="CCCCCC"/>
            <w:vAlign w:val="center"/>
          </w:tcPr>
          <w:p w:rsidR="003D56C9" w:rsidRPr="00ED35A1" w:rsidRDefault="003D56C9" w:rsidP="00ED35A1">
            <w:pPr>
              <w:rPr>
                <w:b/>
                <w:lang w:val="en-GB"/>
              </w:rPr>
            </w:pPr>
            <w:r w:rsidRPr="00ED35A1">
              <w:rPr>
                <w:b/>
                <w:lang w:val="en-GB"/>
              </w:rPr>
              <w:t>Country</w:t>
            </w:r>
          </w:p>
        </w:tc>
        <w:tc>
          <w:tcPr>
            <w:tcW w:w="716" w:type="pct"/>
            <w:shd w:val="clear" w:color="auto" w:fill="CCCCCC"/>
            <w:vAlign w:val="center"/>
          </w:tcPr>
          <w:p w:rsidR="003D56C9" w:rsidRPr="00ED35A1" w:rsidRDefault="003D56C9" w:rsidP="00ED35A1">
            <w:pPr>
              <w:rPr>
                <w:b/>
                <w:lang w:val="en-GB"/>
              </w:rPr>
            </w:pPr>
            <w:r w:rsidRPr="00ED35A1">
              <w:rPr>
                <w:b/>
                <w:lang w:val="en-GB"/>
              </w:rPr>
              <w:t>First Name</w:t>
            </w:r>
          </w:p>
        </w:tc>
        <w:tc>
          <w:tcPr>
            <w:tcW w:w="1102" w:type="pct"/>
            <w:shd w:val="clear" w:color="auto" w:fill="CCCCCC"/>
            <w:vAlign w:val="center"/>
          </w:tcPr>
          <w:p w:rsidR="003D56C9" w:rsidRPr="00ED35A1" w:rsidRDefault="003D56C9" w:rsidP="00ED35A1">
            <w:pPr>
              <w:rPr>
                <w:b/>
                <w:lang w:val="en-GB"/>
              </w:rPr>
            </w:pPr>
            <w:r w:rsidRPr="00ED35A1">
              <w:rPr>
                <w:b/>
                <w:lang w:val="en-GB"/>
              </w:rPr>
              <w:t>Last Name</w:t>
            </w:r>
          </w:p>
        </w:tc>
        <w:tc>
          <w:tcPr>
            <w:tcW w:w="1828" w:type="pct"/>
            <w:shd w:val="clear" w:color="auto" w:fill="CCCCCC"/>
            <w:vAlign w:val="center"/>
          </w:tcPr>
          <w:p w:rsidR="003D56C9" w:rsidRPr="00ED35A1" w:rsidRDefault="003D56C9" w:rsidP="00ED35A1">
            <w:pPr>
              <w:rPr>
                <w:b/>
                <w:lang w:val="en-GB"/>
              </w:rPr>
            </w:pPr>
            <w:r w:rsidRPr="00ED35A1">
              <w:rPr>
                <w:b/>
                <w:lang w:val="en-GB"/>
              </w:rPr>
              <w:t>Institution</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snapToGrid w:val="0"/>
                <w:color w:val="000000"/>
                <w:lang w:val="en-GB"/>
              </w:rPr>
            </w:pPr>
          </w:p>
        </w:tc>
        <w:tc>
          <w:tcPr>
            <w:tcW w:w="755" w:type="pct"/>
            <w:tcBorders>
              <w:left w:val="single" w:sz="4" w:space="0" w:color="auto"/>
            </w:tcBorders>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BE</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 xml:space="preserve">Véronique </w:t>
            </w:r>
          </w:p>
        </w:tc>
        <w:tc>
          <w:tcPr>
            <w:tcW w:w="1102" w:type="pct"/>
            <w:shd w:val="clear" w:color="auto" w:fill="FFFFFF"/>
            <w:vAlign w:val="center"/>
          </w:tcPr>
          <w:p w:rsidR="003D56C9" w:rsidRPr="00ED35A1" w:rsidRDefault="003D56C9" w:rsidP="00ED35A1">
            <w:pPr>
              <w:rPr>
                <w:snapToGrid w:val="0"/>
                <w:color w:val="000000"/>
                <w:lang w:val="en-GB"/>
              </w:rPr>
            </w:pPr>
            <w:r w:rsidRPr="00ED35A1">
              <w:rPr>
                <w:snapToGrid w:val="0"/>
                <w:lang w:val="en-GB"/>
              </w:rPr>
              <w:t>Peeters</w:t>
            </w:r>
          </w:p>
        </w:tc>
        <w:tc>
          <w:tcPr>
            <w:tcW w:w="1828" w:type="pct"/>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BNY Mellon</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ind w:left="1440" w:hanging="1440"/>
              <w:rPr>
                <w:lang w:val="en-GB"/>
              </w:rPr>
            </w:pPr>
          </w:p>
        </w:tc>
        <w:tc>
          <w:tcPr>
            <w:tcW w:w="755" w:type="pct"/>
            <w:tcBorders>
              <w:left w:val="single" w:sz="4" w:space="0" w:color="auto"/>
            </w:tcBorders>
            <w:shd w:val="clear" w:color="auto" w:fill="FFFFFF"/>
            <w:vAlign w:val="center"/>
          </w:tcPr>
          <w:p w:rsidR="003D56C9" w:rsidRPr="00ED35A1" w:rsidRDefault="003D56C9" w:rsidP="00ED35A1">
            <w:pPr>
              <w:ind w:left="1440" w:hanging="1440"/>
              <w:rPr>
                <w:lang w:val="en-GB"/>
              </w:rPr>
            </w:pPr>
            <w:r w:rsidRPr="00ED35A1">
              <w:rPr>
                <w:lang w:val="en-GB"/>
              </w:rPr>
              <w:t>CH</w:t>
            </w:r>
          </w:p>
        </w:tc>
        <w:tc>
          <w:tcPr>
            <w:tcW w:w="716" w:type="pct"/>
            <w:shd w:val="clear" w:color="auto" w:fill="FFFFFF"/>
            <w:vAlign w:val="center"/>
          </w:tcPr>
          <w:p w:rsidR="003D56C9" w:rsidRPr="00ED35A1" w:rsidRDefault="003D56C9" w:rsidP="00ED35A1">
            <w:pPr>
              <w:pStyle w:val="CommentText"/>
              <w:ind w:left="1440" w:hanging="1440"/>
              <w:rPr>
                <w:lang w:val="en-GB"/>
              </w:rPr>
            </w:pPr>
            <w:r w:rsidRPr="00ED35A1">
              <w:rPr>
                <w:lang w:val="en-GB"/>
              </w:rPr>
              <w:t>Michael</w:t>
            </w:r>
          </w:p>
        </w:tc>
        <w:tc>
          <w:tcPr>
            <w:tcW w:w="1102" w:type="pct"/>
            <w:shd w:val="clear" w:color="auto" w:fill="FFFFFF"/>
            <w:vAlign w:val="center"/>
          </w:tcPr>
          <w:p w:rsidR="003D56C9" w:rsidRPr="00ED35A1" w:rsidRDefault="003D56C9" w:rsidP="00ED35A1">
            <w:pPr>
              <w:ind w:left="1440" w:hanging="1440"/>
              <w:rPr>
                <w:lang w:val="en-GB"/>
              </w:rPr>
            </w:pPr>
            <w:r w:rsidRPr="00ED35A1">
              <w:rPr>
                <w:lang w:val="en-GB"/>
              </w:rPr>
              <w:t>Blumer</w:t>
            </w:r>
          </w:p>
        </w:tc>
        <w:tc>
          <w:tcPr>
            <w:tcW w:w="1828" w:type="pct"/>
            <w:shd w:val="clear" w:color="auto" w:fill="FFFFFF"/>
            <w:vAlign w:val="center"/>
          </w:tcPr>
          <w:p w:rsidR="003D56C9" w:rsidRPr="00ED35A1" w:rsidRDefault="003D56C9" w:rsidP="00ED35A1">
            <w:pPr>
              <w:ind w:left="1440" w:hanging="1440"/>
              <w:rPr>
                <w:lang w:val="en-GB"/>
              </w:rPr>
            </w:pPr>
            <w:r w:rsidRPr="00ED35A1">
              <w:rPr>
                <w:lang w:val="en-GB"/>
              </w:rPr>
              <w:t>Credit Suisse</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ind w:left="1440" w:hanging="1440"/>
              <w:rPr>
                <w:lang w:val="en-GB"/>
              </w:rPr>
            </w:pPr>
          </w:p>
        </w:tc>
        <w:tc>
          <w:tcPr>
            <w:tcW w:w="755" w:type="pct"/>
            <w:tcBorders>
              <w:left w:val="single" w:sz="4" w:space="0" w:color="auto"/>
            </w:tcBorders>
            <w:shd w:val="clear" w:color="auto" w:fill="FFFFFF"/>
            <w:vAlign w:val="center"/>
          </w:tcPr>
          <w:p w:rsidR="003D56C9" w:rsidRPr="00ED35A1" w:rsidRDefault="003D56C9" w:rsidP="00ED35A1">
            <w:pPr>
              <w:ind w:left="1440" w:hanging="1440"/>
              <w:rPr>
                <w:lang w:val="en-GB"/>
              </w:rPr>
            </w:pPr>
            <w:r w:rsidRPr="00ED35A1">
              <w:rPr>
                <w:lang w:val="en-GB"/>
              </w:rPr>
              <w:t>DE</w:t>
            </w:r>
          </w:p>
        </w:tc>
        <w:tc>
          <w:tcPr>
            <w:tcW w:w="716" w:type="pct"/>
            <w:shd w:val="clear" w:color="auto" w:fill="FFFFFF"/>
            <w:vAlign w:val="center"/>
          </w:tcPr>
          <w:p w:rsidR="003D56C9" w:rsidRPr="00ED35A1" w:rsidRDefault="003D56C9" w:rsidP="00ED35A1">
            <w:pPr>
              <w:pStyle w:val="CommentText"/>
              <w:ind w:left="1440" w:hanging="1440"/>
              <w:rPr>
                <w:lang w:val="en-GB"/>
              </w:rPr>
            </w:pPr>
            <w:r w:rsidRPr="00ED35A1">
              <w:rPr>
                <w:lang w:val="en-GB"/>
              </w:rPr>
              <w:t>Andreana</w:t>
            </w:r>
          </w:p>
        </w:tc>
        <w:tc>
          <w:tcPr>
            <w:tcW w:w="1102" w:type="pct"/>
            <w:shd w:val="clear" w:color="auto" w:fill="FFFFFF"/>
            <w:vAlign w:val="center"/>
          </w:tcPr>
          <w:p w:rsidR="003D56C9" w:rsidRPr="00ED35A1" w:rsidRDefault="003D56C9" w:rsidP="00ED35A1">
            <w:pPr>
              <w:ind w:left="1440" w:hanging="1440"/>
              <w:rPr>
                <w:lang w:val="en-GB"/>
              </w:rPr>
            </w:pPr>
            <w:r w:rsidRPr="00ED35A1">
              <w:rPr>
                <w:lang w:val="en-GB"/>
              </w:rPr>
              <w:t>Pileri</w:t>
            </w:r>
          </w:p>
        </w:tc>
        <w:tc>
          <w:tcPr>
            <w:tcW w:w="1828" w:type="pct"/>
            <w:shd w:val="clear" w:color="auto" w:fill="FFFFFF"/>
            <w:vAlign w:val="center"/>
          </w:tcPr>
          <w:p w:rsidR="003D56C9" w:rsidRPr="00ED35A1" w:rsidRDefault="003D56C9" w:rsidP="00ED35A1">
            <w:pPr>
              <w:ind w:left="1440" w:hanging="1440"/>
              <w:rPr>
                <w:lang w:val="en-GB"/>
              </w:rPr>
            </w:pPr>
            <w:r w:rsidRPr="00ED35A1">
              <w:rPr>
                <w:lang w:val="en-GB"/>
              </w:rPr>
              <w:t>Commerzbank AG</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pStyle w:val="CommentText"/>
              <w:rPr>
                <w:lang w:val="en-GB"/>
              </w:rPr>
            </w:pPr>
          </w:p>
        </w:tc>
        <w:tc>
          <w:tcPr>
            <w:tcW w:w="755" w:type="pct"/>
            <w:tcBorders>
              <w:left w:val="single" w:sz="4" w:space="0" w:color="auto"/>
            </w:tcBorders>
            <w:shd w:val="clear" w:color="auto" w:fill="FFFFFF"/>
            <w:vAlign w:val="center"/>
          </w:tcPr>
          <w:p w:rsidR="003D56C9" w:rsidRPr="00ED35A1" w:rsidRDefault="003D56C9" w:rsidP="00ED35A1">
            <w:pPr>
              <w:pStyle w:val="CommentText"/>
              <w:rPr>
                <w:lang w:val="en-GB"/>
              </w:rPr>
            </w:pPr>
            <w:r w:rsidRPr="00ED35A1">
              <w:rPr>
                <w:lang w:val="en-GB"/>
              </w:rPr>
              <w:t>DK</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Charlotte</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Ravn</w:t>
            </w:r>
          </w:p>
        </w:tc>
        <w:tc>
          <w:tcPr>
            <w:tcW w:w="1828" w:type="pct"/>
            <w:shd w:val="clear" w:color="auto" w:fill="FFFFFF"/>
            <w:vAlign w:val="center"/>
          </w:tcPr>
          <w:p w:rsidR="003D56C9" w:rsidRPr="00ED35A1" w:rsidRDefault="003D56C9" w:rsidP="00ED35A1">
            <w:pPr>
              <w:rPr>
                <w:lang w:val="en-GB"/>
              </w:rPr>
            </w:pPr>
            <w:r w:rsidRPr="00ED35A1">
              <w:rPr>
                <w:lang w:val="en-GB"/>
              </w:rPr>
              <w:t>VP Securities</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pStyle w:val="CommentText"/>
              <w:rPr>
                <w:lang w:val="en-GB"/>
              </w:rPr>
            </w:pPr>
          </w:p>
        </w:tc>
        <w:tc>
          <w:tcPr>
            <w:tcW w:w="755" w:type="pct"/>
            <w:tcBorders>
              <w:left w:val="single" w:sz="4" w:space="0" w:color="auto"/>
            </w:tcBorders>
            <w:shd w:val="clear" w:color="auto" w:fill="FFFFFF"/>
            <w:vAlign w:val="center"/>
          </w:tcPr>
          <w:p w:rsidR="003D56C9" w:rsidRPr="00ED35A1" w:rsidRDefault="003D56C9" w:rsidP="00ED35A1">
            <w:pPr>
              <w:pStyle w:val="CommentText"/>
              <w:rPr>
                <w:lang w:val="en-GB"/>
              </w:rPr>
            </w:pPr>
            <w:r w:rsidRPr="00ED35A1">
              <w:rPr>
                <w:lang w:val="en-GB"/>
              </w:rPr>
              <w:t>FI</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Sari</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Rask</w:t>
            </w:r>
          </w:p>
        </w:tc>
        <w:tc>
          <w:tcPr>
            <w:tcW w:w="1828" w:type="pct"/>
            <w:shd w:val="clear" w:color="auto" w:fill="FFFFFF"/>
            <w:vAlign w:val="center"/>
          </w:tcPr>
          <w:p w:rsidR="003D56C9" w:rsidRPr="00ED35A1" w:rsidRDefault="003D56C9" w:rsidP="00ED35A1">
            <w:pPr>
              <w:rPr>
                <w:lang w:val="en-GB"/>
              </w:rPr>
            </w:pPr>
            <w:r w:rsidRPr="00ED35A1">
              <w:rPr>
                <w:lang w:val="en-GB"/>
              </w:rPr>
              <w:t>Nordea Bank Norway</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pStyle w:val="CommentText"/>
              <w:rPr>
                <w:lang w:val="en-GB"/>
              </w:rPr>
            </w:pPr>
          </w:p>
        </w:tc>
        <w:tc>
          <w:tcPr>
            <w:tcW w:w="755" w:type="pct"/>
            <w:tcBorders>
              <w:left w:val="single" w:sz="4" w:space="0" w:color="auto"/>
            </w:tcBorders>
            <w:shd w:val="clear" w:color="auto" w:fill="FFFFFF"/>
            <w:vAlign w:val="center"/>
          </w:tcPr>
          <w:p w:rsidR="003D56C9" w:rsidRPr="00ED35A1" w:rsidRDefault="003D56C9" w:rsidP="00ED35A1">
            <w:pPr>
              <w:pStyle w:val="CommentText"/>
              <w:rPr>
                <w:lang w:val="en-GB"/>
              </w:rPr>
            </w:pPr>
            <w:r w:rsidRPr="00ED35A1">
              <w:rPr>
                <w:lang w:val="en-GB"/>
              </w:rPr>
              <w:t>FR</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Kimchi</w:t>
            </w:r>
          </w:p>
        </w:tc>
        <w:tc>
          <w:tcPr>
            <w:tcW w:w="1102" w:type="pct"/>
            <w:shd w:val="clear" w:color="auto" w:fill="FFFFFF"/>
            <w:vAlign w:val="center"/>
          </w:tcPr>
          <w:p w:rsidR="003D56C9" w:rsidRPr="00ED35A1" w:rsidRDefault="003D56C9" w:rsidP="00ED35A1">
            <w:pPr>
              <w:rPr>
                <w:lang w:val="en-GB"/>
              </w:rPr>
            </w:pPr>
            <w:r w:rsidRPr="00ED35A1">
              <w:rPr>
                <w:snapToGrid w:val="0"/>
                <w:lang w:val="en-GB"/>
              </w:rPr>
              <w:t>Phungtran</w:t>
            </w:r>
          </w:p>
        </w:tc>
        <w:tc>
          <w:tcPr>
            <w:tcW w:w="1828" w:type="pct"/>
            <w:shd w:val="clear" w:color="auto" w:fill="FFFFFF"/>
            <w:vAlign w:val="center"/>
          </w:tcPr>
          <w:p w:rsidR="003D56C9" w:rsidRPr="00ED35A1" w:rsidRDefault="003D56C9" w:rsidP="00ED35A1">
            <w:pPr>
              <w:rPr>
                <w:lang w:val="en-GB"/>
              </w:rPr>
            </w:pPr>
            <w:r w:rsidRPr="00ED35A1">
              <w:rPr>
                <w:lang w:val="en-GB"/>
              </w:rPr>
              <w:t>BNP Paribas</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pStyle w:val="CommentText"/>
              <w:rPr>
                <w:lang w:val="en-GB"/>
              </w:rPr>
            </w:pPr>
          </w:p>
        </w:tc>
        <w:tc>
          <w:tcPr>
            <w:tcW w:w="755" w:type="pct"/>
            <w:tcBorders>
              <w:left w:val="single" w:sz="4" w:space="0" w:color="auto"/>
            </w:tcBorders>
            <w:shd w:val="clear" w:color="auto" w:fill="FFFFFF"/>
            <w:vAlign w:val="center"/>
          </w:tcPr>
          <w:p w:rsidR="003D56C9" w:rsidRPr="00ED35A1" w:rsidRDefault="003D56C9" w:rsidP="00ED35A1">
            <w:pPr>
              <w:pStyle w:val="CommentText"/>
              <w:rPr>
                <w:lang w:val="en-GB"/>
              </w:rPr>
            </w:pPr>
            <w:r w:rsidRPr="00ED35A1">
              <w:rPr>
                <w:lang w:val="en-GB"/>
              </w:rPr>
              <w:t>GR</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Lena</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Efthimiou</w:t>
            </w:r>
          </w:p>
        </w:tc>
        <w:tc>
          <w:tcPr>
            <w:tcW w:w="1828" w:type="pct"/>
            <w:shd w:val="clear" w:color="auto" w:fill="FFFFFF"/>
            <w:vAlign w:val="center"/>
          </w:tcPr>
          <w:p w:rsidR="003D56C9" w:rsidRPr="00ED35A1" w:rsidRDefault="003D56C9" w:rsidP="00ED35A1">
            <w:pPr>
              <w:rPr>
                <w:lang w:val="en-GB"/>
              </w:rPr>
            </w:pPr>
            <w:r w:rsidRPr="00ED35A1">
              <w:rPr>
                <w:lang w:val="en-GB"/>
              </w:rPr>
              <w:t>National Bank of Greece</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ICSD</w:t>
            </w:r>
          </w:p>
        </w:tc>
        <w:tc>
          <w:tcPr>
            <w:tcW w:w="716" w:type="pct"/>
            <w:shd w:val="clear" w:color="auto" w:fill="FFFFFF"/>
            <w:vAlign w:val="center"/>
          </w:tcPr>
          <w:p w:rsidR="003D56C9" w:rsidRPr="00ED35A1" w:rsidRDefault="003D56C9" w:rsidP="00ED35A1">
            <w:pPr>
              <w:pStyle w:val="CommentText"/>
              <w:rPr>
                <w:lang w:val="en-GB"/>
              </w:rPr>
            </w:pPr>
            <w:r w:rsidRPr="00ED35A1">
              <w:rPr>
                <w:lang w:val="en-GB"/>
              </w:rPr>
              <w:t>Delphine</w:t>
            </w:r>
          </w:p>
        </w:tc>
        <w:tc>
          <w:tcPr>
            <w:tcW w:w="1102" w:type="pct"/>
            <w:shd w:val="clear" w:color="auto" w:fill="FFFFFF"/>
            <w:vAlign w:val="center"/>
          </w:tcPr>
          <w:p w:rsidR="003D56C9" w:rsidRPr="00ED35A1" w:rsidRDefault="003D56C9" w:rsidP="00ED35A1">
            <w:pPr>
              <w:rPr>
                <w:lang w:val="en-GB"/>
              </w:rPr>
            </w:pPr>
            <w:r w:rsidRPr="00ED35A1">
              <w:rPr>
                <w:lang w:val="en-GB"/>
              </w:rPr>
              <w:t>Haillez</w:t>
            </w:r>
          </w:p>
        </w:tc>
        <w:tc>
          <w:tcPr>
            <w:tcW w:w="1828" w:type="pct"/>
            <w:shd w:val="clear" w:color="auto" w:fill="FFFFFF"/>
            <w:vAlign w:val="center"/>
          </w:tcPr>
          <w:p w:rsidR="003D56C9" w:rsidRPr="00ED35A1" w:rsidRDefault="003D56C9" w:rsidP="00ED35A1">
            <w:pPr>
              <w:rPr>
                <w:lang w:val="en-GB"/>
              </w:rPr>
            </w:pPr>
            <w:r w:rsidRPr="00ED35A1">
              <w:rPr>
                <w:lang w:val="en-GB"/>
              </w:rPr>
              <w:t>Euroclear</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JP</w:t>
            </w:r>
          </w:p>
        </w:tc>
        <w:tc>
          <w:tcPr>
            <w:tcW w:w="716" w:type="pct"/>
            <w:shd w:val="clear" w:color="auto" w:fill="FFFFFF"/>
            <w:vAlign w:val="center"/>
          </w:tcPr>
          <w:p w:rsidR="003D56C9" w:rsidRPr="00ED35A1" w:rsidRDefault="003D56C9" w:rsidP="00ED35A1">
            <w:pPr>
              <w:rPr>
                <w:lang w:val="en-GB"/>
              </w:rPr>
            </w:pPr>
            <w:r w:rsidRPr="00ED35A1">
              <w:rPr>
                <w:lang w:val="en-GB"/>
              </w:rPr>
              <w:t>Ichiro</w:t>
            </w:r>
          </w:p>
        </w:tc>
        <w:tc>
          <w:tcPr>
            <w:tcW w:w="1102" w:type="pct"/>
            <w:shd w:val="clear" w:color="auto" w:fill="FFFFFF"/>
            <w:vAlign w:val="center"/>
          </w:tcPr>
          <w:p w:rsidR="003D56C9" w:rsidRPr="00ED35A1" w:rsidRDefault="003D56C9" w:rsidP="00ED35A1">
            <w:pPr>
              <w:rPr>
                <w:lang w:val="en-GB"/>
              </w:rPr>
            </w:pPr>
            <w:r w:rsidRPr="00ED35A1">
              <w:rPr>
                <w:lang w:val="en-GB"/>
              </w:rPr>
              <w:t>Yamamoto</w:t>
            </w:r>
          </w:p>
        </w:tc>
        <w:tc>
          <w:tcPr>
            <w:tcW w:w="1828" w:type="pct"/>
            <w:shd w:val="clear" w:color="auto" w:fill="FFFFFF"/>
            <w:vAlign w:val="center"/>
          </w:tcPr>
          <w:p w:rsidR="003D56C9" w:rsidRPr="00ED35A1" w:rsidRDefault="003D56C9" w:rsidP="00ED35A1">
            <w:pPr>
              <w:rPr>
                <w:lang w:val="en-GB"/>
              </w:rPr>
            </w:pPr>
            <w:r w:rsidRPr="00ED35A1">
              <w:rPr>
                <w:lang w:val="en-GB"/>
              </w:rPr>
              <w:t>Mizuho Corporate Bank</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r w:rsidRPr="00ED35A1">
              <w:rPr>
                <w:lang w:val="en-GB"/>
              </w:rPr>
              <w:t>Co-chair</w:t>
            </w: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LU</w:t>
            </w:r>
          </w:p>
        </w:tc>
        <w:tc>
          <w:tcPr>
            <w:tcW w:w="716" w:type="pct"/>
            <w:shd w:val="clear" w:color="auto" w:fill="FFFFFF"/>
            <w:vAlign w:val="center"/>
          </w:tcPr>
          <w:p w:rsidR="003D56C9" w:rsidRPr="00ED35A1" w:rsidRDefault="003D56C9" w:rsidP="00ED35A1">
            <w:pPr>
              <w:rPr>
                <w:lang w:val="en-GB"/>
              </w:rPr>
            </w:pPr>
            <w:r w:rsidRPr="00ED35A1">
              <w:rPr>
                <w:lang w:val="en-GB"/>
              </w:rPr>
              <w:t xml:space="preserve">Bernard </w:t>
            </w:r>
          </w:p>
        </w:tc>
        <w:tc>
          <w:tcPr>
            <w:tcW w:w="1102" w:type="pct"/>
            <w:shd w:val="clear" w:color="auto" w:fill="FFFFFF"/>
            <w:vAlign w:val="center"/>
          </w:tcPr>
          <w:p w:rsidR="003D56C9" w:rsidRPr="00ED35A1" w:rsidRDefault="003D56C9" w:rsidP="00ED35A1">
            <w:pPr>
              <w:rPr>
                <w:lang w:val="en-GB"/>
              </w:rPr>
            </w:pPr>
            <w:r w:rsidRPr="00ED35A1">
              <w:rPr>
                <w:lang w:val="en-GB"/>
              </w:rPr>
              <w:t>Lenelle</w:t>
            </w:r>
          </w:p>
        </w:tc>
        <w:tc>
          <w:tcPr>
            <w:tcW w:w="1828" w:type="pct"/>
            <w:shd w:val="clear" w:color="auto" w:fill="FFFFFF"/>
            <w:vAlign w:val="center"/>
          </w:tcPr>
          <w:p w:rsidR="003D56C9" w:rsidRPr="00ED35A1" w:rsidRDefault="003D56C9" w:rsidP="00ED35A1">
            <w:pPr>
              <w:rPr>
                <w:lang w:val="en-GB"/>
              </w:rPr>
            </w:pPr>
            <w:r w:rsidRPr="00ED35A1">
              <w:rPr>
                <w:lang w:val="en-GB"/>
              </w:rPr>
              <w:t>Clearstream Banking</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snapToGrid w:val="0"/>
                <w:color w:val="000000"/>
                <w:lang w:val="en-GB"/>
              </w:rPr>
            </w:pPr>
          </w:p>
        </w:tc>
        <w:tc>
          <w:tcPr>
            <w:tcW w:w="755" w:type="pct"/>
            <w:tcBorders>
              <w:left w:val="single" w:sz="4" w:space="0" w:color="auto"/>
            </w:tcBorders>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MDPUG</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Laura</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Fuller</w:t>
            </w:r>
          </w:p>
        </w:tc>
        <w:tc>
          <w:tcPr>
            <w:tcW w:w="1828" w:type="pct"/>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SIX Telekurs</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snapToGrid w:val="0"/>
                <w:color w:val="000000"/>
                <w:lang w:val="en-GB"/>
              </w:rPr>
            </w:pPr>
          </w:p>
        </w:tc>
        <w:tc>
          <w:tcPr>
            <w:tcW w:w="755" w:type="pct"/>
            <w:tcBorders>
              <w:left w:val="single" w:sz="4" w:space="0" w:color="auto"/>
            </w:tcBorders>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MDPUG</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Peter</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Hinds</w:t>
            </w:r>
          </w:p>
        </w:tc>
        <w:tc>
          <w:tcPr>
            <w:tcW w:w="1828" w:type="pct"/>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Interactive Data</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NL</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Ben</w:t>
            </w:r>
          </w:p>
        </w:tc>
        <w:tc>
          <w:tcPr>
            <w:tcW w:w="1102" w:type="pct"/>
            <w:shd w:val="clear" w:color="auto" w:fill="FFFFFF"/>
            <w:vAlign w:val="center"/>
          </w:tcPr>
          <w:p w:rsidR="003D56C9" w:rsidRPr="00ED35A1" w:rsidRDefault="003D56C9" w:rsidP="00ED35A1">
            <w:pPr>
              <w:pStyle w:val="CommentText"/>
              <w:rPr>
                <w:snapToGrid w:val="0"/>
                <w:lang w:val="en-GB"/>
              </w:rPr>
            </w:pPr>
            <w:r w:rsidRPr="00ED35A1">
              <w:rPr>
                <w:snapToGrid w:val="0"/>
                <w:lang w:val="en-GB"/>
              </w:rPr>
              <w:t>van der Velpen</w:t>
            </w:r>
          </w:p>
        </w:tc>
        <w:tc>
          <w:tcPr>
            <w:tcW w:w="1828" w:type="pct"/>
            <w:shd w:val="clear" w:color="auto" w:fill="FFFFFF"/>
            <w:vAlign w:val="center"/>
          </w:tcPr>
          <w:p w:rsidR="003D56C9" w:rsidRPr="00ED35A1" w:rsidRDefault="003D56C9" w:rsidP="00ED35A1">
            <w:pPr>
              <w:pStyle w:val="CommentText"/>
              <w:rPr>
                <w:lang w:val="en-GB"/>
              </w:rPr>
            </w:pPr>
            <w:r w:rsidRPr="00ED35A1">
              <w:rPr>
                <w:lang w:val="en-GB"/>
              </w:rPr>
              <w:t>ING</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RU</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Elena</w:t>
            </w:r>
          </w:p>
        </w:tc>
        <w:tc>
          <w:tcPr>
            <w:tcW w:w="1102" w:type="pct"/>
            <w:shd w:val="clear" w:color="auto" w:fill="FFFFFF"/>
            <w:vAlign w:val="center"/>
          </w:tcPr>
          <w:p w:rsidR="003D56C9" w:rsidRPr="00ED35A1" w:rsidRDefault="003D56C9" w:rsidP="00ED35A1">
            <w:pPr>
              <w:pStyle w:val="CommentText"/>
              <w:rPr>
                <w:lang w:val="en-GB"/>
              </w:rPr>
            </w:pPr>
            <w:r w:rsidRPr="00ED35A1">
              <w:rPr>
                <w:lang w:val="en-GB"/>
              </w:rPr>
              <w:t>Solovyeva</w:t>
            </w:r>
          </w:p>
        </w:tc>
        <w:tc>
          <w:tcPr>
            <w:tcW w:w="1828" w:type="pct"/>
            <w:shd w:val="clear" w:color="auto" w:fill="FFFFFF"/>
            <w:vAlign w:val="center"/>
          </w:tcPr>
          <w:p w:rsidR="003D56C9" w:rsidRPr="00ED35A1" w:rsidRDefault="003D56C9" w:rsidP="00ED35A1">
            <w:pPr>
              <w:pStyle w:val="CommentText"/>
              <w:spacing w:after="0"/>
              <w:rPr>
                <w:lang w:val="en-GB"/>
              </w:rPr>
            </w:pPr>
            <w:r w:rsidRPr="00ED35A1">
              <w:rPr>
                <w:lang w:val="en-GB"/>
              </w:rPr>
              <w:t>National Settlement Depository</w:t>
            </w:r>
          </w:p>
          <w:p w:rsidR="003D56C9" w:rsidRPr="00ED35A1" w:rsidRDefault="003D56C9" w:rsidP="00ED35A1">
            <w:pPr>
              <w:pStyle w:val="CommentText"/>
              <w:spacing w:after="0"/>
              <w:rPr>
                <w:lang w:val="en-GB"/>
              </w:rPr>
            </w:pPr>
            <w:r w:rsidRPr="00ED35A1">
              <w:rPr>
                <w:lang w:val="en-GB"/>
              </w:rPr>
              <w:t>Moscow Russia</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r w:rsidRPr="00ED35A1">
              <w:rPr>
                <w:lang w:val="en-GB"/>
              </w:rPr>
              <w:t>Co-chair</w:t>
            </w: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SE</w:t>
            </w:r>
          </w:p>
        </w:tc>
        <w:tc>
          <w:tcPr>
            <w:tcW w:w="716" w:type="pct"/>
            <w:shd w:val="clear" w:color="auto" w:fill="FFFFFF"/>
            <w:vAlign w:val="center"/>
          </w:tcPr>
          <w:p w:rsidR="003D56C9" w:rsidRPr="00ED35A1" w:rsidRDefault="003D56C9" w:rsidP="00ED35A1">
            <w:pPr>
              <w:rPr>
                <w:lang w:val="en-GB"/>
              </w:rPr>
            </w:pPr>
            <w:r w:rsidRPr="00ED35A1">
              <w:rPr>
                <w:snapToGrid w:val="0"/>
                <w:lang w:val="en-GB"/>
              </w:rPr>
              <w:t xml:space="preserve">Christine </w:t>
            </w:r>
          </w:p>
        </w:tc>
        <w:tc>
          <w:tcPr>
            <w:tcW w:w="1102" w:type="pct"/>
            <w:shd w:val="clear" w:color="auto" w:fill="FFFFFF"/>
            <w:vAlign w:val="center"/>
          </w:tcPr>
          <w:p w:rsidR="003D56C9" w:rsidRPr="00ED35A1" w:rsidRDefault="003D56C9" w:rsidP="00ED35A1">
            <w:pPr>
              <w:pStyle w:val="CommentText"/>
              <w:rPr>
                <w:lang w:val="en-GB"/>
              </w:rPr>
            </w:pPr>
            <w:r w:rsidRPr="00ED35A1">
              <w:rPr>
                <w:snapToGrid w:val="0"/>
                <w:lang w:val="en-GB"/>
              </w:rPr>
              <w:t>Strandberg</w:t>
            </w:r>
          </w:p>
        </w:tc>
        <w:tc>
          <w:tcPr>
            <w:tcW w:w="1828" w:type="pct"/>
            <w:shd w:val="clear" w:color="auto" w:fill="FFFFFF"/>
            <w:vAlign w:val="center"/>
          </w:tcPr>
          <w:p w:rsidR="003D56C9" w:rsidRPr="00ED35A1" w:rsidRDefault="003D56C9" w:rsidP="00ED35A1">
            <w:pPr>
              <w:pStyle w:val="CommentText"/>
              <w:rPr>
                <w:lang w:val="en-GB"/>
              </w:rPr>
            </w:pPr>
            <w:smartTag w:uri="urn:schemas-microsoft-com:office:smarttags" w:element="stockticker">
              <w:r w:rsidRPr="00ED35A1">
                <w:rPr>
                  <w:lang w:val="en-GB"/>
                </w:rPr>
                <w:t>SEB</w:t>
              </w:r>
            </w:smartTag>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UK &amp; IE</w:t>
            </w:r>
          </w:p>
        </w:tc>
        <w:tc>
          <w:tcPr>
            <w:tcW w:w="716" w:type="pct"/>
            <w:shd w:val="clear" w:color="auto" w:fill="FFFFFF"/>
            <w:vAlign w:val="center"/>
          </w:tcPr>
          <w:p w:rsidR="003D56C9" w:rsidRPr="00ED35A1" w:rsidRDefault="003D56C9" w:rsidP="00ED35A1">
            <w:pPr>
              <w:pStyle w:val="CommentText"/>
              <w:rPr>
                <w:lang w:val="en-GB"/>
              </w:rPr>
            </w:pPr>
            <w:r w:rsidRPr="00ED35A1">
              <w:rPr>
                <w:lang w:val="en-GB"/>
              </w:rPr>
              <w:t>Mariangella</w:t>
            </w:r>
          </w:p>
        </w:tc>
        <w:tc>
          <w:tcPr>
            <w:tcW w:w="1102" w:type="pct"/>
            <w:shd w:val="clear" w:color="auto" w:fill="FFFFFF"/>
            <w:vAlign w:val="center"/>
          </w:tcPr>
          <w:p w:rsidR="003D56C9" w:rsidRPr="00ED35A1" w:rsidRDefault="003D56C9" w:rsidP="00ED35A1">
            <w:pPr>
              <w:rPr>
                <w:lang w:val="en-GB"/>
              </w:rPr>
            </w:pPr>
            <w:r w:rsidRPr="00ED35A1">
              <w:rPr>
                <w:lang w:val="en-GB"/>
              </w:rPr>
              <w:t>Fumagalli</w:t>
            </w:r>
          </w:p>
        </w:tc>
        <w:tc>
          <w:tcPr>
            <w:tcW w:w="1828" w:type="pct"/>
            <w:shd w:val="clear" w:color="auto" w:fill="FFFFFF"/>
            <w:vAlign w:val="center"/>
          </w:tcPr>
          <w:p w:rsidR="003D56C9" w:rsidRPr="00ED35A1" w:rsidRDefault="003D56C9" w:rsidP="00ED35A1">
            <w:pPr>
              <w:rPr>
                <w:lang w:val="en-GB"/>
              </w:rPr>
            </w:pPr>
            <w:r w:rsidRPr="00ED35A1">
              <w:rPr>
                <w:lang w:val="en-GB"/>
              </w:rPr>
              <w:t>BNP Paribas</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UK &amp; IE</w:t>
            </w:r>
          </w:p>
        </w:tc>
        <w:tc>
          <w:tcPr>
            <w:tcW w:w="716" w:type="pct"/>
            <w:shd w:val="clear" w:color="auto" w:fill="FFFFFF"/>
            <w:vAlign w:val="center"/>
          </w:tcPr>
          <w:p w:rsidR="003D56C9" w:rsidRPr="00ED35A1" w:rsidRDefault="003D56C9" w:rsidP="00ED35A1">
            <w:pPr>
              <w:pStyle w:val="CommentText"/>
              <w:rPr>
                <w:lang w:val="en-GB"/>
              </w:rPr>
            </w:pPr>
            <w:r w:rsidRPr="00ED35A1">
              <w:rPr>
                <w:lang w:val="en-GB"/>
              </w:rPr>
              <w:t xml:space="preserve">Matthew </w:t>
            </w:r>
          </w:p>
        </w:tc>
        <w:tc>
          <w:tcPr>
            <w:tcW w:w="1102" w:type="pct"/>
            <w:shd w:val="clear" w:color="auto" w:fill="FFFFFF"/>
            <w:vAlign w:val="center"/>
          </w:tcPr>
          <w:p w:rsidR="003D56C9" w:rsidRPr="00ED35A1" w:rsidRDefault="003D56C9" w:rsidP="00ED35A1">
            <w:pPr>
              <w:rPr>
                <w:lang w:val="en-GB"/>
              </w:rPr>
            </w:pPr>
            <w:r w:rsidRPr="00ED35A1">
              <w:rPr>
                <w:lang w:val="en-GB"/>
              </w:rPr>
              <w:t>Middleton</w:t>
            </w:r>
          </w:p>
        </w:tc>
        <w:tc>
          <w:tcPr>
            <w:tcW w:w="1828" w:type="pct"/>
            <w:shd w:val="clear" w:color="auto" w:fill="FFFFFF"/>
            <w:vAlign w:val="center"/>
          </w:tcPr>
          <w:p w:rsidR="003D56C9" w:rsidRPr="00ED35A1" w:rsidRDefault="003D56C9" w:rsidP="00ED35A1">
            <w:pPr>
              <w:rPr>
                <w:lang w:val="en-GB"/>
              </w:rPr>
            </w:pPr>
            <w:r w:rsidRPr="00ED35A1">
              <w:rPr>
                <w:lang w:val="en-GB"/>
              </w:rPr>
              <w:t>London Stock Exchange</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US/ISITC</w:t>
            </w:r>
          </w:p>
        </w:tc>
        <w:tc>
          <w:tcPr>
            <w:tcW w:w="716" w:type="pct"/>
            <w:shd w:val="clear" w:color="auto" w:fill="FFFFFF"/>
            <w:vAlign w:val="center"/>
          </w:tcPr>
          <w:p w:rsidR="003D56C9" w:rsidRPr="00ED35A1" w:rsidRDefault="003D56C9" w:rsidP="00ED35A1">
            <w:pPr>
              <w:pStyle w:val="CommentText"/>
              <w:rPr>
                <w:lang w:val="en-GB"/>
              </w:rPr>
            </w:pPr>
            <w:r w:rsidRPr="00ED35A1">
              <w:rPr>
                <w:lang w:val="en-GB"/>
              </w:rPr>
              <w:t xml:space="preserve">Sonda </w:t>
            </w:r>
          </w:p>
        </w:tc>
        <w:tc>
          <w:tcPr>
            <w:tcW w:w="1102" w:type="pct"/>
            <w:shd w:val="clear" w:color="auto" w:fill="FFFFFF"/>
            <w:vAlign w:val="center"/>
          </w:tcPr>
          <w:p w:rsidR="003D56C9" w:rsidRPr="00ED35A1" w:rsidRDefault="003D56C9" w:rsidP="00ED35A1">
            <w:pPr>
              <w:rPr>
                <w:lang w:val="en-GB"/>
              </w:rPr>
            </w:pPr>
            <w:r w:rsidRPr="00ED35A1">
              <w:rPr>
                <w:lang w:val="en-GB"/>
              </w:rPr>
              <w:t>Pimental</w:t>
            </w:r>
          </w:p>
        </w:tc>
        <w:tc>
          <w:tcPr>
            <w:tcW w:w="1828" w:type="pct"/>
            <w:shd w:val="clear" w:color="auto" w:fill="FFFFFF"/>
            <w:vAlign w:val="center"/>
          </w:tcPr>
          <w:p w:rsidR="003D56C9" w:rsidRPr="00ED35A1" w:rsidRDefault="003D56C9" w:rsidP="00ED35A1">
            <w:pPr>
              <w:rPr>
                <w:lang w:val="en-GB"/>
              </w:rPr>
            </w:pPr>
            <w:r w:rsidRPr="00ED35A1">
              <w:rPr>
                <w:lang w:val="en-GB"/>
              </w:rPr>
              <w:t>Brown Brothers Harriman&amp;Co.</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snapToGrid w:val="0"/>
                <w:color w:val="000000"/>
                <w:lang w:val="en-GB"/>
              </w:rPr>
            </w:pPr>
          </w:p>
        </w:tc>
        <w:tc>
          <w:tcPr>
            <w:tcW w:w="755" w:type="pct"/>
            <w:tcBorders>
              <w:left w:val="single" w:sz="4" w:space="0" w:color="auto"/>
            </w:tcBorders>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ZA</w:t>
            </w:r>
          </w:p>
        </w:tc>
        <w:tc>
          <w:tcPr>
            <w:tcW w:w="716" w:type="pct"/>
            <w:shd w:val="clear" w:color="auto" w:fill="FFFFFF"/>
            <w:vAlign w:val="center"/>
          </w:tcPr>
          <w:p w:rsidR="003D56C9" w:rsidRPr="00ED35A1" w:rsidRDefault="003D56C9" w:rsidP="00ED35A1">
            <w:pPr>
              <w:rPr>
                <w:snapToGrid w:val="0"/>
                <w:lang w:val="en-GB"/>
              </w:rPr>
            </w:pPr>
            <w:r w:rsidRPr="00ED35A1">
              <w:rPr>
                <w:snapToGrid w:val="0"/>
                <w:lang w:val="en-GB"/>
              </w:rPr>
              <w:t>Sanjeev</w:t>
            </w:r>
          </w:p>
        </w:tc>
        <w:tc>
          <w:tcPr>
            <w:tcW w:w="1102" w:type="pct"/>
            <w:shd w:val="clear" w:color="auto" w:fill="FFFFFF"/>
            <w:vAlign w:val="center"/>
          </w:tcPr>
          <w:p w:rsidR="003D56C9" w:rsidRPr="00ED35A1" w:rsidRDefault="003D56C9" w:rsidP="00ED35A1">
            <w:pPr>
              <w:rPr>
                <w:snapToGrid w:val="0"/>
                <w:lang w:val="en-GB"/>
              </w:rPr>
            </w:pPr>
            <w:r w:rsidRPr="00ED35A1">
              <w:rPr>
                <w:snapToGrid w:val="0"/>
                <w:lang w:val="en-GB"/>
              </w:rPr>
              <w:t>Jayram</w:t>
            </w:r>
          </w:p>
        </w:tc>
        <w:tc>
          <w:tcPr>
            <w:tcW w:w="1828" w:type="pct"/>
            <w:shd w:val="clear" w:color="auto" w:fill="FFFFFF"/>
            <w:vAlign w:val="center"/>
          </w:tcPr>
          <w:p w:rsidR="003D56C9" w:rsidRPr="00ED35A1" w:rsidRDefault="003D56C9" w:rsidP="00ED35A1">
            <w:pPr>
              <w:rPr>
                <w:snapToGrid w:val="0"/>
                <w:color w:val="000000"/>
                <w:lang w:val="en-GB"/>
              </w:rPr>
            </w:pPr>
            <w:r w:rsidRPr="00ED35A1">
              <w:rPr>
                <w:snapToGrid w:val="0"/>
                <w:color w:val="000000"/>
                <w:lang w:val="en-GB"/>
              </w:rPr>
              <w:t>First National Bank</w:t>
            </w:r>
          </w:p>
        </w:tc>
      </w:tr>
      <w:tr w:rsidR="003D56C9" w:rsidRPr="00ED35A1" w:rsidTr="00ED35A1">
        <w:tblPrEx>
          <w:tblCellMar>
            <w:left w:w="108" w:type="dxa"/>
            <w:right w:w="108" w:type="dxa"/>
          </w:tblCellMar>
        </w:tblPrEx>
        <w:tc>
          <w:tcPr>
            <w:tcW w:w="599" w:type="pct"/>
            <w:tcBorders>
              <w:top w:val="nil"/>
              <w:left w:val="nil"/>
              <w:bottom w:val="nil"/>
              <w:right w:val="single" w:sz="4" w:space="0" w:color="auto"/>
            </w:tcBorders>
            <w:shd w:val="clear" w:color="auto" w:fill="FFFFFF"/>
            <w:vAlign w:val="center"/>
          </w:tcPr>
          <w:p w:rsidR="003D56C9" w:rsidRPr="00ED35A1" w:rsidRDefault="003D56C9" w:rsidP="00ED35A1">
            <w:pPr>
              <w:rPr>
                <w:lang w:val="en-GB"/>
              </w:rPr>
            </w:pPr>
            <w:r w:rsidRPr="00ED35A1">
              <w:rPr>
                <w:lang w:val="en-GB"/>
              </w:rPr>
              <w:t>Facilitator</w:t>
            </w:r>
          </w:p>
        </w:tc>
        <w:tc>
          <w:tcPr>
            <w:tcW w:w="755" w:type="pct"/>
            <w:tcBorders>
              <w:left w:val="single" w:sz="4" w:space="0" w:color="auto"/>
            </w:tcBorders>
            <w:shd w:val="clear" w:color="auto" w:fill="FFFFFF"/>
            <w:vAlign w:val="center"/>
          </w:tcPr>
          <w:p w:rsidR="003D56C9" w:rsidRPr="00ED35A1" w:rsidRDefault="003D56C9" w:rsidP="00ED35A1">
            <w:pPr>
              <w:rPr>
                <w:lang w:val="en-GB"/>
              </w:rPr>
            </w:pPr>
            <w:r w:rsidRPr="00ED35A1">
              <w:rPr>
                <w:lang w:val="en-GB"/>
              </w:rPr>
              <w:t>-</w:t>
            </w:r>
          </w:p>
        </w:tc>
        <w:tc>
          <w:tcPr>
            <w:tcW w:w="716" w:type="pct"/>
            <w:shd w:val="clear" w:color="auto" w:fill="FFFFFF"/>
            <w:vAlign w:val="center"/>
          </w:tcPr>
          <w:p w:rsidR="003D56C9" w:rsidRPr="00ED35A1" w:rsidRDefault="003D56C9" w:rsidP="00ED35A1">
            <w:pPr>
              <w:pStyle w:val="CommentText"/>
              <w:rPr>
                <w:lang w:val="en-GB"/>
              </w:rPr>
            </w:pPr>
            <w:r w:rsidRPr="00ED35A1">
              <w:rPr>
                <w:lang w:val="en-GB"/>
              </w:rPr>
              <w:t xml:space="preserve">Jacques </w:t>
            </w:r>
          </w:p>
        </w:tc>
        <w:tc>
          <w:tcPr>
            <w:tcW w:w="1102" w:type="pct"/>
            <w:shd w:val="clear" w:color="auto" w:fill="FFFFFF"/>
            <w:vAlign w:val="center"/>
          </w:tcPr>
          <w:p w:rsidR="003D56C9" w:rsidRPr="00ED35A1" w:rsidRDefault="003D56C9" w:rsidP="00ED35A1">
            <w:pPr>
              <w:rPr>
                <w:lang w:val="en-GB"/>
              </w:rPr>
            </w:pPr>
            <w:r w:rsidRPr="00ED35A1">
              <w:rPr>
                <w:lang w:val="en-GB"/>
              </w:rPr>
              <w:t>Littré</w:t>
            </w:r>
          </w:p>
        </w:tc>
        <w:tc>
          <w:tcPr>
            <w:tcW w:w="1828" w:type="pct"/>
            <w:shd w:val="clear" w:color="auto" w:fill="FFFFFF"/>
            <w:vAlign w:val="center"/>
          </w:tcPr>
          <w:p w:rsidR="003D56C9" w:rsidRPr="00ED35A1" w:rsidRDefault="003D56C9" w:rsidP="00ED35A1">
            <w:pPr>
              <w:rPr>
                <w:lang w:val="en-GB"/>
              </w:rPr>
            </w:pPr>
            <w:r w:rsidRPr="00ED35A1">
              <w:rPr>
                <w:lang w:val="en-GB"/>
              </w:rPr>
              <w:t>SWIFT Standards</w:t>
            </w:r>
          </w:p>
        </w:tc>
      </w:tr>
      <w:bookmarkEnd w:id="1"/>
      <w:bookmarkEnd w:id="2"/>
    </w:tbl>
    <w:p w:rsidR="003D56C9" w:rsidRDefault="003D56C9" w:rsidP="003D56C9"/>
    <w:p w:rsidR="003D56C9" w:rsidRDefault="003D56C9" w:rsidP="003D56C9">
      <w:r w:rsidRPr="003D56C9">
        <w:rPr>
          <w:b/>
          <w:u w:val="single"/>
        </w:rPr>
        <w:t>Excused</w:t>
      </w:r>
      <w:r>
        <w:t xml:space="preserve">: Paola De Antoni (IT) </w:t>
      </w:r>
    </w:p>
    <w:p w:rsidR="003D56C9" w:rsidRDefault="003D56C9" w:rsidP="003D56C9"/>
    <w:p w:rsidR="003D56C9" w:rsidRDefault="003D56C9" w:rsidP="003D56C9"/>
    <w:p w:rsidR="003D56C9" w:rsidRDefault="003D56C9" w:rsidP="003D56C9"/>
    <w:p w:rsidR="003E5EFD" w:rsidRPr="00E07780" w:rsidRDefault="003D56C9" w:rsidP="003E5EFD">
      <w:pPr>
        <w:pStyle w:val="Title1"/>
      </w:pPr>
      <w:r>
        <w:br w:type="page"/>
      </w:r>
      <w:r w:rsidR="003E5EFD" w:rsidRPr="00E07780">
        <w:lastRenderedPageBreak/>
        <w:t>Meeting Agenda</w:t>
      </w:r>
    </w:p>
    <w:p w:rsidR="003E5EFD" w:rsidRPr="0052413A" w:rsidRDefault="003E5EFD" w:rsidP="003E5EFD">
      <w:pPr>
        <w:rPr>
          <w:b/>
          <w:lang w:val="en-GB"/>
        </w:rPr>
      </w:pPr>
      <w:r w:rsidRPr="0052413A">
        <w:rPr>
          <w:b/>
          <w:lang w:val="en-GB"/>
        </w:rPr>
        <w:t>These minutes are based on the distributed meeting agenda.</w:t>
      </w:r>
    </w:p>
    <w:p w:rsidR="003E5EFD" w:rsidRDefault="003E5EFD" w:rsidP="003E5EFD">
      <w:pPr>
        <w:rPr>
          <w:lang w:val="en-GB"/>
        </w:rPr>
      </w:pPr>
      <w:r w:rsidRPr="007A69C8">
        <w:rPr>
          <w:lang w:val="en-GB"/>
        </w:rPr>
        <w:t xml:space="preserve">See </w:t>
      </w:r>
      <w:r>
        <w:rPr>
          <w:lang w:val="en-GB"/>
        </w:rPr>
        <w:t>document</w:t>
      </w:r>
      <w:r w:rsidR="00484021">
        <w:rPr>
          <w:lang w:val="en-GB"/>
        </w:rPr>
        <w:t>”</w:t>
      </w:r>
      <w:r w:rsidR="00BF0462">
        <w:rPr>
          <w:lang w:val="en-GB"/>
        </w:rPr>
        <w:t>0_Athens_2012</w:t>
      </w:r>
      <w:r w:rsidR="00484021" w:rsidRPr="00484021">
        <w:rPr>
          <w:lang w:val="en-GB"/>
        </w:rPr>
        <w:t>_Final_</w:t>
      </w:r>
      <w:r w:rsidR="00BF0462">
        <w:rPr>
          <w:lang w:val="en-GB"/>
        </w:rPr>
        <w:t>CA_Agenda</w:t>
      </w:r>
      <w:r w:rsidR="00484021" w:rsidRPr="00484021">
        <w:rPr>
          <w:lang w:val="en-GB"/>
        </w:rPr>
        <w:t>.docx</w:t>
      </w:r>
      <w:r w:rsidR="00484021">
        <w:rPr>
          <w:lang w:val="en-GB"/>
        </w:rPr>
        <w:t>”</w:t>
      </w:r>
    </w:p>
    <w:p w:rsidR="003E5EFD" w:rsidRDefault="00BF0462" w:rsidP="003E5EFD">
      <w:pPr>
        <w:rPr>
          <w:lang w:val="en-GB"/>
        </w:rPr>
      </w:pPr>
      <w:r w:rsidRPr="00EB63D3">
        <w:rPr>
          <w:lang w:val="en-GB"/>
        </w:rPr>
        <w:object w:dxaOrig="1534" w:dyaOrig="993">
          <v:shape id="_x0000_i1025" type="#_x0000_t75" style="width:76.5pt;height:49.5pt" o:ole="">
            <v:imagedata r:id="rId11" o:title=""/>
          </v:shape>
          <o:OLEObject Type="Embed" ProgID="Word.Document.12" ShapeID="_x0000_i1025" DrawAspect="Icon" ObjectID="_1398179305" r:id="rId12">
            <o:FieldCodes>\s</o:FieldCodes>
          </o:OLEObject>
        </w:object>
      </w:r>
    </w:p>
    <w:p w:rsidR="003E5EFD" w:rsidRDefault="003E5EFD" w:rsidP="00107248">
      <w:pPr>
        <w:pStyle w:val="Heading1"/>
      </w:pPr>
      <w:bookmarkStart w:id="3" w:name="_Toc324436887"/>
      <w:r w:rsidRPr="00985475">
        <w:t>Minutes</w:t>
      </w:r>
      <w:r w:rsidR="00107248">
        <w:t xml:space="preserve"> / Notes takers</w:t>
      </w:r>
      <w:bookmarkEnd w:id="3"/>
    </w:p>
    <w:p w:rsidR="003E5EFD" w:rsidRDefault="003E5EFD" w:rsidP="00C70CF3">
      <w:r>
        <w:t>Minutes takers:</w:t>
      </w:r>
      <w:r w:rsidR="00C667DC">
        <w:t xml:space="preserve"> </w:t>
      </w:r>
      <w:r>
        <w:t>Christine Stran</w:t>
      </w:r>
      <w:r w:rsidR="0023157A">
        <w:t>d</w:t>
      </w:r>
      <w:r>
        <w:t>berg</w:t>
      </w:r>
      <w:r w:rsidR="00A718E5">
        <w:t>,</w:t>
      </w:r>
      <w:r w:rsidR="00C667DC">
        <w:t xml:space="preserve"> </w:t>
      </w:r>
      <w:r w:rsidR="0069103E">
        <w:t xml:space="preserve">Andreana Pileri, </w:t>
      </w:r>
      <w:r w:rsidR="002549AE">
        <w:t xml:space="preserve">Veronique Peeters, </w:t>
      </w:r>
      <w:r w:rsidR="0069103E">
        <w:t>Jacques Littré</w:t>
      </w:r>
    </w:p>
    <w:p w:rsidR="00FA6ABD" w:rsidRDefault="004B070C" w:rsidP="004B070C">
      <w:pPr>
        <w:pStyle w:val="Heading1"/>
      </w:pPr>
      <w:bookmarkStart w:id="4" w:name="OLE_LINK5"/>
      <w:bookmarkStart w:id="5" w:name="OLE_LINK8"/>
      <w:bookmarkStart w:id="6" w:name="_Toc324436888"/>
      <w:r>
        <w:t xml:space="preserve">Next </w:t>
      </w:r>
      <w:r w:rsidR="00FA6ABD" w:rsidRPr="004C4CE2">
        <w:t>Telco</w:t>
      </w:r>
      <w:r w:rsidR="002549AE">
        <w:t>/Meeting</w:t>
      </w:r>
      <w:r w:rsidR="00FA6ABD" w:rsidRPr="004C4CE2">
        <w:t xml:space="preserve"> </w:t>
      </w:r>
      <w:r>
        <w:t>S</w:t>
      </w:r>
      <w:r w:rsidR="00FA6ABD" w:rsidRPr="004C4CE2">
        <w:t>chedule</w:t>
      </w:r>
      <w:r w:rsidR="002549AE">
        <w:t xml:space="preserve"> 2012</w:t>
      </w:r>
      <w:bookmarkEnd w:id="6"/>
    </w:p>
    <w:p w:rsidR="002549AE" w:rsidRDefault="002549AE" w:rsidP="008F290C">
      <w:r w:rsidRPr="00A6271E">
        <w:rPr>
          <w:u w:val="single"/>
        </w:rPr>
        <w:t>Already scheduled</w:t>
      </w:r>
      <w:r>
        <w:t xml:space="preserve">: May 23, June 27 </w:t>
      </w:r>
    </w:p>
    <w:p w:rsidR="008F290C" w:rsidRDefault="002549AE" w:rsidP="002549AE">
      <w:pPr>
        <w:tabs>
          <w:tab w:val="left" w:pos="7500"/>
        </w:tabs>
      </w:pPr>
      <w:r w:rsidRPr="00A6271E">
        <w:rPr>
          <w:u w:val="single"/>
        </w:rPr>
        <w:t>Newly scheduled</w:t>
      </w:r>
      <w:r>
        <w:t>: September 13, October 11, November 8, December 13.</w:t>
      </w:r>
      <w:r>
        <w:tab/>
      </w:r>
    </w:p>
    <w:p w:rsidR="0069103E" w:rsidRDefault="002549AE" w:rsidP="0069103E">
      <w:r w:rsidRPr="00A6271E">
        <w:rPr>
          <w:u w:val="single"/>
        </w:rPr>
        <w:t>Note</w:t>
      </w:r>
      <w:r>
        <w:t xml:space="preserve">: </w:t>
      </w:r>
      <w:r w:rsidR="0069103E">
        <w:t xml:space="preserve">The next SMPG global meeting will </w:t>
      </w:r>
      <w:r>
        <w:t xml:space="preserve">likely </w:t>
      </w:r>
      <w:r w:rsidR="0069103E">
        <w:t xml:space="preserve">be </w:t>
      </w:r>
      <w:r>
        <w:t xml:space="preserve">held </w:t>
      </w:r>
      <w:r w:rsidR="0069103E">
        <w:t xml:space="preserve">in </w:t>
      </w:r>
      <w:r>
        <w:t>Osaka (JP) November 5 to 7 (the week following SIBOS)</w:t>
      </w:r>
      <w:r w:rsidR="0069103E">
        <w:t xml:space="preserve">. </w:t>
      </w:r>
      <w:r w:rsidR="0069103E" w:rsidRPr="000A0465">
        <w:t xml:space="preserve"> </w:t>
      </w:r>
      <w:r>
        <w:t xml:space="preserve">However this </w:t>
      </w:r>
      <w:r w:rsidR="00A6271E">
        <w:t xml:space="preserve">needs to </w:t>
      </w:r>
      <w:r>
        <w:t xml:space="preserve">be confirmed </w:t>
      </w:r>
      <w:r w:rsidR="00A6271E">
        <w:t xml:space="preserve">yet by the SMPG steering committee later </w:t>
      </w:r>
      <w:r>
        <w:t>in May.</w:t>
      </w:r>
    </w:p>
    <w:p w:rsidR="004B2F86" w:rsidRDefault="004B2F86" w:rsidP="004B2F86">
      <w:pPr>
        <w:pStyle w:val="Heading1"/>
      </w:pPr>
      <w:bookmarkStart w:id="7" w:name="_Toc324436889"/>
      <w:r>
        <w:rPr>
          <w:lang w:eastAsia="en-GB"/>
        </w:rPr>
        <w:t>Approval of March 28 Minutes</w:t>
      </w:r>
      <w:bookmarkEnd w:id="7"/>
    </w:p>
    <w:p w:rsidR="003D56C9" w:rsidRDefault="004B2F86" w:rsidP="004B2F86">
      <w:r>
        <w:t>Approved</w:t>
      </w:r>
      <w:r w:rsidR="00A6271E">
        <w:t>.</w:t>
      </w:r>
    </w:p>
    <w:p w:rsidR="004B2F86" w:rsidRDefault="004B2F86" w:rsidP="004B2F86">
      <w:pPr>
        <w:pStyle w:val="Heading1"/>
      </w:pPr>
      <w:bookmarkStart w:id="8" w:name="_Toc324436890"/>
      <w:r>
        <w:t xml:space="preserve">CA 203 </w:t>
      </w:r>
      <w:r w:rsidR="00FD2A87">
        <w:t>–</w:t>
      </w:r>
      <w:r>
        <w:t xml:space="preserve"> </w:t>
      </w:r>
      <w:r w:rsidR="005F1349">
        <w:t xml:space="preserve">Part 2 </w:t>
      </w:r>
      <w:r w:rsidR="00FD2A87">
        <w:t>EIG+ &amp; Templates Remaining Issues</w:t>
      </w:r>
      <w:bookmarkEnd w:id="8"/>
    </w:p>
    <w:p w:rsidR="00FD2A87" w:rsidRPr="007F0C1D" w:rsidRDefault="00361484" w:rsidP="007F0C1D">
      <w:pPr>
        <w:pStyle w:val="Heading2"/>
      </w:pPr>
      <w:r w:rsidRPr="007F0C1D">
        <w:t>EIG+ Global Grid Issues</w:t>
      </w:r>
    </w:p>
    <w:p w:rsidR="005F1349" w:rsidRPr="005F1349" w:rsidRDefault="005F1349" w:rsidP="005F1349">
      <w:r>
        <w:t xml:space="preserve">The following table summarises issues, </w:t>
      </w:r>
      <w:r w:rsidR="00111422">
        <w:t xml:space="preserve">and in last column the </w:t>
      </w:r>
      <w:r>
        <w:t>consensus reached and remaining actions defined:</w:t>
      </w:r>
    </w:p>
    <w:tbl>
      <w:tblPr>
        <w:tblW w:w="10314" w:type="dxa"/>
        <w:tblInd w:w="-342" w:type="dxa"/>
        <w:tblLayout w:type="fixed"/>
        <w:tblLook w:val="04A0"/>
      </w:tblPr>
      <w:tblGrid>
        <w:gridCol w:w="465"/>
        <w:gridCol w:w="795"/>
        <w:gridCol w:w="960"/>
        <w:gridCol w:w="4980"/>
        <w:gridCol w:w="3114"/>
      </w:tblGrid>
      <w:tr w:rsidR="004B2F86" w:rsidRPr="004B2F86" w:rsidTr="006904E8">
        <w:trPr>
          <w:trHeight w:val="315"/>
        </w:trPr>
        <w:tc>
          <w:tcPr>
            <w:tcW w:w="465"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4B2F86" w:rsidRPr="00FD2A87" w:rsidRDefault="004B2F86" w:rsidP="00FD2A87">
            <w:pPr>
              <w:spacing w:after="0"/>
              <w:jc w:val="center"/>
              <w:rPr>
                <w:b/>
                <w:bCs/>
                <w:color w:val="000000"/>
                <w:sz w:val="18"/>
                <w:szCs w:val="18"/>
                <w:lang w:val="en-GB" w:eastAsia="en-GB"/>
              </w:rPr>
            </w:pPr>
          </w:p>
        </w:tc>
        <w:tc>
          <w:tcPr>
            <w:tcW w:w="795" w:type="dxa"/>
            <w:tcBorders>
              <w:top w:val="single" w:sz="8" w:space="0" w:color="auto"/>
              <w:left w:val="nil"/>
              <w:bottom w:val="single" w:sz="8" w:space="0" w:color="auto"/>
              <w:right w:val="single" w:sz="8" w:space="0" w:color="auto"/>
            </w:tcBorders>
            <w:shd w:val="clear" w:color="000000" w:fill="C0C0C0"/>
            <w:vAlign w:val="bottom"/>
            <w:hideMark/>
          </w:tcPr>
          <w:p w:rsidR="004B2F86" w:rsidRPr="00FD2A87" w:rsidRDefault="004B2F86" w:rsidP="004B2F86">
            <w:pPr>
              <w:spacing w:after="0"/>
              <w:rPr>
                <w:b/>
                <w:bCs/>
                <w:color w:val="000000"/>
                <w:sz w:val="18"/>
                <w:szCs w:val="18"/>
                <w:lang w:val="en-GB" w:eastAsia="en-GB"/>
              </w:rPr>
            </w:pPr>
            <w:r w:rsidRPr="00FD2A87">
              <w:rPr>
                <w:b/>
                <w:bCs/>
                <w:color w:val="000000"/>
                <w:sz w:val="18"/>
                <w:szCs w:val="18"/>
                <w:lang w:val="en-GB" w:eastAsia="en-GB"/>
              </w:rPr>
              <w:t>CAEV</w:t>
            </w:r>
          </w:p>
        </w:tc>
        <w:tc>
          <w:tcPr>
            <w:tcW w:w="960" w:type="dxa"/>
            <w:tcBorders>
              <w:top w:val="single" w:sz="8" w:space="0" w:color="auto"/>
              <w:left w:val="nil"/>
              <w:bottom w:val="single" w:sz="8" w:space="0" w:color="auto"/>
              <w:right w:val="single" w:sz="8" w:space="0" w:color="auto"/>
            </w:tcBorders>
            <w:shd w:val="clear" w:color="000000" w:fill="C0C0C0"/>
            <w:vAlign w:val="bottom"/>
            <w:hideMark/>
          </w:tcPr>
          <w:p w:rsidR="004B2F86" w:rsidRPr="00FD2A87" w:rsidRDefault="004B2F86" w:rsidP="004B2F86">
            <w:pPr>
              <w:spacing w:after="0"/>
              <w:rPr>
                <w:b/>
                <w:bCs/>
                <w:color w:val="000000"/>
                <w:sz w:val="18"/>
                <w:szCs w:val="18"/>
                <w:lang w:val="en-GB" w:eastAsia="en-GB"/>
              </w:rPr>
            </w:pPr>
            <w:r w:rsidRPr="00FD2A87">
              <w:rPr>
                <w:b/>
                <w:bCs/>
                <w:color w:val="000000"/>
                <w:sz w:val="18"/>
                <w:szCs w:val="18"/>
                <w:lang w:val="en-GB" w:eastAsia="en-GB"/>
              </w:rPr>
              <w:t>CAMV</w:t>
            </w:r>
          </w:p>
        </w:tc>
        <w:tc>
          <w:tcPr>
            <w:tcW w:w="4980" w:type="dxa"/>
            <w:tcBorders>
              <w:top w:val="single" w:sz="8" w:space="0" w:color="auto"/>
              <w:left w:val="nil"/>
              <w:bottom w:val="single" w:sz="8" w:space="0" w:color="auto"/>
              <w:right w:val="nil"/>
            </w:tcBorders>
            <w:shd w:val="clear" w:color="000000" w:fill="C0C0C0"/>
            <w:vAlign w:val="bottom"/>
            <w:hideMark/>
          </w:tcPr>
          <w:p w:rsidR="004B2F86" w:rsidRDefault="004B2F86" w:rsidP="004B2F86">
            <w:pPr>
              <w:spacing w:after="0"/>
              <w:rPr>
                <w:b/>
                <w:bCs/>
                <w:color w:val="000000"/>
                <w:sz w:val="18"/>
                <w:szCs w:val="18"/>
                <w:lang w:val="en-GB" w:eastAsia="en-GB"/>
              </w:rPr>
            </w:pPr>
            <w:r w:rsidRPr="00FD2A87">
              <w:rPr>
                <w:b/>
                <w:bCs/>
                <w:color w:val="000000"/>
                <w:sz w:val="18"/>
                <w:szCs w:val="18"/>
                <w:lang w:val="en-GB" w:eastAsia="en-GB"/>
              </w:rPr>
              <w:t>Questions / Issues</w:t>
            </w:r>
          </w:p>
          <w:p w:rsidR="00FD2A87" w:rsidRPr="00FD2A87" w:rsidRDefault="00FD2A87" w:rsidP="004B2F86">
            <w:pPr>
              <w:spacing w:after="0"/>
              <w:rPr>
                <w:b/>
                <w:bCs/>
                <w:color w:val="000000"/>
                <w:sz w:val="18"/>
                <w:szCs w:val="18"/>
                <w:lang w:val="en-GB" w:eastAsia="en-GB"/>
              </w:rPr>
            </w:pPr>
            <w:r>
              <w:rPr>
                <w:b/>
                <w:bCs/>
                <w:color w:val="000000"/>
                <w:sz w:val="18"/>
                <w:szCs w:val="18"/>
                <w:lang w:val="en-GB" w:eastAsia="en-GB"/>
              </w:rPr>
              <w:t>(“country asking the question” – “question”)</w:t>
            </w:r>
          </w:p>
        </w:tc>
        <w:tc>
          <w:tcPr>
            <w:tcW w:w="3114"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4B2F86" w:rsidRPr="00FD2A87" w:rsidRDefault="004B2F86" w:rsidP="004B2F86">
            <w:pPr>
              <w:spacing w:after="0"/>
              <w:rPr>
                <w:b/>
                <w:bCs/>
                <w:color w:val="000000"/>
                <w:sz w:val="18"/>
                <w:szCs w:val="18"/>
                <w:lang w:val="en-GB" w:eastAsia="en-GB"/>
              </w:rPr>
            </w:pPr>
            <w:r w:rsidRPr="00FD2A87">
              <w:rPr>
                <w:b/>
                <w:bCs/>
                <w:color w:val="000000"/>
                <w:sz w:val="18"/>
                <w:szCs w:val="18"/>
                <w:lang w:val="en-GB" w:eastAsia="en-GB"/>
              </w:rPr>
              <w:t> </w:t>
            </w:r>
            <w:r w:rsidR="00FD2A87">
              <w:rPr>
                <w:b/>
                <w:bCs/>
                <w:color w:val="000000"/>
                <w:sz w:val="18"/>
                <w:szCs w:val="18"/>
                <w:lang w:val="en-GB" w:eastAsia="en-GB"/>
              </w:rPr>
              <w:t xml:space="preserve">SMPG Meeting Consensus </w:t>
            </w:r>
          </w:p>
        </w:tc>
      </w:tr>
      <w:tr w:rsidR="004B2F86" w:rsidRPr="004B2F86" w:rsidTr="006904E8">
        <w:trPr>
          <w:trHeight w:val="691"/>
        </w:trPr>
        <w:tc>
          <w:tcPr>
            <w:tcW w:w="465" w:type="dxa"/>
            <w:tcBorders>
              <w:top w:val="nil"/>
              <w:left w:val="single" w:sz="8" w:space="0" w:color="auto"/>
              <w:bottom w:val="single" w:sz="8" w:space="0" w:color="auto"/>
              <w:right w:val="single" w:sz="8" w:space="0" w:color="auto"/>
            </w:tcBorders>
            <w:shd w:val="clear" w:color="000000" w:fill="FFFFFF"/>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1</w:t>
            </w:r>
          </w:p>
        </w:tc>
        <w:tc>
          <w:tcPr>
            <w:tcW w:w="795" w:type="dxa"/>
            <w:tcBorders>
              <w:top w:val="nil"/>
              <w:left w:val="nil"/>
              <w:bottom w:val="single" w:sz="8" w:space="0" w:color="auto"/>
              <w:right w:val="single" w:sz="8" w:space="0" w:color="auto"/>
            </w:tcBorders>
            <w:shd w:val="clear" w:color="000000" w:fill="FFFFFF"/>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BPUT</w:t>
            </w:r>
          </w:p>
        </w:tc>
        <w:tc>
          <w:tcPr>
            <w:tcW w:w="960" w:type="dxa"/>
            <w:tcBorders>
              <w:top w:val="nil"/>
              <w:left w:val="nil"/>
              <w:bottom w:val="single" w:sz="8" w:space="0" w:color="auto"/>
              <w:right w:val="single" w:sz="8" w:space="0" w:color="auto"/>
            </w:tcBorders>
            <w:shd w:val="clear" w:color="000000" w:fill="FFFFFF"/>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000000" w:fill="FFFFFF"/>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Why is INTP included? Is it relevant ?</w:t>
            </w:r>
          </w:p>
        </w:tc>
        <w:tc>
          <w:tcPr>
            <w:tcW w:w="3114" w:type="dxa"/>
            <w:tcBorders>
              <w:top w:val="nil"/>
              <w:left w:val="single" w:sz="4" w:space="0" w:color="auto"/>
              <w:bottom w:val="single" w:sz="4" w:space="0" w:color="auto"/>
              <w:right w:val="single" w:sz="4" w:space="0" w:color="auto"/>
            </w:tcBorders>
            <w:shd w:val="clear" w:color="000000" w:fill="FFFFFF"/>
            <w:hideMark/>
          </w:tcPr>
          <w:p w:rsidR="004B2F86" w:rsidRPr="00FD2A87" w:rsidRDefault="004B2F86" w:rsidP="00FD2A87">
            <w:pPr>
              <w:spacing w:after="0"/>
              <w:rPr>
                <w:color w:val="000000"/>
                <w:sz w:val="18"/>
                <w:szCs w:val="18"/>
                <w:lang w:val="en-GB" w:eastAsia="en-GB"/>
              </w:rPr>
            </w:pPr>
            <w:r w:rsidRPr="00FD2A87">
              <w:rPr>
                <w:color w:val="000000"/>
                <w:sz w:val="18"/>
                <w:szCs w:val="18"/>
                <w:lang w:val="en-GB" w:eastAsia="en-GB"/>
              </w:rPr>
              <w:t xml:space="preserve">Keep in GG, but add comment </w:t>
            </w:r>
            <w:r w:rsidR="00FD2A87">
              <w:rPr>
                <w:color w:val="000000"/>
                <w:sz w:val="18"/>
                <w:szCs w:val="18"/>
                <w:lang w:val="en-GB" w:eastAsia="en-GB"/>
              </w:rPr>
              <w:t xml:space="preserve">on INTP </w:t>
            </w:r>
            <w:r w:rsidRPr="00FD2A87">
              <w:rPr>
                <w:color w:val="000000"/>
                <w:sz w:val="18"/>
                <w:szCs w:val="18"/>
                <w:lang w:val="en-GB" w:eastAsia="en-GB"/>
              </w:rPr>
              <w:t xml:space="preserve">that it is only to be used for accrued interest </w:t>
            </w:r>
            <w:r w:rsidR="00FD2A87">
              <w:rPr>
                <w:color w:val="000000"/>
                <w:sz w:val="18"/>
                <w:szCs w:val="18"/>
                <w:lang w:val="en-GB" w:eastAsia="en-GB"/>
              </w:rPr>
              <w:t xml:space="preserve">(cash paid) </w:t>
            </w:r>
            <w:r w:rsidRPr="00FD2A87">
              <w:rPr>
                <w:color w:val="000000"/>
                <w:sz w:val="18"/>
                <w:szCs w:val="18"/>
                <w:lang w:val="en-GB" w:eastAsia="en-GB"/>
              </w:rPr>
              <w:t>when applicable</w:t>
            </w:r>
          </w:p>
        </w:tc>
      </w:tr>
      <w:tr w:rsidR="004B2F86"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2</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CAPD</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 Why is TAXE included? It is not present in other income events except, CAPG.</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Remove TAXE</w:t>
            </w:r>
          </w:p>
        </w:tc>
      </w:tr>
      <w:tr w:rsidR="004B2F86"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3</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CAPG</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  is TAXE included? It is not present in other income events except, CAPD.</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Remove TAXE</w:t>
            </w:r>
          </w:p>
        </w:tc>
      </w:tr>
      <w:tr w:rsidR="004B2F86"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4</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CERT</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 Why both CERT and MKDT? Are they not the same in this event?</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FD2A87" w:rsidP="00FD2A87">
            <w:pPr>
              <w:spacing w:after="0"/>
              <w:rPr>
                <w:color w:val="000000"/>
                <w:sz w:val="18"/>
                <w:szCs w:val="18"/>
                <w:lang w:val="en-GB" w:eastAsia="en-GB"/>
              </w:rPr>
            </w:pPr>
            <w:r>
              <w:rPr>
                <w:color w:val="000000"/>
                <w:sz w:val="18"/>
                <w:szCs w:val="18"/>
                <w:lang w:val="en-GB" w:eastAsia="en-GB"/>
              </w:rPr>
              <w:t>K</w:t>
            </w:r>
            <w:r w:rsidR="004B2F86" w:rsidRPr="00FD2A87">
              <w:rPr>
                <w:color w:val="000000"/>
                <w:sz w:val="18"/>
                <w:szCs w:val="18"/>
                <w:lang w:val="en-GB" w:eastAsia="en-GB"/>
              </w:rPr>
              <w:t>eep all three dates</w:t>
            </w:r>
            <w:r>
              <w:rPr>
                <w:color w:val="000000"/>
                <w:sz w:val="18"/>
                <w:szCs w:val="18"/>
                <w:lang w:val="en-GB" w:eastAsia="en-GB"/>
              </w:rPr>
              <w:t xml:space="preserve"> (CERT, MKDT, RDDT)</w:t>
            </w:r>
            <w:r w:rsidRPr="00FD2A87">
              <w:rPr>
                <w:color w:val="000000"/>
                <w:sz w:val="18"/>
                <w:szCs w:val="18"/>
                <w:lang w:val="en-GB" w:eastAsia="en-GB"/>
              </w:rPr>
              <w:t xml:space="preserve"> </w:t>
            </w:r>
            <w:r>
              <w:rPr>
                <w:color w:val="000000"/>
                <w:sz w:val="18"/>
                <w:szCs w:val="18"/>
                <w:lang w:val="en-GB" w:eastAsia="en-GB"/>
              </w:rPr>
              <w:t xml:space="preserve">and </w:t>
            </w:r>
            <w:r w:rsidRPr="00FD2A87">
              <w:rPr>
                <w:color w:val="000000"/>
                <w:sz w:val="18"/>
                <w:szCs w:val="18"/>
                <w:lang w:val="en-GB" w:eastAsia="en-GB"/>
              </w:rPr>
              <w:t xml:space="preserve">Change CERT to </w:t>
            </w:r>
            <w:r>
              <w:rPr>
                <w:color w:val="000000"/>
                <w:sz w:val="18"/>
                <w:szCs w:val="18"/>
                <w:lang w:val="en-GB" w:eastAsia="en-GB"/>
              </w:rPr>
              <w:t>[</w:t>
            </w:r>
            <w:r w:rsidRPr="00FD2A87">
              <w:rPr>
                <w:color w:val="000000"/>
                <w:sz w:val="18"/>
                <w:szCs w:val="18"/>
                <w:lang w:val="en-GB" w:eastAsia="en-GB"/>
              </w:rPr>
              <w:t>O</w:t>
            </w:r>
            <w:r>
              <w:rPr>
                <w:color w:val="000000"/>
                <w:sz w:val="18"/>
                <w:szCs w:val="18"/>
                <w:lang w:val="en-GB" w:eastAsia="en-GB"/>
              </w:rPr>
              <w:t>]</w:t>
            </w:r>
          </w:p>
        </w:tc>
      </w:tr>
      <w:tr w:rsidR="004B2F86" w:rsidRPr="004B2F86" w:rsidTr="006904E8">
        <w:trPr>
          <w:trHeight w:val="300"/>
        </w:trPr>
        <w:tc>
          <w:tcPr>
            <w:tcW w:w="465" w:type="dxa"/>
            <w:vMerge w:val="restart"/>
            <w:tcBorders>
              <w:top w:val="nil"/>
              <w:left w:val="single" w:sz="8" w:space="0" w:color="auto"/>
              <w:bottom w:val="single" w:sz="8" w:space="0" w:color="000000"/>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5</w:t>
            </w:r>
          </w:p>
        </w:tc>
        <w:tc>
          <w:tcPr>
            <w:tcW w:w="795" w:type="dxa"/>
            <w:vMerge w:val="restart"/>
            <w:tcBorders>
              <w:top w:val="nil"/>
              <w:left w:val="single" w:sz="8" w:space="0" w:color="auto"/>
              <w:bottom w:val="single" w:sz="8" w:space="0" w:color="000000"/>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CLSA</w:t>
            </w:r>
          </w:p>
        </w:tc>
        <w:tc>
          <w:tcPr>
            <w:tcW w:w="960" w:type="dxa"/>
            <w:vMerge w:val="restart"/>
            <w:tcBorders>
              <w:top w:val="nil"/>
              <w:left w:val="single" w:sz="8" w:space="0" w:color="auto"/>
              <w:bottom w:val="single" w:sz="8" w:space="0" w:color="000000"/>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nil"/>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BE - Shouldn't we have a RDTE in the global column?</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RDTE not to be included</w:t>
            </w:r>
            <w:r w:rsidR="004A7FD4">
              <w:rPr>
                <w:color w:val="000000"/>
                <w:sz w:val="18"/>
                <w:szCs w:val="18"/>
                <w:lang w:val="en-GB" w:eastAsia="en-GB"/>
              </w:rPr>
              <w:t xml:space="preserve"> as we already have CLCP period.</w:t>
            </w:r>
          </w:p>
        </w:tc>
      </w:tr>
      <w:tr w:rsidR="004B2F86" w:rsidRPr="004B2F86" w:rsidTr="006904E8">
        <w:trPr>
          <w:trHeight w:val="403"/>
        </w:trPr>
        <w:tc>
          <w:tcPr>
            <w:tcW w:w="465" w:type="dxa"/>
            <w:vMerge/>
            <w:tcBorders>
              <w:top w:val="nil"/>
              <w:left w:val="single" w:sz="8" w:space="0" w:color="auto"/>
              <w:bottom w:val="single" w:sz="8" w:space="0" w:color="000000"/>
              <w:right w:val="single" w:sz="8" w:space="0" w:color="auto"/>
            </w:tcBorders>
            <w:vAlign w:val="center"/>
            <w:hideMark/>
          </w:tcPr>
          <w:p w:rsidR="004B2F86" w:rsidRPr="00FD2A87" w:rsidRDefault="004B2F86" w:rsidP="00FD2A87">
            <w:pPr>
              <w:spacing w:after="0"/>
              <w:jc w:val="center"/>
              <w:rPr>
                <w:color w:val="000000"/>
                <w:sz w:val="18"/>
                <w:szCs w:val="18"/>
                <w:lang w:val="en-GB" w:eastAsia="en-GB"/>
              </w:rPr>
            </w:pPr>
          </w:p>
        </w:tc>
        <w:tc>
          <w:tcPr>
            <w:tcW w:w="795" w:type="dxa"/>
            <w:vMerge/>
            <w:tcBorders>
              <w:top w:val="nil"/>
              <w:left w:val="single" w:sz="8" w:space="0" w:color="auto"/>
              <w:bottom w:val="single" w:sz="8" w:space="0" w:color="000000"/>
              <w:right w:val="single" w:sz="8" w:space="0" w:color="auto"/>
            </w:tcBorders>
            <w:vAlign w:val="center"/>
            <w:hideMark/>
          </w:tcPr>
          <w:p w:rsidR="004B2F86" w:rsidRPr="00FD2A87" w:rsidRDefault="004B2F86" w:rsidP="004B2F86">
            <w:pPr>
              <w:spacing w:after="0"/>
              <w:rPr>
                <w:color w:val="000000"/>
                <w:sz w:val="18"/>
                <w:szCs w:val="18"/>
                <w:lang w:val="en-GB" w:eastAsia="en-GB"/>
              </w:rPr>
            </w:pPr>
          </w:p>
        </w:tc>
        <w:tc>
          <w:tcPr>
            <w:tcW w:w="960" w:type="dxa"/>
            <w:vMerge/>
            <w:tcBorders>
              <w:top w:val="nil"/>
              <w:left w:val="single" w:sz="8" w:space="0" w:color="auto"/>
              <w:bottom w:val="single" w:sz="8" w:space="0" w:color="000000"/>
              <w:right w:val="single" w:sz="8" w:space="0" w:color="auto"/>
            </w:tcBorders>
            <w:vAlign w:val="center"/>
            <w:hideMark/>
          </w:tcPr>
          <w:p w:rsidR="004B2F86" w:rsidRPr="00FD2A87" w:rsidRDefault="004B2F86" w:rsidP="004B2F86">
            <w:pPr>
              <w:spacing w:after="0"/>
              <w:rPr>
                <w:color w:val="000000"/>
                <w:sz w:val="18"/>
                <w:szCs w:val="18"/>
                <w:lang w:val="en-GB" w:eastAsia="en-GB"/>
              </w:rPr>
            </w:pPr>
          </w:p>
        </w:tc>
        <w:tc>
          <w:tcPr>
            <w:tcW w:w="4980" w:type="dxa"/>
            <w:tcBorders>
              <w:top w:val="nil"/>
              <w:left w:val="nil"/>
              <w:bottom w:val="single" w:sz="8" w:space="0" w:color="auto"/>
              <w:right w:val="nil"/>
            </w:tcBorders>
            <w:shd w:val="clear" w:color="auto" w:fill="auto"/>
            <w:hideMark/>
          </w:tcPr>
          <w:p w:rsidR="004B2F86" w:rsidRPr="00FD2A87" w:rsidRDefault="0023157A" w:rsidP="004B2F86">
            <w:pPr>
              <w:spacing w:after="0"/>
              <w:rPr>
                <w:color w:val="000000"/>
                <w:sz w:val="18"/>
                <w:szCs w:val="18"/>
                <w:lang w:val="en-GB" w:eastAsia="en-GB"/>
              </w:rPr>
            </w:pPr>
            <w:r>
              <w:rPr>
                <w:color w:val="000000"/>
                <w:sz w:val="18"/>
                <w:szCs w:val="18"/>
                <w:lang w:val="en-GB" w:eastAsia="en-GB"/>
              </w:rPr>
              <w:t>Should</w:t>
            </w:r>
            <w:r w:rsidR="004B2F86" w:rsidRPr="00FD2A87">
              <w:rPr>
                <w:color w:val="000000"/>
                <w:sz w:val="18"/>
                <w:szCs w:val="18"/>
                <w:lang w:val="en-GB" w:eastAsia="en-GB"/>
              </w:rPr>
              <w:t>n’t we have REVO period as it is in the template ?</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111422" w:rsidRDefault="00111422" w:rsidP="004B2F86">
            <w:pPr>
              <w:spacing w:after="0"/>
              <w:rPr>
                <w:b/>
                <w:color w:val="FF0000"/>
                <w:sz w:val="18"/>
                <w:szCs w:val="18"/>
                <w:lang w:val="en-GB" w:eastAsia="en-GB"/>
              </w:rPr>
            </w:pPr>
            <w:r>
              <w:rPr>
                <w:b/>
                <w:color w:val="FF0000"/>
                <w:sz w:val="18"/>
                <w:szCs w:val="18"/>
                <w:u w:val="single"/>
                <w:lang w:val="en-GB" w:eastAsia="en-GB"/>
              </w:rPr>
              <w:t xml:space="preserve">+ </w:t>
            </w:r>
            <w:r w:rsidR="004B2F86" w:rsidRPr="00111422">
              <w:rPr>
                <w:b/>
                <w:color w:val="FF0000"/>
                <w:sz w:val="18"/>
                <w:szCs w:val="18"/>
                <w:u w:val="single"/>
                <w:lang w:val="en-GB" w:eastAsia="en-GB"/>
              </w:rPr>
              <w:t>Sonda</w:t>
            </w:r>
            <w:r w:rsidR="004B2F86" w:rsidRPr="00111422">
              <w:rPr>
                <w:b/>
                <w:color w:val="FF0000"/>
                <w:sz w:val="18"/>
                <w:szCs w:val="18"/>
                <w:lang w:val="en-GB" w:eastAsia="en-GB"/>
              </w:rPr>
              <w:t xml:space="preserve"> to investigate if REVO is applicable</w:t>
            </w:r>
          </w:p>
        </w:tc>
      </w:tr>
      <w:tr w:rsidR="004B2F86"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6</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DETI</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 xml:space="preserve">MAND  </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 Only PAYD and EARL are included. Should RDTE be added? Any rates?</w:t>
            </w:r>
          </w:p>
        </w:tc>
        <w:tc>
          <w:tcPr>
            <w:tcW w:w="3114" w:type="dxa"/>
            <w:tcBorders>
              <w:top w:val="nil"/>
              <w:left w:val="single" w:sz="4" w:space="0" w:color="auto"/>
              <w:bottom w:val="single" w:sz="4" w:space="0" w:color="auto"/>
              <w:right w:val="single" w:sz="4" w:space="0" w:color="auto"/>
            </w:tcBorders>
            <w:shd w:val="clear" w:color="auto" w:fill="auto"/>
            <w:hideMark/>
          </w:tcPr>
          <w:p w:rsidR="00DB1F54" w:rsidRDefault="004B2F86" w:rsidP="004B2F86">
            <w:pPr>
              <w:spacing w:after="0"/>
              <w:rPr>
                <w:color w:val="000000"/>
                <w:sz w:val="18"/>
                <w:szCs w:val="18"/>
                <w:u w:val="single"/>
                <w:lang w:val="en-GB" w:eastAsia="en-GB"/>
              </w:rPr>
            </w:pPr>
            <w:r w:rsidRPr="00FD2A87">
              <w:rPr>
                <w:color w:val="000000"/>
                <w:sz w:val="18"/>
                <w:szCs w:val="18"/>
                <w:lang w:val="en-GB" w:eastAsia="en-GB"/>
              </w:rPr>
              <w:t xml:space="preserve">Add RDTE [M], NEWO [O]. </w:t>
            </w:r>
          </w:p>
          <w:p w:rsidR="004B2F86" w:rsidRPr="00111422" w:rsidRDefault="00111422" w:rsidP="004B2F86">
            <w:pPr>
              <w:spacing w:after="0"/>
              <w:rPr>
                <w:b/>
                <w:color w:val="FF0000"/>
                <w:sz w:val="18"/>
                <w:szCs w:val="18"/>
                <w:lang w:val="en-GB" w:eastAsia="en-GB"/>
              </w:rPr>
            </w:pPr>
            <w:r>
              <w:rPr>
                <w:b/>
                <w:color w:val="FF0000"/>
                <w:sz w:val="18"/>
                <w:szCs w:val="18"/>
                <w:u w:val="single"/>
                <w:lang w:val="en-GB" w:eastAsia="en-GB"/>
              </w:rPr>
              <w:t xml:space="preserve">+ </w:t>
            </w:r>
            <w:r w:rsidRPr="00111422">
              <w:rPr>
                <w:b/>
                <w:color w:val="FF0000"/>
                <w:sz w:val="18"/>
                <w:szCs w:val="18"/>
                <w:u w:val="single"/>
                <w:lang w:val="en-GB" w:eastAsia="en-GB"/>
              </w:rPr>
              <w:t>Those concerned</w:t>
            </w:r>
            <w:r>
              <w:rPr>
                <w:b/>
                <w:color w:val="FF0000"/>
                <w:sz w:val="18"/>
                <w:szCs w:val="18"/>
                <w:lang w:val="en-GB" w:eastAsia="en-GB"/>
              </w:rPr>
              <w:t xml:space="preserve">: </w:t>
            </w:r>
            <w:r w:rsidR="00DB1F54" w:rsidRPr="00111422">
              <w:rPr>
                <w:b/>
                <w:color w:val="FF0000"/>
                <w:sz w:val="18"/>
                <w:szCs w:val="18"/>
                <w:lang w:val="en-GB" w:eastAsia="en-GB"/>
              </w:rPr>
              <w:t xml:space="preserve">Check if </w:t>
            </w:r>
            <w:r w:rsidR="004B2F86" w:rsidRPr="00111422">
              <w:rPr>
                <w:b/>
                <w:color w:val="FF0000"/>
                <w:sz w:val="18"/>
                <w:szCs w:val="18"/>
                <w:lang w:val="en-GB" w:eastAsia="en-GB"/>
              </w:rPr>
              <w:t>RATE</w:t>
            </w:r>
            <w:r w:rsidR="00DB1F54" w:rsidRPr="00111422">
              <w:rPr>
                <w:b/>
                <w:color w:val="FF0000"/>
                <w:sz w:val="18"/>
                <w:szCs w:val="18"/>
                <w:lang w:val="en-GB" w:eastAsia="en-GB"/>
              </w:rPr>
              <w:t xml:space="preserve"> is needed </w:t>
            </w:r>
            <w:r w:rsidR="004B2F86" w:rsidRPr="00111422">
              <w:rPr>
                <w:b/>
                <w:color w:val="FF0000"/>
                <w:sz w:val="18"/>
                <w:szCs w:val="18"/>
                <w:lang w:val="en-GB" w:eastAsia="en-GB"/>
              </w:rPr>
              <w:t>?</w:t>
            </w:r>
          </w:p>
        </w:tc>
      </w:tr>
      <w:tr w:rsidR="004B2F86"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lastRenderedPageBreak/>
              <w:t>7</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DRCA</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Still to be validated</w:t>
            </w:r>
          </w:p>
        </w:tc>
        <w:tc>
          <w:tcPr>
            <w:tcW w:w="3114" w:type="dxa"/>
            <w:tcBorders>
              <w:top w:val="nil"/>
              <w:left w:val="single" w:sz="4" w:space="0" w:color="auto"/>
              <w:bottom w:val="single" w:sz="4" w:space="0" w:color="auto"/>
              <w:right w:val="single" w:sz="4" w:space="0" w:color="auto"/>
            </w:tcBorders>
            <w:shd w:val="clear" w:color="auto" w:fill="auto"/>
            <w:hideMark/>
          </w:tcPr>
          <w:p w:rsidR="006904E8" w:rsidRDefault="004B2F86" w:rsidP="004B2F86">
            <w:pPr>
              <w:spacing w:after="0"/>
              <w:rPr>
                <w:color w:val="000000"/>
                <w:sz w:val="18"/>
                <w:szCs w:val="18"/>
                <w:lang w:val="en-GB" w:eastAsia="en-GB"/>
              </w:rPr>
            </w:pPr>
            <w:r w:rsidRPr="00FD2A87">
              <w:rPr>
                <w:color w:val="000000"/>
                <w:sz w:val="18"/>
                <w:szCs w:val="18"/>
                <w:lang w:val="en-GB" w:eastAsia="en-GB"/>
              </w:rPr>
              <w:t xml:space="preserve">Remove MCTD from GG. </w:t>
            </w:r>
          </w:p>
          <w:p w:rsidR="004B2F86" w:rsidRPr="00111422" w:rsidRDefault="00111422" w:rsidP="004B2F86">
            <w:pPr>
              <w:spacing w:after="0"/>
              <w:rPr>
                <w:b/>
                <w:color w:val="000000"/>
                <w:sz w:val="18"/>
                <w:szCs w:val="18"/>
                <w:lang w:val="en-GB" w:eastAsia="en-GB"/>
              </w:rPr>
            </w:pPr>
            <w:r>
              <w:rPr>
                <w:b/>
                <w:color w:val="FF0000"/>
                <w:sz w:val="18"/>
                <w:szCs w:val="18"/>
                <w:u w:val="single"/>
                <w:lang w:val="en-GB" w:eastAsia="en-GB"/>
              </w:rPr>
              <w:t xml:space="preserve">+ </w:t>
            </w:r>
            <w:r w:rsidR="004B2F86" w:rsidRPr="00111422">
              <w:rPr>
                <w:b/>
                <w:color w:val="FF0000"/>
                <w:sz w:val="18"/>
                <w:szCs w:val="18"/>
                <w:u w:val="single"/>
                <w:lang w:val="en-GB" w:eastAsia="en-GB"/>
              </w:rPr>
              <w:t>Sonda</w:t>
            </w:r>
            <w:r w:rsidR="004B2F86" w:rsidRPr="00111422">
              <w:rPr>
                <w:b/>
                <w:color w:val="FF0000"/>
                <w:sz w:val="18"/>
                <w:szCs w:val="18"/>
                <w:lang w:val="en-GB" w:eastAsia="en-GB"/>
              </w:rPr>
              <w:t xml:space="preserve"> to check EFFD in template</w:t>
            </w:r>
            <w:r w:rsidR="004B2F86" w:rsidRPr="00111422">
              <w:rPr>
                <w:b/>
                <w:color w:val="000000"/>
                <w:sz w:val="18"/>
                <w:szCs w:val="18"/>
                <w:lang w:val="en-GB" w:eastAsia="en-GB"/>
              </w:rPr>
              <w:t>.</w:t>
            </w:r>
          </w:p>
        </w:tc>
      </w:tr>
      <w:tr w:rsidR="004B2F86"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8</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DSCL</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4B2F86" w:rsidRPr="00FD2A87" w:rsidRDefault="004B2F86" w:rsidP="0023157A">
            <w:pPr>
              <w:spacing w:after="0"/>
              <w:rPr>
                <w:color w:val="000000"/>
                <w:sz w:val="18"/>
                <w:szCs w:val="18"/>
                <w:lang w:val="en-GB" w:eastAsia="en-GB"/>
              </w:rPr>
            </w:pPr>
            <w:r w:rsidRPr="00FD2A87">
              <w:rPr>
                <w:color w:val="000000"/>
                <w:sz w:val="18"/>
                <w:szCs w:val="18"/>
                <w:lang w:val="en-GB" w:eastAsia="en-GB"/>
              </w:rPr>
              <w:t>SE - Why are PAYD, EARL an</w:t>
            </w:r>
            <w:r w:rsidR="0023157A">
              <w:rPr>
                <w:color w:val="000000"/>
                <w:sz w:val="18"/>
                <w:szCs w:val="18"/>
                <w:lang w:val="en-GB" w:eastAsia="en-GB"/>
              </w:rPr>
              <w:t>d VALU included? Is there a payo</w:t>
            </w:r>
            <w:r w:rsidRPr="00FD2A87">
              <w:rPr>
                <w:color w:val="000000"/>
                <w:sz w:val="18"/>
                <w:szCs w:val="18"/>
                <w:lang w:val="en-GB" w:eastAsia="en-GB"/>
              </w:rPr>
              <w:t>ut in cash? If so, should a price not be added?</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6904E8" w:rsidP="006904E8">
            <w:pPr>
              <w:spacing w:after="0"/>
              <w:rPr>
                <w:color w:val="000000"/>
                <w:sz w:val="18"/>
                <w:szCs w:val="18"/>
                <w:lang w:val="en-GB" w:eastAsia="en-GB"/>
              </w:rPr>
            </w:pPr>
            <w:r>
              <w:rPr>
                <w:color w:val="000000"/>
                <w:sz w:val="18"/>
                <w:szCs w:val="18"/>
                <w:lang w:val="en-GB" w:eastAsia="en-GB"/>
              </w:rPr>
              <w:t>No cash payout then r</w:t>
            </w:r>
            <w:r w:rsidR="004B2F86" w:rsidRPr="00FD2A87">
              <w:rPr>
                <w:color w:val="000000"/>
                <w:sz w:val="18"/>
                <w:szCs w:val="18"/>
                <w:lang w:val="en-GB" w:eastAsia="en-GB"/>
              </w:rPr>
              <w:t>emove PAYD, EARL and VALU. Add MKDT [O] and RDDT [O].</w:t>
            </w:r>
          </w:p>
        </w:tc>
      </w:tr>
      <w:tr w:rsidR="004B2F86"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9</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DSCL</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 xml:space="preserve">SE - Why are PAYD, EARL and VALU included? Is there a </w:t>
            </w:r>
            <w:r w:rsidR="0023157A" w:rsidRPr="00FD2A87">
              <w:rPr>
                <w:color w:val="000000"/>
                <w:sz w:val="18"/>
                <w:szCs w:val="18"/>
                <w:lang w:val="en-GB" w:eastAsia="en-GB"/>
              </w:rPr>
              <w:t>payout</w:t>
            </w:r>
            <w:r w:rsidRPr="00FD2A87">
              <w:rPr>
                <w:color w:val="000000"/>
                <w:sz w:val="18"/>
                <w:szCs w:val="18"/>
                <w:lang w:val="en-GB" w:eastAsia="en-GB"/>
              </w:rPr>
              <w:t xml:space="preserve"> in cash? If so, should a price not be added?</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Remove PAYD, EARL and VALU.</w:t>
            </w:r>
          </w:p>
        </w:tc>
      </w:tr>
      <w:tr w:rsidR="004B2F86"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10</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DTCH</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UK - Shouldn't we add PWAL ?</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Add PWAL [O]</w:t>
            </w:r>
          </w:p>
        </w:tc>
      </w:tr>
      <w:tr w:rsidR="004B2F86"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4B2F86" w:rsidRPr="00FD2A87" w:rsidRDefault="004B2F86" w:rsidP="00FD2A87">
            <w:pPr>
              <w:spacing w:after="0"/>
              <w:jc w:val="center"/>
              <w:rPr>
                <w:color w:val="000000"/>
                <w:sz w:val="18"/>
                <w:szCs w:val="18"/>
                <w:lang w:val="en-GB" w:eastAsia="en-GB"/>
              </w:rPr>
            </w:pPr>
            <w:r w:rsidRPr="00FD2A87">
              <w:rPr>
                <w:color w:val="000000"/>
                <w:sz w:val="18"/>
                <w:szCs w:val="18"/>
                <w:lang w:val="en-GB" w:eastAsia="en-GB"/>
              </w:rPr>
              <w:t>11</w:t>
            </w:r>
          </w:p>
        </w:tc>
        <w:tc>
          <w:tcPr>
            <w:tcW w:w="795"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DVOP</w:t>
            </w:r>
          </w:p>
        </w:tc>
        <w:tc>
          <w:tcPr>
            <w:tcW w:w="960" w:type="dxa"/>
            <w:tcBorders>
              <w:top w:val="nil"/>
              <w:left w:val="nil"/>
              <w:bottom w:val="single" w:sz="8" w:space="0" w:color="auto"/>
              <w:right w:val="single" w:sz="8"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"SE - NETT should be O, not M.</w:t>
            </w:r>
          </w:p>
        </w:tc>
        <w:tc>
          <w:tcPr>
            <w:tcW w:w="3114" w:type="dxa"/>
            <w:tcBorders>
              <w:top w:val="nil"/>
              <w:left w:val="single" w:sz="4" w:space="0" w:color="auto"/>
              <w:bottom w:val="single" w:sz="4" w:space="0" w:color="auto"/>
              <w:right w:val="single" w:sz="4" w:space="0" w:color="auto"/>
            </w:tcBorders>
            <w:shd w:val="clear" w:color="auto" w:fill="auto"/>
            <w:hideMark/>
          </w:tcPr>
          <w:p w:rsidR="004B2F86" w:rsidRPr="00FD2A87" w:rsidRDefault="004B2F86" w:rsidP="004B2F86">
            <w:pPr>
              <w:spacing w:after="0"/>
              <w:rPr>
                <w:color w:val="000000"/>
                <w:sz w:val="18"/>
                <w:szCs w:val="18"/>
                <w:lang w:val="en-GB" w:eastAsia="en-GB"/>
              </w:rPr>
            </w:pPr>
            <w:r w:rsidRPr="00FD2A87">
              <w:rPr>
                <w:color w:val="000000"/>
                <w:sz w:val="18"/>
                <w:szCs w:val="18"/>
                <w:lang w:val="en-GB" w:eastAsia="en-GB"/>
              </w:rPr>
              <w:t xml:space="preserve">Change to </w:t>
            </w:r>
            <w:r w:rsidR="006904E8">
              <w:rPr>
                <w:color w:val="000000"/>
                <w:sz w:val="18"/>
                <w:szCs w:val="18"/>
                <w:lang w:val="en-GB" w:eastAsia="en-GB"/>
              </w:rPr>
              <w:t>[</w:t>
            </w:r>
            <w:r w:rsidRPr="00FD2A87">
              <w:rPr>
                <w:color w:val="000000"/>
                <w:sz w:val="18"/>
                <w:szCs w:val="18"/>
                <w:lang w:val="en-GB" w:eastAsia="en-GB"/>
              </w:rPr>
              <w:t>O</w:t>
            </w:r>
            <w:r w:rsidR="006904E8">
              <w:rPr>
                <w:color w:val="000000"/>
                <w:sz w:val="18"/>
                <w:szCs w:val="18"/>
                <w:lang w:val="en-GB" w:eastAsia="en-GB"/>
              </w:rPr>
              <w:t>]</w:t>
            </w:r>
          </w:p>
        </w:tc>
      </w:tr>
      <w:tr w:rsidR="006904E8" w:rsidRPr="004B2F86" w:rsidTr="006904E8">
        <w:trPr>
          <w:trHeight w:val="871"/>
        </w:trPr>
        <w:tc>
          <w:tcPr>
            <w:tcW w:w="465" w:type="dxa"/>
            <w:tcBorders>
              <w:top w:val="nil"/>
              <w:left w:val="single" w:sz="8" w:space="0" w:color="auto"/>
              <w:bottom w:val="single" w:sz="8" w:space="0" w:color="auto"/>
              <w:right w:val="single" w:sz="8" w:space="0" w:color="auto"/>
            </w:tcBorders>
            <w:shd w:val="clear" w:color="auto" w:fill="auto"/>
            <w:hideMark/>
          </w:tcPr>
          <w:p w:rsidR="006904E8" w:rsidRPr="00FD2A87" w:rsidRDefault="006904E8" w:rsidP="00FD2A87">
            <w:pPr>
              <w:spacing w:after="0"/>
              <w:jc w:val="center"/>
              <w:rPr>
                <w:color w:val="000000"/>
                <w:sz w:val="18"/>
                <w:szCs w:val="18"/>
                <w:lang w:val="en-GB" w:eastAsia="en-GB"/>
              </w:rPr>
            </w:pPr>
            <w:r w:rsidRPr="00FD2A87">
              <w:rPr>
                <w:color w:val="000000"/>
                <w:sz w:val="18"/>
                <w:szCs w:val="18"/>
                <w:lang w:val="en-GB" w:eastAsia="en-GB"/>
              </w:rPr>
              <w:t>12</w:t>
            </w:r>
          </w:p>
        </w:tc>
        <w:tc>
          <w:tcPr>
            <w:tcW w:w="795" w:type="dxa"/>
            <w:tcBorders>
              <w:top w:val="nil"/>
              <w:left w:val="nil"/>
              <w:bottom w:val="single" w:sz="8" w:space="0" w:color="auto"/>
              <w:right w:val="single" w:sz="8" w:space="0" w:color="auto"/>
            </w:tcBorders>
            <w:shd w:val="clear" w:color="auto" w:fill="auto"/>
            <w:hideMark/>
          </w:tcPr>
          <w:p w:rsidR="006904E8" w:rsidRPr="00FD2A87" w:rsidRDefault="006904E8" w:rsidP="006904E8">
            <w:pPr>
              <w:spacing w:after="0"/>
              <w:rPr>
                <w:color w:val="000000"/>
                <w:sz w:val="18"/>
                <w:szCs w:val="18"/>
                <w:lang w:val="en-GB" w:eastAsia="en-GB"/>
              </w:rPr>
            </w:pPr>
            <w:r w:rsidRPr="00FD2A87">
              <w:rPr>
                <w:color w:val="000000"/>
                <w:sz w:val="18"/>
                <w:szCs w:val="18"/>
                <w:lang w:val="en-GB" w:eastAsia="en-GB"/>
              </w:rPr>
              <w:t>DVOP</w:t>
            </w:r>
          </w:p>
        </w:tc>
        <w:tc>
          <w:tcPr>
            <w:tcW w:w="960" w:type="dxa"/>
            <w:tcBorders>
              <w:top w:val="nil"/>
              <w:left w:val="nil"/>
              <w:bottom w:val="single" w:sz="8" w:space="0" w:color="auto"/>
              <w:right w:val="single" w:sz="8" w:space="0" w:color="auto"/>
            </w:tcBorders>
            <w:shd w:val="clear" w:color="auto" w:fill="auto"/>
            <w:hideMark/>
          </w:tcPr>
          <w:p w:rsidR="006904E8" w:rsidRPr="00FD2A87" w:rsidRDefault="006904E8" w:rsidP="006904E8">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6904E8" w:rsidRPr="00FD2A87" w:rsidRDefault="006904E8" w:rsidP="004B2F86">
            <w:pPr>
              <w:spacing w:after="0"/>
              <w:rPr>
                <w:color w:val="000000"/>
                <w:sz w:val="18"/>
                <w:szCs w:val="18"/>
                <w:lang w:val="en-GB" w:eastAsia="en-GB"/>
              </w:rPr>
            </w:pPr>
            <w:r w:rsidRPr="00FD2A87">
              <w:rPr>
                <w:color w:val="000000"/>
                <w:sz w:val="18"/>
                <w:szCs w:val="18"/>
                <w:lang w:val="en-GB" w:eastAsia="en-GB"/>
              </w:rPr>
              <w:t>UK (from sample) - Shouldn't we add PRPP (price to calculate the securities issued)"</w:t>
            </w:r>
          </w:p>
        </w:tc>
        <w:tc>
          <w:tcPr>
            <w:tcW w:w="3114" w:type="dxa"/>
            <w:tcBorders>
              <w:top w:val="nil"/>
              <w:left w:val="single" w:sz="4" w:space="0" w:color="auto"/>
              <w:bottom w:val="single" w:sz="4" w:space="0" w:color="auto"/>
              <w:right w:val="single" w:sz="4" w:space="0" w:color="auto"/>
            </w:tcBorders>
            <w:shd w:val="clear" w:color="auto" w:fill="auto"/>
            <w:hideMark/>
          </w:tcPr>
          <w:p w:rsidR="006904E8" w:rsidRPr="00FD2A87" w:rsidRDefault="006904E8" w:rsidP="004B2F86">
            <w:pPr>
              <w:spacing w:after="0"/>
              <w:rPr>
                <w:color w:val="000000"/>
                <w:sz w:val="18"/>
                <w:szCs w:val="18"/>
                <w:lang w:val="en-GB" w:eastAsia="en-GB"/>
              </w:rPr>
            </w:pPr>
            <w:r w:rsidRPr="00FD2A87">
              <w:rPr>
                <w:color w:val="000000"/>
                <w:sz w:val="18"/>
                <w:szCs w:val="18"/>
                <w:lang w:val="en-GB" w:eastAsia="en-GB"/>
              </w:rPr>
              <w:t>Add PRPP [O], with comment to say Include in E1, when issuer announces GRSS and PRPP for SECU, not ADEX</w:t>
            </w:r>
          </w:p>
        </w:tc>
      </w:tr>
      <w:tr w:rsidR="006904E8"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6904E8" w:rsidRPr="00FD2A87" w:rsidRDefault="006904E8" w:rsidP="00FD2A87">
            <w:pPr>
              <w:spacing w:after="0"/>
              <w:jc w:val="center"/>
              <w:rPr>
                <w:color w:val="000000"/>
                <w:sz w:val="18"/>
                <w:szCs w:val="18"/>
                <w:lang w:val="en-GB" w:eastAsia="en-GB"/>
              </w:rPr>
            </w:pPr>
            <w:r w:rsidRPr="00FD2A87">
              <w:rPr>
                <w:color w:val="000000"/>
                <w:sz w:val="18"/>
                <w:szCs w:val="18"/>
                <w:lang w:val="en-GB" w:eastAsia="en-GB"/>
              </w:rPr>
              <w:t>13</w:t>
            </w:r>
          </w:p>
        </w:tc>
        <w:tc>
          <w:tcPr>
            <w:tcW w:w="795" w:type="dxa"/>
            <w:tcBorders>
              <w:top w:val="nil"/>
              <w:left w:val="nil"/>
              <w:bottom w:val="single" w:sz="8" w:space="0" w:color="auto"/>
              <w:right w:val="single" w:sz="8" w:space="0" w:color="auto"/>
            </w:tcBorders>
            <w:shd w:val="clear" w:color="auto" w:fill="auto"/>
            <w:hideMark/>
          </w:tcPr>
          <w:p w:rsidR="006904E8" w:rsidRPr="00FD2A87" w:rsidRDefault="006904E8" w:rsidP="004B2F86">
            <w:pPr>
              <w:spacing w:after="0"/>
              <w:rPr>
                <w:color w:val="000000"/>
                <w:sz w:val="18"/>
                <w:szCs w:val="18"/>
                <w:lang w:val="en-GB" w:eastAsia="en-GB"/>
              </w:rPr>
            </w:pPr>
            <w:r w:rsidRPr="00FD2A87">
              <w:rPr>
                <w:color w:val="000000"/>
                <w:sz w:val="18"/>
                <w:szCs w:val="18"/>
                <w:lang w:val="en-GB" w:eastAsia="en-GB"/>
              </w:rPr>
              <w:t>EXRI</w:t>
            </w:r>
          </w:p>
        </w:tc>
        <w:tc>
          <w:tcPr>
            <w:tcW w:w="960" w:type="dxa"/>
            <w:tcBorders>
              <w:top w:val="nil"/>
              <w:left w:val="nil"/>
              <w:bottom w:val="single" w:sz="8" w:space="0" w:color="auto"/>
              <w:right w:val="single" w:sz="8" w:space="0" w:color="auto"/>
            </w:tcBorders>
            <w:shd w:val="clear" w:color="auto" w:fill="auto"/>
            <w:hideMark/>
          </w:tcPr>
          <w:p w:rsidR="006904E8" w:rsidRPr="00FD2A87" w:rsidRDefault="006904E8" w:rsidP="004B2F86">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6904E8" w:rsidRPr="00FD2A87" w:rsidRDefault="006904E8" w:rsidP="004B2F86">
            <w:pPr>
              <w:spacing w:after="0"/>
              <w:rPr>
                <w:color w:val="000000"/>
                <w:sz w:val="18"/>
                <w:szCs w:val="18"/>
                <w:lang w:val="en-GB" w:eastAsia="en-GB"/>
              </w:rPr>
            </w:pPr>
            <w:r w:rsidRPr="00FD2A87">
              <w:rPr>
                <w:color w:val="000000"/>
                <w:sz w:val="18"/>
                <w:szCs w:val="18"/>
                <w:lang w:val="en-GB" w:eastAsia="en-GB"/>
              </w:rPr>
              <w:t>"BE - NOAC Should be deleted for a CHOS</w:t>
            </w:r>
          </w:p>
        </w:tc>
        <w:tc>
          <w:tcPr>
            <w:tcW w:w="3114" w:type="dxa"/>
            <w:tcBorders>
              <w:top w:val="nil"/>
              <w:left w:val="single" w:sz="4" w:space="0" w:color="auto"/>
              <w:bottom w:val="single" w:sz="4" w:space="0" w:color="auto"/>
              <w:right w:val="single" w:sz="4" w:space="0" w:color="auto"/>
            </w:tcBorders>
            <w:shd w:val="clear" w:color="auto" w:fill="auto"/>
            <w:hideMark/>
          </w:tcPr>
          <w:p w:rsidR="000610F8" w:rsidRDefault="000610F8" w:rsidP="000610F8">
            <w:pPr>
              <w:tabs>
                <w:tab w:val="left" w:pos="1695"/>
              </w:tabs>
              <w:spacing w:after="0"/>
              <w:rPr>
                <w:color w:val="000000"/>
                <w:sz w:val="18"/>
                <w:szCs w:val="18"/>
                <w:lang w:val="en-GB" w:eastAsia="en-GB"/>
              </w:rPr>
            </w:pPr>
            <w:r>
              <w:rPr>
                <w:color w:val="000000"/>
                <w:sz w:val="18"/>
                <w:szCs w:val="18"/>
                <w:lang w:val="en-GB" w:eastAsia="en-GB"/>
              </w:rPr>
              <w:t>Remove NOAC</w:t>
            </w:r>
            <w:r w:rsidRPr="000610F8">
              <w:rPr>
                <w:color w:val="000000"/>
                <w:sz w:val="18"/>
                <w:szCs w:val="18"/>
                <w:lang w:val="en-GB" w:eastAsia="en-GB"/>
              </w:rPr>
              <w:t xml:space="preserve"> from GG and add it to FR column </w:t>
            </w:r>
          </w:p>
          <w:p w:rsidR="006904E8" w:rsidRPr="00111422" w:rsidRDefault="00111422" w:rsidP="000610F8">
            <w:pPr>
              <w:tabs>
                <w:tab w:val="left" w:pos="1695"/>
              </w:tabs>
              <w:spacing w:after="0"/>
              <w:rPr>
                <w:b/>
                <w:color w:val="FF0000"/>
                <w:sz w:val="18"/>
                <w:szCs w:val="18"/>
                <w:lang w:val="en-GB" w:eastAsia="en-GB"/>
              </w:rPr>
            </w:pPr>
            <w:r>
              <w:rPr>
                <w:b/>
                <w:color w:val="FF0000"/>
                <w:sz w:val="18"/>
                <w:szCs w:val="18"/>
                <w:u w:val="single"/>
                <w:lang w:val="en-GB" w:eastAsia="en-GB"/>
              </w:rPr>
              <w:t xml:space="preserve">+ </w:t>
            </w:r>
            <w:r w:rsidR="000610F8" w:rsidRPr="00111422">
              <w:rPr>
                <w:b/>
                <w:color w:val="FF0000"/>
                <w:sz w:val="18"/>
                <w:szCs w:val="18"/>
                <w:u w:val="single"/>
                <w:lang w:val="en-GB" w:eastAsia="en-GB"/>
              </w:rPr>
              <w:t>Kim</w:t>
            </w:r>
            <w:r w:rsidR="000610F8" w:rsidRPr="00111422">
              <w:rPr>
                <w:b/>
                <w:color w:val="FF0000"/>
                <w:sz w:val="18"/>
                <w:szCs w:val="18"/>
                <w:lang w:val="en-GB" w:eastAsia="en-GB"/>
              </w:rPr>
              <w:t xml:space="preserve"> to provide rationale for NOAC in FR column</w:t>
            </w:r>
          </w:p>
        </w:tc>
      </w:tr>
      <w:tr w:rsidR="008D7983"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14</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0D7D63">
            <w:pPr>
              <w:spacing w:after="0"/>
              <w:rPr>
                <w:color w:val="000000"/>
                <w:sz w:val="18"/>
                <w:szCs w:val="18"/>
                <w:lang w:val="en-GB" w:eastAsia="en-GB"/>
              </w:rPr>
            </w:pPr>
            <w:r w:rsidRPr="00FD2A87">
              <w:rPr>
                <w:color w:val="000000"/>
                <w:sz w:val="18"/>
                <w:szCs w:val="18"/>
                <w:lang w:val="en-GB" w:eastAsia="en-GB"/>
              </w:rPr>
              <w:t>EXRI</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0D7D63">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Why is there a comment regarding bonus rights, when we have a BONU CHOS for that?"</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Remove comment</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15</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EXTM</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Why is MATU not included?</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MATU [M]</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16</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EXWA</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Need to be added to the global Grid as it is the most common case</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Yes, add line to GG</w:t>
            </w:r>
            <w:r>
              <w:rPr>
                <w:color w:val="000000"/>
                <w:sz w:val="18"/>
                <w:szCs w:val="18"/>
                <w:lang w:val="en-GB" w:eastAsia="en-GB"/>
              </w:rPr>
              <w:t xml:space="preserve"> (done)</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17</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MEET</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MEET not be included in the date column?</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MEET [M] and RDTE [O]</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18</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CMET</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MEET not be included in the date column?</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MEET [M] and RDTE [O]</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19</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XMET</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MEET not be included in the date column?</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MEET [M] and RDTE [O]</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20</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OMET</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MEET not be included in the date column?</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MEET [M] and RDTE [O]</w:t>
            </w:r>
          </w:p>
        </w:tc>
      </w:tr>
      <w:tr w:rsidR="008D7983" w:rsidRPr="004B2F86" w:rsidTr="006904E8">
        <w:trPr>
          <w:trHeight w:val="421"/>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21</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PLAC</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MAND / SECU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RDTE be added?</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Add RDTE [M]</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22</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RHTS</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CHOS</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 xml:space="preserve">BE -  NOAC </w:t>
            </w:r>
            <w:r w:rsidR="0023157A" w:rsidRPr="00FD2A87">
              <w:rPr>
                <w:color w:val="000000"/>
                <w:sz w:val="18"/>
                <w:szCs w:val="18"/>
                <w:lang w:val="en-GB" w:eastAsia="en-GB"/>
              </w:rPr>
              <w:t>Should</w:t>
            </w:r>
            <w:r w:rsidRPr="00FD2A87">
              <w:rPr>
                <w:color w:val="000000"/>
                <w:sz w:val="18"/>
                <w:szCs w:val="18"/>
                <w:lang w:val="en-GB" w:eastAsia="en-GB"/>
              </w:rPr>
              <w:t xml:space="preserve"> be deleted for a CHOS ?</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Remove NOAC</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23</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SHPR</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MAND</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Why is GUPA included?</w:t>
            </w:r>
          </w:p>
        </w:tc>
        <w:tc>
          <w:tcPr>
            <w:tcW w:w="3114" w:type="dxa"/>
            <w:tcBorders>
              <w:top w:val="nil"/>
              <w:left w:val="single" w:sz="4" w:space="0" w:color="auto"/>
              <w:bottom w:val="single" w:sz="4" w:space="0" w:color="auto"/>
              <w:right w:val="single" w:sz="4" w:space="0" w:color="auto"/>
            </w:tcBorders>
            <w:shd w:val="clear" w:color="auto" w:fill="auto"/>
            <w:hideMark/>
          </w:tcPr>
          <w:p w:rsidR="00361484" w:rsidRPr="00FD2A87" w:rsidRDefault="008D7983" w:rsidP="008D7983">
            <w:pPr>
              <w:spacing w:after="0"/>
              <w:rPr>
                <w:color w:val="000000"/>
                <w:sz w:val="18"/>
                <w:szCs w:val="18"/>
                <w:lang w:val="en-GB" w:eastAsia="en-GB"/>
              </w:rPr>
            </w:pPr>
            <w:r w:rsidRPr="00FD2A87">
              <w:rPr>
                <w:color w:val="000000"/>
                <w:sz w:val="18"/>
                <w:szCs w:val="18"/>
                <w:lang w:val="en-GB" w:eastAsia="en-GB"/>
              </w:rPr>
              <w:t>Remove GUPA</w:t>
            </w:r>
            <w:r>
              <w:rPr>
                <w:color w:val="000000"/>
                <w:sz w:val="18"/>
                <w:szCs w:val="18"/>
                <w:lang w:val="en-GB" w:eastAsia="en-GB"/>
              </w:rPr>
              <w:t xml:space="preserve"> </w:t>
            </w:r>
            <w:r w:rsidRPr="008D7983">
              <w:rPr>
                <w:color w:val="000000"/>
                <w:sz w:val="18"/>
                <w:szCs w:val="18"/>
                <w:lang w:val="en-GB" w:eastAsia="en-GB"/>
              </w:rPr>
              <w:t>as misused in this context. GUPA only for elective events</w:t>
            </w:r>
            <w:r>
              <w:rPr>
                <w:color w:val="000000"/>
                <w:sz w:val="18"/>
                <w:szCs w:val="18"/>
                <w:lang w:val="en-GB" w:eastAsia="en-GB"/>
              </w:rPr>
              <w:t>.</w:t>
            </w:r>
          </w:p>
        </w:tc>
      </w:tr>
      <w:tr w:rsidR="008D7983"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24</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SMAL</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MAND/SECU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RDTE be added?</w:t>
            </w:r>
          </w:p>
        </w:tc>
        <w:tc>
          <w:tcPr>
            <w:tcW w:w="3114" w:type="dxa"/>
            <w:tcBorders>
              <w:top w:val="nil"/>
              <w:left w:val="single" w:sz="4" w:space="0" w:color="auto"/>
              <w:bottom w:val="single" w:sz="4" w:space="0" w:color="auto"/>
              <w:right w:val="single" w:sz="4" w:space="0" w:color="auto"/>
            </w:tcBorders>
            <w:shd w:val="clear" w:color="auto" w:fill="auto"/>
            <w:hideMark/>
          </w:tcPr>
          <w:p w:rsidR="000D7D63" w:rsidRDefault="00111422" w:rsidP="004B2F86">
            <w:pPr>
              <w:spacing w:after="0"/>
              <w:rPr>
                <w:color w:val="000000"/>
                <w:sz w:val="18"/>
                <w:szCs w:val="18"/>
                <w:lang w:val="en-GB" w:eastAsia="en-GB"/>
              </w:rPr>
            </w:pPr>
            <w:r>
              <w:rPr>
                <w:b/>
                <w:color w:val="FF0000"/>
                <w:sz w:val="18"/>
                <w:szCs w:val="18"/>
                <w:u w:val="single"/>
                <w:lang w:val="en-GB" w:eastAsia="en-GB"/>
              </w:rPr>
              <w:t xml:space="preserve">+ </w:t>
            </w:r>
            <w:r w:rsidRPr="00111422">
              <w:rPr>
                <w:b/>
                <w:color w:val="FF0000"/>
                <w:sz w:val="18"/>
                <w:szCs w:val="18"/>
                <w:u w:val="single"/>
                <w:lang w:val="en-GB" w:eastAsia="en-GB"/>
              </w:rPr>
              <w:t xml:space="preserve">JP, UK, NL - </w:t>
            </w:r>
            <w:r w:rsidR="000D7D63" w:rsidRPr="00111422">
              <w:rPr>
                <w:b/>
                <w:color w:val="FF0000"/>
                <w:sz w:val="18"/>
                <w:szCs w:val="18"/>
                <w:u w:val="single"/>
                <w:lang w:val="en-GB" w:eastAsia="en-GB"/>
              </w:rPr>
              <w:t xml:space="preserve">Countries </w:t>
            </w:r>
            <w:r w:rsidR="00361484" w:rsidRPr="00111422">
              <w:rPr>
                <w:b/>
                <w:color w:val="FF0000"/>
                <w:sz w:val="18"/>
                <w:szCs w:val="18"/>
                <w:u w:val="single"/>
                <w:lang w:val="en-GB" w:eastAsia="en-GB"/>
              </w:rPr>
              <w:t xml:space="preserve">which have not </w:t>
            </w:r>
            <w:r w:rsidRPr="00111422">
              <w:rPr>
                <w:b/>
                <w:color w:val="FF0000"/>
                <w:sz w:val="18"/>
                <w:szCs w:val="18"/>
                <w:u w:val="single"/>
                <w:lang w:val="en-GB" w:eastAsia="en-GB"/>
              </w:rPr>
              <w:t xml:space="preserve"> </w:t>
            </w:r>
            <w:r w:rsidR="00361484" w:rsidRPr="00111422">
              <w:rPr>
                <w:b/>
                <w:color w:val="FF0000"/>
                <w:sz w:val="18"/>
                <w:szCs w:val="18"/>
                <w:u w:val="single"/>
                <w:lang w:val="en-GB" w:eastAsia="en-GB"/>
              </w:rPr>
              <w:t xml:space="preserve">flagged as </w:t>
            </w:r>
            <w:r w:rsidRPr="00111422">
              <w:rPr>
                <w:b/>
                <w:color w:val="FF0000"/>
                <w:sz w:val="18"/>
                <w:szCs w:val="18"/>
                <w:u w:val="single"/>
                <w:lang w:val="en-GB" w:eastAsia="en-GB"/>
              </w:rPr>
              <w:t>“</w:t>
            </w:r>
            <w:r w:rsidR="00361484" w:rsidRPr="00111422">
              <w:rPr>
                <w:b/>
                <w:color w:val="FF0000"/>
                <w:sz w:val="18"/>
                <w:szCs w:val="18"/>
                <w:u w:val="single"/>
                <w:lang w:val="en-GB" w:eastAsia="en-GB"/>
              </w:rPr>
              <w:t>n/a</w:t>
            </w:r>
            <w:r w:rsidRPr="00111422">
              <w:rPr>
                <w:b/>
                <w:color w:val="FF0000"/>
                <w:sz w:val="18"/>
                <w:szCs w:val="18"/>
                <w:u w:val="single"/>
                <w:lang w:val="en-GB" w:eastAsia="en-GB"/>
              </w:rPr>
              <w:t>”</w:t>
            </w:r>
            <w:r w:rsidR="00361484" w:rsidRPr="00111422">
              <w:rPr>
                <w:b/>
                <w:color w:val="FF0000"/>
                <w:sz w:val="18"/>
                <w:szCs w:val="18"/>
                <w:u w:val="single"/>
                <w:lang w:val="en-GB" w:eastAsia="en-GB"/>
              </w:rPr>
              <w:t xml:space="preserve"> </w:t>
            </w:r>
            <w:r w:rsidR="000D7D63" w:rsidRPr="00111422">
              <w:rPr>
                <w:b/>
                <w:color w:val="FF0000"/>
                <w:sz w:val="18"/>
                <w:szCs w:val="18"/>
                <w:u w:val="single"/>
                <w:lang w:val="en-GB" w:eastAsia="en-GB"/>
              </w:rPr>
              <w:t>to look if it exist</w:t>
            </w:r>
            <w:r w:rsidR="000D7D63" w:rsidRPr="000D7D63">
              <w:rPr>
                <w:color w:val="000000"/>
                <w:sz w:val="18"/>
                <w:szCs w:val="18"/>
                <w:u w:val="single"/>
                <w:lang w:val="en-GB" w:eastAsia="en-GB"/>
              </w:rPr>
              <w:t>.</w:t>
            </w:r>
            <w:r w:rsidR="000D7D63" w:rsidRPr="000D7D63">
              <w:rPr>
                <w:color w:val="000000"/>
                <w:sz w:val="18"/>
                <w:szCs w:val="18"/>
                <w:lang w:val="en-GB" w:eastAsia="en-GB"/>
              </w:rPr>
              <w:t xml:space="preserve"> </w:t>
            </w:r>
          </w:p>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Either change to n/a (most likely), or add RDTE [M] and NEWO [M]</w:t>
            </w:r>
          </w:p>
        </w:tc>
      </w:tr>
      <w:tr w:rsidR="008D7983" w:rsidRPr="004B2F86" w:rsidTr="006904E8">
        <w:trPr>
          <w:trHeight w:val="52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25</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SUSP</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MAND/SECU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SE - Should the GG reflect n/a? If not, should RDTE and (especially) NEWO not be added?</w:t>
            </w:r>
          </w:p>
        </w:tc>
        <w:tc>
          <w:tcPr>
            <w:tcW w:w="3114" w:type="dxa"/>
            <w:tcBorders>
              <w:top w:val="nil"/>
              <w:left w:val="single" w:sz="4" w:space="0" w:color="auto"/>
              <w:bottom w:val="single" w:sz="4" w:space="0" w:color="auto"/>
              <w:right w:val="single" w:sz="4" w:space="0" w:color="auto"/>
            </w:tcBorders>
            <w:shd w:val="clear" w:color="auto" w:fill="auto"/>
            <w:hideMark/>
          </w:tcPr>
          <w:p w:rsidR="00111422" w:rsidRPr="00111422" w:rsidRDefault="00111422" w:rsidP="00111422">
            <w:pPr>
              <w:spacing w:after="0"/>
              <w:rPr>
                <w:b/>
                <w:color w:val="000000"/>
                <w:sz w:val="18"/>
                <w:szCs w:val="18"/>
                <w:lang w:val="en-GB" w:eastAsia="en-GB"/>
              </w:rPr>
            </w:pPr>
            <w:r>
              <w:rPr>
                <w:b/>
                <w:color w:val="FF0000"/>
                <w:sz w:val="18"/>
                <w:szCs w:val="18"/>
                <w:u w:val="single"/>
                <w:lang w:val="en-GB" w:eastAsia="en-GB"/>
              </w:rPr>
              <w:t xml:space="preserve">+ </w:t>
            </w:r>
            <w:r w:rsidRPr="00111422">
              <w:rPr>
                <w:b/>
                <w:color w:val="FF0000"/>
                <w:sz w:val="18"/>
                <w:szCs w:val="18"/>
                <w:u w:val="single"/>
                <w:lang w:val="en-GB" w:eastAsia="en-GB"/>
              </w:rPr>
              <w:t>JP, UK, NL - Countries which have not  flagged as “n/a” to look if it exist</w:t>
            </w:r>
            <w:r w:rsidRPr="00111422">
              <w:rPr>
                <w:b/>
                <w:color w:val="000000"/>
                <w:sz w:val="18"/>
                <w:szCs w:val="18"/>
                <w:u w:val="single"/>
                <w:lang w:val="en-GB" w:eastAsia="en-GB"/>
              </w:rPr>
              <w:t>.</w:t>
            </w:r>
            <w:r w:rsidRPr="00111422">
              <w:rPr>
                <w:b/>
                <w:color w:val="000000"/>
                <w:sz w:val="18"/>
                <w:szCs w:val="18"/>
                <w:lang w:val="en-GB" w:eastAsia="en-GB"/>
              </w:rPr>
              <w:t xml:space="preserve"> </w:t>
            </w:r>
          </w:p>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Either change to n/a (most likely), or add RDTE [M] and NEWO [M]</w:t>
            </w:r>
          </w:p>
        </w:tc>
      </w:tr>
      <w:tr w:rsidR="008D7983" w:rsidRPr="004B2F86" w:rsidTr="006904E8">
        <w:trPr>
          <w:trHeight w:val="315"/>
        </w:trPr>
        <w:tc>
          <w:tcPr>
            <w:tcW w:w="465" w:type="dxa"/>
            <w:tcBorders>
              <w:top w:val="nil"/>
              <w:left w:val="single" w:sz="8" w:space="0" w:color="auto"/>
              <w:bottom w:val="single" w:sz="8" w:space="0" w:color="auto"/>
              <w:right w:val="single" w:sz="8" w:space="0" w:color="auto"/>
            </w:tcBorders>
            <w:shd w:val="clear" w:color="auto" w:fill="auto"/>
            <w:hideMark/>
          </w:tcPr>
          <w:p w:rsidR="008D7983" w:rsidRPr="00FD2A87" w:rsidRDefault="008D7983" w:rsidP="00FD2A87">
            <w:pPr>
              <w:spacing w:after="0"/>
              <w:jc w:val="center"/>
              <w:rPr>
                <w:color w:val="000000"/>
                <w:sz w:val="18"/>
                <w:szCs w:val="18"/>
                <w:lang w:val="en-GB" w:eastAsia="en-GB"/>
              </w:rPr>
            </w:pPr>
            <w:r w:rsidRPr="00FD2A87">
              <w:rPr>
                <w:color w:val="000000"/>
                <w:sz w:val="18"/>
                <w:szCs w:val="18"/>
                <w:lang w:val="en-GB" w:eastAsia="en-GB"/>
              </w:rPr>
              <w:t>26</w:t>
            </w:r>
          </w:p>
        </w:tc>
        <w:tc>
          <w:tcPr>
            <w:tcW w:w="795"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TEND</w:t>
            </w:r>
          </w:p>
        </w:tc>
        <w:tc>
          <w:tcPr>
            <w:tcW w:w="960" w:type="dxa"/>
            <w:tcBorders>
              <w:top w:val="nil"/>
              <w:left w:val="nil"/>
              <w:bottom w:val="single" w:sz="8" w:space="0" w:color="auto"/>
              <w:right w:val="single" w:sz="8"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VOLU</w:t>
            </w:r>
          </w:p>
        </w:tc>
        <w:tc>
          <w:tcPr>
            <w:tcW w:w="4980" w:type="dxa"/>
            <w:tcBorders>
              <w:top w:val="nil"/>
              <w:left w:val="nil"/>
              <w:bottom w:val="single" w:sz="8" w:space="0" w:color="auto"/>
              <w:right w:val="nil"/>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BE - RDTE is missing from the Global column ?</w:t>
            </w:r>
          </w:p>
        </w:tc>
        <w:tc>
          <w:tcPr>
            <w:tcW w:w="3114" w:type="dxa"/>
            <w:tcBorders>
              <w:top w:val="nil"/>
              <w:left w:val="single" w:sz="4" w:space="0" w:color="auto"/>
              <w:bottom w:val="single" w:sz="4" w:space="0" w:color="auto"/>
              <w:right w:val="single" w:sz="4" w:space="0" w:color="auto"/>
            </w:tcBorders>
            <w:shd w:val="clear" w:color="auto" w:fill="auto"/>
            <w:hideMark/>
          </w:tcPr>
          <w:p w:rsidR="008D7983" w:rsidRPr="00FD2A87" w:rsidRDefault="008D7983" w:rsidP="004B2F86">
            <w:pPr>
              <w:spacing w:after="0"/>
              <w:rPr>
                <w:color w:val="000000"/>
                <w:sz w:val="18"/>
                <w:szCs w:val="18"/>
                <w:lang w:val="en-GB" w:eastAsia="en-GB"/>
              </w:rPr>
            </w:pPr>
            <w:r w:rsidRPr="00FD2A87">
              <w:rPr>
                <w:color w:val="000000"/>
                <w:sz w:val="18"/>
                <w:szCs w:val="18"/>
                <w:lang w:val="en-GB" w:eastAsia="en-GB"/>
              </w:rPr>
              <w:t>No change</w:t>
            </w:r>
            <w:r w:rsidR="00361484">
              <w:rPr>
                <w:color w:val="000000"/>
                <w:sz w:val="18"/>
                <w:szCs w:val="18"/>
                <w:lang w:val="en-GB" w:eastAsia="en-GB"/>
              </w:rPr>
              <w:t xml:space="preserve">. </w:t>
            </w:r>
          </w:p>
        </w:tc>
      </w:tr>
    </w:tbl>
    <w:p w:rsidR="004B2F86" w:rsidRDefault="004B2F86" w:rsidP="004B2F86"/>
    <w:p w:rsidR="00361484" w:rsidRDefault="00361484" w:rsidP="007F0C1D">
      <w:pPr>
        <w:pStyle w:val="Heading2"/>
      </w:pPr>
      <w:r>
        <w:t>EIG+ Country Columns Remaining Issues</w:t>
      </w:r>
    </w:p>
    <w:p w:rsidR="005F1349" w:rsidRPr="005F1349" w:rsidRDefault="005F1349" w:rsidP="005F1349">
      <w:r>
        <w:t xml:space="preserve">The following table summarises issues, </w:t>
      </w:r>
      <w:r w:rsidR="00111422">
        <w:t xml:space="preserve">and in the last column, the </w:t>
      </w:r>
      <w:r>
        <w:t>consensus reached and remaining actions defined:</w:t>
      </w:r>
    </w:p>
    <w:tbl>
      <w:tblPr>
        <w:tblW w:w="10350" w:type="dxa"/>
        <w:tblInd w:w="-342" w:type="dxa"/>
        <w:tblLayout w:type="fixed"/>
        <w:tblLook w:val="04A0"/>
      </w:tblPr>
      <w:tblGrid>
        <w:gridCol w:w="450"/>
        <w:gridCol w:w="810"/>
        <w:gridCol w:w="990"/>
        <w:gridCol w:w="4950"/>
        <w:gridCol w:w="3150"/>
      </w:tblGrid>
      <w:tr w:rsidR="00361484" w:rsidRPr="00361484" w:rsidTr="00E53F33">
        <w:trPr>
          <w:trHeight w:val="315"/>
        </w:trPr>
        <w:tc>
          <w:tcPr>
            <w:tcW w:w="450" w:type="dxa"/>
            <w:tcBorders>
              <w:top w:val="single" w:sz="8" w:space="0" w:color="auto"/>
              <w:left w:val="single" w:sz="8" w:space="0" w:color="auto"/>
              <w:bottom w:val="single" w:sz="8" w:space="0" w:color="auto"/>
              <w:right w:val="single" w:sz="8" w:space="0" w:color="auto"/>
            </w:tcBorders>
            <w:shd w:val="clear" w:color="000000" w:fill="C0C0C0"/>
            <w:vAlign w:val="bottom"/>
            <w:hideMark/>
          </w:tcPr>
          <w:p w:rsidR="00361484" w:rsidRPr="00361484" w:rsidRDefault="00361484" w:rsidP="00361484">
            <w:pPr>
              <w:spacing w:after="0"/>
              <w:rPr>
                <w:b/>
                <w:bCs/>
                <w:color w:val="000000"/>
                <w:lang w:val="en-GB" w:eastAsia="en-GB"/>
              </w:rPr>
            </w:pPr>
            <w:r w:rsidRPr="00361484">
              <w:rPr>
                <w:b/>
                <w:bCs/>
                <w:color w:val="000000"/>
                <w:lang w:val="en-GB" w:eastAsia="en-GB"/>
              </w:rPr>
              <w:t> </w:t>
            </w:r>
          </w:p>
        </w:tc>
        <w:tc>
          <w:tcPr>
            <w:tcW w:w="810" w:type="dxa"/>
            <w:tcBorders>
              <w:top w:val="single" w:sz="8" w:space="0" w:color="auto"/>
              <w:left w:val="nil"/>
              <w:bottom w:val="single" w:sz="8" w:space="0" w:color="auto"/>
              <w:right w:val="single" w:sz="8" w:space="0" w:color="auto"/>
            </w:tcBorders>
            <w:shd w:val="clear" w:color="000000" w:fill="C0C0C0"/>
            <w:vAlign w:val="bottom"/>
            <w:hideMark/>
          </w:tcPr>
          <w:p w:rsidR="00361484" w:rsidRPr="00361484" w:rsidRDefault="00361484" w:rsidP="00361484">
            <w:pPr>
              <w:spacing w:after="0"/>
              <w:rPr>
                <w:b/>
                <w:bCs/>
                <w:color w:val="000000"/>
                <w:lang w:val="en-GB" w:eastAsia="en-GB"/>
              </w:rPr>
            </w:pPr>
            <w:r w:rsidRPr="00361484">
              <w:rPr>
                <w:b/>
                <w:bCs/>
                <w:color w:val="000000"/>
                <w:lang w:val="en-GB" w:eastAsia="en-GB"/>
              </w:rPr>
              <w:t>CAEV</w:t>
            </w:r>
          </w:p>
        </w:tc>
        <w:tc>
          <w:tcPr>
            <w:tcW w:w="990" w:type="dxa"/>
            <w:tcBorders>
              <w:top w:val="single" w:sz="8" w:space="0" w:color="auto"/>
              <w:left w:val="nil"/>
              <w:bottom w:val="single" w:sz="8" w:space="0" w:color="auto"/>
              <w:right w:val="single" w:sz="8" w:space="0" w:color="auto"/>
            </w:tcBorders>
            <w:shd w:val="clear" w:color="000000" w:fill="C0C0C0"/>
            <w:vAlign w:val="bottom"/>
            <w:hideMark/>
          </w:tcPr>
          <w:p w:rsidR="00361484" w:rsidRPr="00361484" w:rsidRDefault="00361484" w:rsidP="00361484">
            <w:pPr>
              <w:spacing w:after="0"/>
              <w:rPr>
                <w:b/>
                <w:bCs/>
                <w:color w:val="000000"/>
                <w:lang w:val="en-GB" w:eastAsia="en-GB"/>
              </w:rPr>
            </w:pPr>
            <w:r w:rsidRPr="00361484">
              <w:rPr>
                <w:b/>
                <w:bCs/>
                <w:color w:val="000000"/>
                <w:lang w:val="en-GB" w:eastAsia="en-GB"/>
              </w:rPr>
              <w:t>CAMV</w:t>
            </w:r>
          </w:p>
        </w:tc>
        <w:tc>
          <w:tcPr>
            <w:tcW w:w="4950" w:type="dxa"/>
            <w:tcBorders>
              <w:top w:val="single" w:sz="8" w:space="0" w:color="auto"/>
              <w:left w:val="nil"/>
              <w:bottom w:val="single" w:sz="8" w:space="0" w:color="auto"/>
              <w:right w:val="nil"/>
            </w:tcBorders>
            <w:shd w:val="clear" w:color="000000" w:fill="C0C0C0"/>
            <w:vAlign w:val="bottom"/>
            <w:hideMark/>
          </w:tcPr>
          <w:p w:rsidR="00361484" w:rsidRPr="00361484" w:rsidRDefault="00361484" w:rsidP="00361484">
            <w:pPr>
              <w:spacing w:after="0"/>
              <w:rPr>
                <w:b/>
                <w:bCs/>
                <w:color w:val="000000"/>
                <w:lang w:val="en-GB" w:eastAsia="en-GB"/>
              </w:rPr>
            </w:pPr>
            <w:r w:rsidRPr="00361484">
              <w:rPr>
                <w:b/>
                <w:bCs/>
                <w:color w:val="000000"/>
                <w:lang w:val="en-GB" w:eastAsia="en-GB"/>
              </w:rPr>
              <w:t>Questions / Issues</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361484" w:rsidRPr="00361484" w:rsidRDefault="00E53F33" w:rsidP="00361484">
            <w:pPr>
              <w:spacing w:after="0"/>
              <w:rPr>
                <w:rFonts w:ascii="Calibri" w:hAnsi="Calibri" w:cs="Times New Roman"/>
                <w:color w:val="000000"/>
                <w:sz w:val="22"/>
                <w:szCs w:val="22"/>
                <w:lang w:val="en-GB" w:eastAsia="en-GB"/>
              </w:rPr>
            </w:pPr>
            <w:r>
              <w:rPr>
                <w:b/>
                <w:bCs/>
                <w:color w:val="000000"/>
                <w:sz w:val="18"/>
                <w:szCs w:val="18"/>
                <w:lang w:val="en-GB" w:eastAsia="en-GB"/>
              </w:rPr>
              <w:t>SMPG Meeting Consensus</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US CC Column</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315"/>
        </w:trPr>
        <w:tc>
          <w:tcPr>
            <w:tcW w:w="450" w:type="dxa"/>
            <w:tcBorders>
              <w:top w:val="nil"/>
              <w:left w:val="single" w:sz="8" w:space="0" w:color="auto"/>
              <w:bottom w:val="single" w:sz="8" w:space="0" w:color="auto"/>
              <w:right w:val="single" w:sz="8" w:space="0" w:color="auto"/>
            </w:tcBorders>
            <w:shd w:val="clear" w:color="000000" w:fill="FFFFFF"/>
            <w:hideMark/>
          </w:tcPr>
          <w:p w:rsidR="00361484" w:rsidRPr="00361484" w:rsidRDefault="00361484" w:rsidP="00361484">
            <w:pPr>
              <w:spacing w:after="0"/>
              <w:jc w:val="right"/>
              <w:rPr>
                <w:color w:val="000000"/>
                <w:lang w:val="en-GB" w:eastAsia="en-GB"/>
              </w:rPr>
            </w:pPr>
            <w:r w:rsidRPr="00361484">
              <w:rPr>
                <w:color w:val="000000"/>
                <w:lang w:val="en-GB" w:eastAsia="en-GB"/>
              </w:rPr>
              <w:t>1</w:t>
            </w:r>
          </w:p>
        </w:tc>
        <w:tc>
          <w:tcPr>
            <w:tcW w:w="810" w:type="dxa"/>
            <w:tcBorders>
              <w:top w:val="nil"/>
              <w:left w:val="nil"/>
              <w:bottom w:val="single" w:sz="8" w:space="0" w:color="auto"/>
              <w:right w:val="single" w:sz="8" w:space="0" w:color="auto"/>
            </w:tcBorders>
            <w:shd w:val="clear" w:color="000000" w:fill="FFFFFF"/>
            <w:hideMark/>
          </w:tcPr>
          <w:p w:rsidR="00361484" w:rsidRPr="00361484" w:rsidRDefault="00361484" w:rsidP="00361484">
            <w:pPr>
              <w:spacing w:after="0"/>
              <w:rPr>
                <w:color w:val="000000"/>
                <w:lang w:val="en-GB" w:eastAsia="en-GB"/>
              </w:rPr>
            </w:pPr>
            <w:r w:rsidRPr="00361484">
              <w:rPr>
                <w:color w:val="000000"/>
                <w:lang w:val="en-GB" w:eastAsia="en-GB"/>
              </w:rPr>
              <w:t>CLSA</w:t>
            </w:r>
          </w:p>
        </w:tc>
        <w:tc>
          <w:tcPr>
            <w:tcW w:w="990" w:type="dxa"/>
            <w:tcBorders>
              <w:top w:val="nil"/>
              <w:left w:val="nil"/>
              <w:bottom w:val="single" w:sz="8" w:space="0" w:color="auto"/>
              <w:right w:val="single" w:sz="8" w:space="0" w:color="auto"/>
            </w:tcBorders>
            <w:shd w:val="clear" w:color="000000" w:fill="FFFFFF"/>
            <w:hideMark/>
          </w:tcPr>
          <w:p w:rsidR="00361484" w:rsidRPr="00361484" w:rsidRDefault="00361484" w:rsidP="00361484">
            <w:pPr>
              <w:spacing w:after="0"/>
              <w:rPr>
                <w:color w:val="000000"/>
                <w:lang w:val="en-GB" w:eastAsia="en-GB"/>
              </w:rPr>
            </w:pPr>
            <w:r w:rsidRPr="00361484">
              <w:rPr>
                <w:color w:val="000000"/>
                <w:lang w:val="en-GB" w:eastAsia="en-GB"/>
              </w:rPr>
              <w:t>CHOS</w:t>
            </w:r>
          </w:p>
        </w:tc>
        <w:tc>
          <w:tcPr>
            <w:tcW w:w="4950" w:type="dxa"/>
            <w:tcBorders>
              <w:top w:val="nil"/>
              <w:left w:val="nil"/>
              <w:bottom w:val="single" w:sz="8" w:space="0" w:color="auto"/>
              <w:right w:val="nil"/>
            </w:tcBorders>
            <w:shd w:val="clear" w:color="000000" w:fill="FFFFFF"/>
            <w:hideMark/>
          </w:tcPr>
          <w:p w:rsidR="00361484" w:rsidRPr="00361484" w:rsidRDefault="00361484" w:rsidP="00361484">
            <w:pPr>
              <w:spacing w:after="0"/>
              <w:rPr>
                <w:color w:val="000000"/>
                <w:lang w:val="en-GB" w:eastAsia="en-GB"/>
              </w:rPr>
            </w:pPr>
            <w:r w:rsidRPr="00361484">
              <w:rPr>
                <w:color w:val="000000"/>
                <w:lang w:val="en-GB" w:eastAsia="en-GB"/>
              </w:rPr>
              <w:t>isn’t PAYD missing ? (EARL is present !)</w:t>
            </w:r>
          </w:p>
        </w:tc>
        <w:tc>
          <w:tcPr>
            <w:tcW w:w="3150" w:type="dxa"/>
            <w:tcBorders>
              <w:top w:val="nil"/>
              <w:left w:val="single" w:sz="4" w:space="0" w:color="auto"/>
              <w:bottom w:val="single" w:sz="4" w:space="0" w:color="auto"/>
              <w:right w:val="single" w:sz="4" w:space="0" w:color="auto"/>
            </w:tcBorders>
            <w:shd w:val="clear" w:color="000000" w:fill="FFFFFF"/>
            <w:hideMark/>
          </w:tcPr>
          <w:p w:rsidR="00361484" w:rsidRPr="00361484" w:rsidRDefault="00361484" w:rsidP="00361484">
            <w:pPr>
              <w:spacing w:after="0"/>
              <w:rPr>
                <w:color w:val="000000"/>
                <w:lang w:val="en-GB" w:eastAsia="en-GB"/>
              </w:rPr>
            </w:pPr>
            <w:r w:rsidRPr="00361484">
              <w:rPr>
                <w:color w:val="000000"/>
                <w:lang w:val="en-GB" w:eastAsia="en-GB"/>
              </w:rPr>
              <w:t>Comment incorrect</w:t>
            </w:r>
            <w:r w:rsidR="00E53F33">
              <w:rPr>
                <w:color w:val="000000"/>
                <w:lang w:val="en-GB" w:eastAsia="en-GB"/>
              </w:rPr>
              <w:t>. PAYD is present.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lastRenderedPageBreak/>
              <w:t>2</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CLSA</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VOLU</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Shouldn’t CLSA VOLU be “n/a” in the US column ? or is it blank meaning that you support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Add n/a in US CC</w:t>
            </w:r>
          </w:p>
        </w:tc>
      </w:tr>
      <w:tr w:rsidR="00361484" w:rsidRPr="00361484" w:rsidTr="00E53F33">
        <w:trPr>
          <w:trHeight w:val="300"/>
        </w:trPr>
        <w:tc>
          <w:tcPr>
            <w:tcW w:w="450" w:type="dxa"/>
            <w:vMerge w:val="restart"/>
            <w:tcBorders>
              <w:top w:val="nil"/>
              <w:left w:val="single" w:sz="8" w:space="0" w:color="auto"/>
              <w:bottom w:val="single" w:sz="8" w:space="0" w:color="000000"/>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3</w:t>
            </w:r>
          </w:p>
        </w:tc>
        <w:tc>
          <w:tcPr>
            <w:tcW w:w="810" w:type="dxa"/>
            <w:tcBorders>
              <w:top w:val="nil"/>
              <w:left w:val="nil"/>
              <w:bottom w:val="nil"/>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BRUP</w:t>
            </w:r>
          </w:p>
        </w:tc>
        <w:tc>
          <w:tcPr>
            <w:tcW w:w="990" w:type="dxa"/>
            <w:vMerge w:val="restart"/>
            <w:tcBorders>
              <w:top w:val="nil"/>
              <w:left w:val="single" w:sz="8" w:space="0" w:color="auto"/>
              <w:bottom w:val="single" w:sz="8" w:space="0" w:color="000000"/>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CHOS/VOLU</w:t>
            </w:r>
          </w:p>
        </w:tc>
        <w:tc>
          <w:tcPr>
            <w:tcW w:w="4950" w:type="dxa"/>
            <w:vMerge w:val="restart"/>
            <w:tcBorders>
              <w:top w:val="nil"/>
              <w:left w:val="single" w:sz="8" w:space="0" w:color="auto"/>
              <w:bottom w:val="single" w:sz="8" w:space="0" w:color="000000"/>
              <w:right w:val="nil"/>
            </w:tcBorders>
            <w:shd w:val="clear" w:color="auto" w:fill="auto"/>
            <w:hideMark/>
          </w:tcPr>
          <w:p w:rsidR="00361484" w:rsidRPr="00111422" w:rsidRDefault="00361484" w:rsidP="00361484">
            <w:pPr>
              <w:spacing w:after="0"/>
              <w:rPr>
                <w:color w:val="000000"/>
                <w:lang w:val="en-GB" w:eastAsia="en-GB"/>
              </w:rPr>
            </w:pPr>
            <w:r w:rsidRPr="00111422">
              <w:rPr>
                <w:color w:val="000000"/>
                <w:lang w:val="en-GB" w:eastAsia="en-GB"/>
              </w:rPr>
              <w:t>As NEWO and OFFR are present as mandatory, we should have PAYD [M] also as they are both only in movements sequences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Add PAYD [M] and EARL [O]</w:t>
            </w:r>
          </w:p>
        </w:tc>
      </w:tr>
      <w:tr w:rsidR="00361484" w:rsidRPr="00361484" w:rsidTr="00E53F33">
        <w:trPr>
          <w:trHeight w:val="300"/>
        </w:trPr>
        <w:tc>
          <w:tcPr>
            <w:tcW w:w="450" w:type="dxa"/>
            <w:vMerge/>
            <w:tcBorders>
              <w:top w:val="nil"/>
              <w:left w:val="single" w:sz="8" w:space="0" w:color="auto"/>
              <w:bottom w:val="single" w:sz="8" w:space="0" w:color="000000"/>
              <w:right w:val="single" w:sz="8" w:space="0" w:color="auto"/>
            </w:tcBorders>
            <w:vAlign w:val="center"/>
            <w:hideMark/>
          </w:tcPr>
          <w:p w:rsidR="00361484" w:rsidRPr="00361484" w:rsidRDefault="00361484" w:rsidP="00361484">
            <w:pPr>
              <w:spacing w:after="0"/>
              <w:rPr>
                <w:color w:val="000000"/>
                <w:lang w:val="en-GB" w:eastAsia="en-GB"/>
              </w:rPr>
            </w:pPr>
          </w:p>
        </w:tc>
        <w:tc>
          <w:tcPr>
            <w:tcW w:w="810" w:type="dxa"/>
            <w:tcBorders>
              <w:top w:val="nil"/>
              <w:left w:val="nil"/>
              <w:bottom w:val="nil"/>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w:t>
            </w:r>
          </w:p>
        </w:tc>
        <w:tc>
          <w:tcPr>
            <w:tcW w:w="990" w:type="dxa"/>
            <w:vMerge/>
            <w:tcBorders>
              <w:top w:val="nil"/>
              <w:left w:val="single" w:sz="8" w:space="0" w:color="auto"/>
              <w:bottom w:val="single" w:sz="8" w:space="0" w:color="000000"/>
              <w:right w:val="single" w:sz="8" w:space="0" w:color="auto"/>
            </w:tcBorders>
            <w:vAlign w:val="center"/>
            <w:hideMark/>
          </w:tcPr>
          <w:p w:rsidR="00361484" w:rsidRPr="00361484" w:rsidRDefault="00361484" w:rsidP="00361484">
            <w:pPr>
              <w:spacing w:after="0"/>
              <w:rPr>
                <w:color w:val="000000"/>
                <w:lang w:val="en-GB" w:eastAsia="en-GB"/>
              </w:rPr>
            </w:pPr>
          </w:p>
        </w:tc>
        <w:tc>
          <w:tcPr>
            <w:tcW w:w="4950" w:type="dxa"/>
            <w:vMerge/>
            <w:tcBorders>
              <w:top w:val="nil"/>
              <w:left w:val="single" w:sz="8" w:space="0" w:color="auto"/>
              <w:bottom w:val="single" w:sz="8" w:space="0" w:color="000000"/>
              <w:right w:val="nil"/>
            </w:tcBorders>
            <w:vAlign w:val="center"/>
            <w:hideMark/>
          </w:tcPr>
          <w:p w:rsidR="00361484" w:rsidRPr="00361484" w:rsidRDefault="00361484" w:rsidP="00361484">
            <w:pPr>
              <w:spacing w:after="0"/>
              <w:rPr>
                <w:color w:val="000000"/>
                <w:lang w:val="en-GB" w:eastAsia="en-GB"/>
              </w:rPr>
            </w:pP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315"/>
        </w:trPr>
        <w:tc>
          <w:tcPr>
            <w:tcW w:w="450" w:type="dxa"/>
            <w:vMerge/>
            <w:tcBorders>
              <w:top w:val="nil"/>
              <w:left w:val="single" w:sz="8" w:space="0" w:color="auto"/>
              <w:bottom w:val="single" w:sz="8" w:space="0" w:color="000000"/>
              <w:right w:val="single" w:sz="8" w:space="0" w:color="auto"/>
            </w:tcBorders>
            <w:vAlign w:val="center"/>
            <w:hideMark/>
          </w:tcPr>
          <w:p w:rsidR="00361484" w:rsidRPr="00361484" w:rsidRDefault="00361484" w:rsidP="00361484">
            <w:pPr>
              <w:spacing w:after="0"/>
              <w:rPr>
                <w:color w:val="000000"/>
                <w:lang w:val="en-GB" w:eastAsia="en-GB"/>
              </w:rPr>
            </w:pP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PRII</w:t>
            </w:r>
          </w:p>
        </w:tc>
        <w:tc>
          <w:tcPr>
            <w:tcW w:w="990" w:type="dxa"/>
            <w:vMerge/>
            <w:tcBorders>
              <w:top w:val="nil"/>
              <w:left w:val="single" w:sz="8" w:space="0" w:color="auto"/>
              <w:bottom w:val="single" w:sz="8" w:space="0" w:color="000000"/>
              <w:right w:val="single" w:sz="8" w:space="0" w:color="auto"/>
            </w:tcBorders>
            <w:vAlign w:val="center"/>
            <w:hideMark/>
          </w:tcPr>
          <w:p w:rsidR="00361484" w:rsidRPr="00361484" w:rsidRDefault="00361484" w:rsidP="00361484">
            <w:pPr>
              <w:spacing w:after="0"/>
              <w:rPr>
                <w:color w:val="000000"/>
                <w:lang w:val="en-GB" w:eastAsia="en-GB"/>
              </w:rPr>
            </w:pPr>
          </w:p>
        </w:tc>
        <w:tc>
          <w:tcPr>
            <w:tcW w:w="4950" w:type="dxa"/>
            <w:vMerge/>
            <w:tcBorders>
              <w:top w:val="nil"/>
              <w:left w:val="single" w:sz="8" w:space="0" w:color="auto"/>
              <w:bottom w:val="single" w:sz="8" w:space="0" w:color="000000"/>
              <w:right w:val="nil"/>
            </w:tcBorders>
            <w:vAlign w:val="center"/>
            <w:hideMark/>
          </w:tcPr>
          <w:p w:rsidR="00361484" w:rsidRPr="00361484" w:rsidRDefault="00361484" w:rsidP="00361484">
            <w:pPr>
              <w:spacing w:after="0"/>
              <w:rPr>
                <w:color w:val="000000"/>
                <w:lang w:val="en-GB" w:eastAsia="en-GB"/>
              </w:rPr>
            </w:pP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Add PAYD [M] and EARL [O]</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BRUP</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CHOS &amp; VOLU</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PAYD should be optional/Mandatory ? as NEWO and OFFR is optional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Add PAYD [M] and EARL [O]</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CH</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780"/>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1</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SPLR</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CHOS</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PAYD[M] is missing as NEWO is M</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MAND/SECU conform to GG</w:t>
            </w:r>
            <w:r w:rsidRPr="00361484">
              <w:rPr>
                <w:color w:val="000000"/>
                <w:lang w:val="en-GB" w:eastAsia="en-GB"/>
              </w:rPr>
              <w:br/>
              <w:t>CHOS, add PAYD [M] and EARL [O]</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UK &amp; IE</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1</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BIDS</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CHOS</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PAYD should be optional/Mandatory as NEWO and OFFR is optional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Add PAYD [M] and EARL [O]</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JP</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1</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MRGR</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2</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ODLT</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VOLU &amp; 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3</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PCAL</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4</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PRED</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5</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REDM</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6</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SPLR</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POST (Seq C) date is present, then EXPI date should be present too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Remove POST</w:t>
            </w:r>
          </w:p>
        </w:tc>
      </w:tr>
      <w:tr w:rsidR="00361484" w:rsidRPr="00361484" w:rsidTr="00E53F33">
        <w:trPr>
          <w:trHeight w:val="780"/>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7</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DVCA</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If “no option”, GRSS cannot be Mandatory. It should then be rather Optional.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 xml:space="preserve">JP NMPG to </w:t>
            </w:r>
            <w:r w:rsidR="00E53F33">
              <w:rPr>
                <w:color w:val="000000"/>
                <w:lang w:val="en-GB" w:eastAsia="en-GB"/>
              </w:rPr>
              <w:t xml:space="preserve">recheck and </w:t>
            </w:r>
            <w:r w:rsidRPr="00361484">
              <w:rPr>
                <w:color w:val="000000"/>
                <w:lang w:val="en-GB" w:eastAsia="en-GB"/>
              </w:rPr>
              <w:t xml:space="preserve">revert; either remove 'no option' or change PAYD and GRSS from </w:t>
            </w:r>
            <w:r w:rsidR="00E53F33">
              <w:rPr>
                <w:color w:val="000000"/>
                <w:lang w:val="en-GB" w:eastAsia="en-GB"/>
              </w:rPr>
              <w:t>[</w:t>
            </w:r>
            <w:r w:rsidRPr="00361484">
              <w:rPr>
                <w:color w:val="000000"/>
                <w:lang w:val="en-GB" w:eastAsia="en-GB"/>
              </w:rPr>
              <w:t>M</w:t>
            </w:r>
            <w:r w:rsidR="00E53F33">
              <w:rPr>
                <w:color w:val="000000"/>
                <w:lang w:val="en-GB" w:eastAsia="en-GB"/>
              </w:rPr>
              <w:t>]</w:t>
            </w:r>
            <w:r w:rsidRPr="00361484">
              <w:rPr>
                <w:color w:val="000000"/>
                <w:lang w:val="en-GB" w:eastAsia="en-GB"/>
              </w:rPr>
              <w:t xml:space="preserve"> to</w:t>
            </w:r>
            <w:r w:rsidR="00E53F33">
              <w:rPr>
                <w:color w:val="000000"/>
                <w:lang w:val="en-GB" w:eastAsia="en-GB"/>
              </w:rPr>
              <w:t xml:space="preserve"> [</w:t>
            </w:r>
            <w:r w:rsidRPr="00361484">
              <w:rPr>
                <w:color w:val="000000"/>
                <w:lang w:val="en-GB" w:eastAsia="en-GB"/>
              </w:rPr>
              <w:t>O</w:t>
            </w:r>
            <w:r w:rsidR="00E53F33">
              <w:rPr>
                <w:color w:val="000000"/>
                <w:lang w:val="en-GB" w:eastAsia="en-GB"/>
              </w:rPr>
              <w:t>]</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DE</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1</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BONU</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 does not exist in the Global Grid. Do you confirm MAND or is it CHOS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BD0391" w:rsidP="00BD0391">
            <w:pPr>
              <w:spacing w:after="0"/>
              <w:rPr>
                <w:color w:val="000000"/>
                <w:lang w:val="en-GB" w:eastAsia="en-GB"/>
              </w:rPr>
            </w:pPr>
            <w:r w:rsidRPr="00BD0391">
              <w:rPr>
                <w:color w:val="000000"/>
                <w:lang w:val="en-GB" w:eastAsia="en-GB"/>
              </w:rPr>
              <w:t xml:space="preserve">Remove this DE entry </w:t>
            </w:r>
            <w:r>
              <w:rPr>
                <w:color w:val="000000"/>
                <w:lang w:val="en-GB" w:eastAsia="en-GB"/>
              </w:rPr>
              <w:t>(</w:t>
            </w:r>
            <w:r w:rsidRPr="00361484">
              <w:rPr>
                <w:color w:val="000000"/>
                <w:lang w:val="en-GB" w:eastAsia="en-GB"/>
              </w:rPr>
              <w:t>in line 11</w:t>
            </w:r>
            <w:r>
              <w:rPr>
                <w:color w:val="000000"/>
                <w:lang w:val="en-GB" w:eastAsia="en-GB"/>
              </w:rPr>
              <w:t xml:space="preserve">) </w:t>
            </w:r>
            <w:r w:rsidRPr="00BD0391">
              <w:rPr>
                <w:color w:val="000000"/>
                <w:lang w:val="en-GB" w:eastAsia="en-GB"/>
              </w:rPr>
              <w:t>as it conforms with BONU MAND GG</w:t>
            </w:r>
            <w:r>
              <w:rPr>
                <w:color w:val="000000"/>
                <w:lang w:val="en-GB" w:eastAsia="en-GB"/>
              </w:rPr>
              <w:t>.</w:t>
            </w:r>
          </w:p>
        </w:tc>
      </w:tr>
      <w:tr w:rsidR="00361484" w:rsidRPr="00361484" w:rsidTr="00E53F33">
        <w:trPr>
          <w:trHeight w:val="103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2</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LIQU</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 is indicated on the LIQU CHOS GG line. Is it an error or do you confirm LIQU MAND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Pr="00361484" w:rsidRDefault="00361484" w:rsidP="00111422">
            <w:pPr>
              <w:spacing w:after="0"/>
              <w:rPr>
                <w:color w:val="000000"/>
                <w:lang w:val="en-GB" w:eastAsia="en-GB"/>
              </w:rPr>
            </w:pPr>
            <w:r w:rsidRPr="00361484">
              <w:rPr>
                <w:color w:val="000000"/>
                <w:lang w:val="en-GB" w:eastAsia="en-GB"/>
              </w:rPr>
              <w:t xml:space="preserve">Remove 2nd </w:t>
            </w:r>
            <w:r w:rsidR="00087328">
              <w:rPr>
                <w:color w:val="000000"/>
                <w:lang w:val="en-GB" w:eastAsia="en-GB"/>
              </w:rPr>
              <w:t xml:space="preserve">LIQU </w:t>
            </w:r>
            <w:r w:rsidRPr="00361484">
              <w:rPr>
                <w:color w:val="000000"/>
                <w:lang w:val="en-GB" w:eastAsia="en-GB"/>
              </w:rPr>
              <w:t xml:space="preserve">MAND CASH; change XDTE in first to </w:t>
            </w:r>
            <w:r w:rsidR="00087328">
              <w:rPr>
                <w:color w:val="000000"/>
                <w:lang w:val="en-GB" w:eastAsia="en-GB"/>
              </w:rPr>
              <w:t>[</w:t>
            </w:r>
            <w:r w:rsidRPr="00361484">
              <w:rPr>
                <w:color w:val="000000"/>
                <w:lang w:val="en-GB" w:eastAsia="en-GB"/>
              </w:rPr>
              <w:t>O</w:t>
            </w:r>
            <w:r w:rsidR="00087328">
              <w:rPr>
                <w:color w:val="000000"/>
                <w:lang w:val="en-GB" w:eastAsia="en-GB"/>
              </w:rPr>
              <w:t>] as it is only applicable for partial</w:t>
            </w:r>
            <w:r w:rsidRPr="00361484">
              <w:rPr>
                <w:color w:val="000000"/>
                <w:lang w:val="en-GB" w:eastAsia="en-GB"/>
              </w:rPr>
              <w:t xml:space="preserve">, add OFFR [M] </w:t>
            </w:r>
            <w:r w:rsidR="00087328">
              <w:rPr>
                <w:color w:val="000000"/>
                <w:lang w:val="en-GB" w:eastAsia="en-GB"/>
              </w:rPr>
              <w:t xml:space="preserve">in first LIQU MAND </w:t>
            </w:r>
            <w:r w:rsidRPr="00111422">
              <w:rPr>
                <w:b/>
                <w:color w:val="FF0000"/>
                <w:lang w:val="en-GB" w:eastAsia="en-GB"/>
              </w:rPr>
              <w:t xml:space="preserve">and </w:t>
            </w:r>
            <w:r w:rsidR="00111422">
              <w:rPr>
                <w:b/>
                <w:color w:val="FF0000"/>
                <w:lang w:val="en-GB" w:eastAsia="en-GB"/>
              </w:rPr>
              <w:t xml:space="preserve">+ </w:t>
            </w:r>
            <w:r w:rsidR="00111422">
              <w:rPr>
                <w:b/>
                <w:color w:val="FF0000"/>
                <w:u w:val="single"/>
                <w:lang w:val="en-GB" w:eastAsia="en-GB"/>
              </w:rPr>
              <w:t xml:space="preserve">Andreana </w:t>
            </w:r>
            <w:r w:rsidR="00111422" w:rsidRPr="00111422">
              <w:rPr>
                <w:b/>
                <w:color w:val="FF0000"/>
                <w:lang w:val="en-GB" w:eastAsia="en-GB"/>
              </w:rPr>
              <w:t>to</w:t>
            </w:r>
            <w:r w:rsidR="00111422" w:rsidRPr="00111422">
              <w:rPr>
                <w:b/>
                <w:color w:val="000000"/>
                <w:lang w:val="en-GB" w:eastAsia="en-GB"/>
              </w:rPr>
              <w:t xml:space="preserve"> </w:t>
            </w:r>
            <w:r w:rsidRPr="00111422">
              <w:rPr>
                <w:b/>
                <w:color w:val="FF0000"/>
                <w:lang w:val="en-GB" w:eastAsia="en-GB"/>
              </w:rPr>
              <w:t>add comment regarding use of XDTE</w:t>
            </w:r>
            <w:r w:rsidR="00111422">
              <w:rPr>
                <w:color w:val="FF0000"/>
                <w:lang w:val="en-GB" w:eastAsia="en-GB"/>
              </w:rPr>
              <w:t xml:space="preserve"> </w:t>
            </w:r>
          </w:p>
        </w:tc>
      </w:tr>
      <w:tr w:rsidR="00361484" w:rsidRPr="00361484" w:rsidTr="00E53F33">
        <w:trPr>
          <w:trHeight w:val="52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t>3</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TEND</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CHOS</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 is indicated on the LIQU CHOS GG line. Is it an error or do you confirm LIQU MAND ?</w:t>
            </w:r>
          </w:p>
        </w:tc>
        <w:tc>
          <w:tcPr>
            <w:tcW w:w="3150" w:type="dxa"/>
            <w:tcBorders>
              <w:top w:val="nil"/>
              <w:left w:val="single" w:sz="4" w:space="0" w:color="auto"/>
              <w:bottom w:val="single" w:sz="4" w:space="0" w:color="auto"/>
              <w:right w:val="single" w:sz="4" w:space="0" w:color="auto"/>
            </w:tcBorders>
            <w:shd w:val="clear" w:color="auto" w:fill="auto"/>
            <w:hideMark/>
          </w:tcPr>
          <w:p w:rsidR="00361484" w:rsidRDefault="00361484" w:rsidP="00361484">
            <w:pPr>
              <w:spacing w:after="0"/>
              <w:rPr>
                <w:color w:val="000000"/>
                <w:lang w:val="en-GB" w:eastAsia="en-GB"/>
              </w:rPr>
            </w:pPr>
            <w:r w:rsidRPr="00361484">
              <w:rPr>
                <w:color w:val="000000"/>
                <w:lang w:val="en-GB" w:eastAsia="en-GB"/>
              </w:rPr>
              <w:t>Remove everything in line 131</w:t>
            </w:r>
            <w:r w:rsidR="00087328">
              <w:rPr>
                <w:color w:val="000000"/>
                <w:lang w:val="en-GB" w:eastAsia="en-GB"/>
              </w:rPr>
              <w:t>.</w:t>
            </w:r>
          </w:p>
          <w:p w:rsidR="00087328" w:rsidRPr="00111422" w:rsidRDefault="00111422" w:rsidP="00361484">
            <w:pPr>
              <w:spacing w:after="0"/>
              <w:rPr>
                <w:b/>
                <w:color w:val="FF0000"/>
                <w:u w:val="single"/>
                <w:lang w:val="en-GB" w:eastAsia="en-GB"/>
              </w:rPr>
            </w:pPr>
            <w:r>
              <w:rPr>
                <w:b/>
                <w:color w:val="FF0000"/>
                <w:u w:val="single"/>
                <w:lang w:val="en-GB" w:eastAsia="en-GB"/>
              </w:rPr>
              <w:t xml:space="preserve">+ </w:t>
            </w:r>
            <w:r w:rsidR="00087328" w:rsidRPr="00111422">
              <w:rPr>
                <w:b/>
                <w:color w:val="FF0000"/>
                <w:u w:val="single"/>
                <w:lang w:val="en-GB" w:eastAsia="en-GB"/>
              </w:rPr>
              <w:t>Andreana to confirm</w:t>
            </w:r>
          </w:p>
        </w:tc>
      </w:tr>
      <w:tr w:rsidR="00361484" w:rsidRPr="00361484" w:rsidTr="00E53F33">
        <w:trPr>
          <w:trHeight w:val="315"/>
        </w:trPr>
        <w:tc>
          <w:tcPr>
            <w:tcW w:w="7200" w:type="dxa"/>
            <w:gridSpan w:val="4"/>
            <w:tcBorders>
              <w:top w:val="single" w:sz="8" w:space="0" w:color="auto"/>
              <w:left w:val="single" w:sz="8" w:space="0" w:color="auto"/>
              <w:bottom w:val="single" w:sz="8" w:space="0" w:color="auto"/>
              <w:right w:val="nil"/>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RU</w:t>
            </w:r>
          </w:p>
        </w:tc>
        <w:tc>
          <w:tcPr>
            <w:tcW w:w="3150" w:type="dxa"/>
            <w:tcBorders>
              <w:top w:val="nil"/>
              <w:left w:val="single" w:sz="4" w:space="0" w:color="auto"/>
              <w:bottom w:val="single" w:sz="4" w:space="0" w:color="auto"/>
              <w:right w:val="single" w:sz="4" w:space="0" w:color="auto"/>
            </w:tcBorders>
            <w:shd w:val="clear" w:color="000000" w:fill="FFFF00"/>
            <w:hideMark/>
          </w:tcPr>
          <w:p w:rsidR="00361484" w:rsidRPr="00361484" w:rsidRDefault="00361484" w:rsidP="00361484">
            <w:pPr>
              <w:spacing w:after="0"/>
              <w:rPr>
                <w:color w:val="000000"/>
                <w:lang w:val="en-GB" w:eastAsia="en-GB"/>
              </w:rPr>
            </w:pPr>
            <w:r w:rsidRPr="00361484">
              <w:rPr>
                <w:color w:val="000000"/>
                <w:lang w:val="en-GB" w:eastAsia="en-GB"/>
              </w:rPr>
              <w:t> </w:t>
            </w:r>
          </w:p>
        </w:tc>
      </w:tr>
      <w:tr w:rsidR="00361484" w:rsidRPr="00361484" w:rsidTr="00E53F33">
        <w:trPr>
          <w:trHeight w:val="1545"/>
        </w:trPr>
        <w:tc>
          <w:tcPr>
            <w:tcW w:w="450" w:type="dxa"/>
            <w:tcBorders>
              <w:top w:val="nil"/>
              <w:left w:val="single" w:sz="8" w:space="0" w:color="auto"/>
              <w:bottom w:val="single" w:sz="8" w:space="0" w:color="auto"/>
              <w:right w:val="single" w:sz="8" w:space="0" w:color="auto"/>
            </w:tcBorders>
            <w:shd w:val="clear" w:color="auto" w:fill="auto"/>
            <w:hideMark/>
          </w:tcPr>
          <w:p w:rsidR="00361484" w:rsidRPr="00361484" w:rsidRDefault="00361484" w:rsidP="00361484">
            <w:pPr>
              <w:spacing w:after="0"/>
              <w:jc w:val="right"/>
              <w:rPr>
                <w:color w:val="000000"/>
                <w:lang w:val="en-GB" w:eastAsia="en-GB"/>
              </w:rPr>
            </w:pPr>
            <w:r w:rsidRPr="00361484">
              <w:rPr>
                <w:color w:val="000000"/>
                <w:lang w:val="en-GB" w:eastAsia="en-GB"/>
              </w:rPr>
              <w:lastRenderedPageBreak/>
              <w:t>1</w:t>
            </w:r>
          </w:p>
        </w:tc>
        <w:tc>
          <w:tcPr>
            <w:tcW w:w="81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INTR</w:t>
            </w:r>
          </w:p>
        </w:tc>
        <w:tc>
          <w:tcPr>
            <w:tcW w:w="990" w:type="dxa"/>
            <w:tcBorders>
              <w:top w:val="nil"/>
              <w:left w:val="nil"/>
              <w:bottom w:val="single" w:sz="8" w:space="0" w:color="auto"/>
              <w:right w:val="single" w:sz="8" w:space="0" w:color="auto"/>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MAND</w:t>
            </w:r>
          </w:p>
        </w:tc>
        <w:tc>
          <w:tcPr>
            <w:tcW w:w="4950" w:type="dxa"/>
            <w:tcBorders>
              <w:top w:val="nil"/>
              <w:left w:val="nil"/>
              <w:bottom w:val="single" w:sz="8" w:space="0" w:color="auto"/>
              <w:right w:val="nil"/>
            </w:tcBorders>
            <w:shd w:val="clear" w:color="auto" w:fill="auto"/>
            <w:hideMark/>
          </w:tcPr>
          <w:p w:rsidR="00361484" w:rsidRPr="00361484" w:rsidRDefault="00361484" w:rsidP="00361484">
            <w:pPr>
              <w:spacing w:after="0"/>
              <w:rPr>
                <w:color w:val="000000"/>
                <w:lang w:val="en-GB" w:eastAsia="en-GB"/>
              </w:rPr>
            </w:pPr>
            <w:r w:rsidRPr="00361484">
              <w:rPr>
                <w:color w:val="000000"/>
                <w:lang w:val="en-GB" w:eastAsia="en-GB"/>
              </w:rPr>
              <w:t>INTP is present twice as a rate once as optional and once as Mandatory. Which one should be removed ? or is the second INTP standing for INTR ?</w:t>
            </w:r>
          </w:p>
        </w:tc>
        <w:tc>
          <w:tcPr>
            <w:tcW w:w="3150" w:type="dxa"/>
            <w:tcBorders>
              <w:top w:val="nil"/>
              <w:left w:val="single" w:sz="4" w:space="0" w:color="auto"/>
              <w:bottom w:val="single" w:sz="4" w:space="0" w:color="auto"/>
              <w:right w:val="single" w:sz="4" w:space="0" w:color="auto"/>
            </w:tcBorders>
            <w:shd w:val="clear" w:color="auto" w:fill="auto"/>
            <w:hideMark/>
          </w:tcPr>
          <w:p w:rsidR="00111422" w:rsidRDefault="00111422" w:rsidP="00361484">
            <w:pPr>
              <w:spacing w:after="0"/>
              <w:rPr>
                <w:color w:val="000000"/>
                <w:lang w:val="en-GB" w:eastAsia="en-GB"/>
              </w:rPr>
            </w:pPr>
          </w:p>
          <w:p w:rsidR="00F26635" w:rsidRDefault="00111422" w:rsidP="00361484">
            <w:pPr>
              <w:spacing w:after="0"/>
              <w:rPr>
                <w:color w:val="000000"/>
                <w:lang w:val="en-GB" w:eastAsia="en-GB"/>
              </w:rPr>
            </w:pPr>
            <w:r>
              <w:rPr>
                <w:color w:val="000000"/>
                <w:lang w:val="en-GB" w:eastAsia="en-GB"/>
              </w:rPr>
              <w:t xml:space="preserve">+ </w:t>
            </w:r>
            <w:r w:rsidR="00361484" w:rsidRPr="00361484">
              <w:rPr>
                <w:color w:val="000000"/>
                <w:lang w:val="en-GB" w:eastAsia="en-GB"/>
              </w:rPr>
              <w:t xml:space="preserve">Change INTP [O] to INTR [O]. </w:t>
            </w:r>
            <w:r>
              <w:rPr>
                <w:color w:val="000000"/>
                <w:lang w:val="en-GB" w:eastAsia="en-GB"/>
              </w:rPr>
              <w:t xml:space="preserve">+ </w:t>
            </w:r>
            <w:r w:rsidR="00361484" w:rsidRPr="00111422">
              <w:rPr>
                <w:color w:val="000000" w:themeColor="text1"/>
                <w:lang w:val="en-GB" w:eastAsia="en-GB"/>
              </w:rPr>
              <w:t xml:space="preserve">Add comment regarding use of GRSS (taxable </w:t>
            </w:r>
            <w:r w:rsidR="006D7688" w:rsidRPr="00111422">
              <w:rPr>
                <w:color w:val="000000" w:themeColor="text1"/>
                <w:lang w:val="en-GB" w:eastAsia="en-GB"/>
              </w:rPr>
              <w:t xml:space="preserve">TXBL </w:t>
            </w:r>
            <w:r w:rsidR="00361484" w:rsidRPr="00111422">
              <w:rPr>
                <w:color w:val="000000" w:themeColor="text1"/>
                <w:lang w:val="en-GB" w:eastAsia="en-GB"/>
              </w:rPr>
              <w:t>vs not taxable</w:t>
            </w:r>
            <w:r w:rsidR="006D7688" w:rsidRPr="00111422">
              <w:rPr>
                <w:color w:val="000000" w:themeColor="text1"/>
                <w:lang w:val="en-GB" w:eastAsia="en-GB"/>
              </w:rPr>
              <w:t xml:space="preserve"> TXFR</w:t>
            </w:r>
            <w:r w:rsidR="00361484" w:rsidRPr="00111422">
              <w:rPr>
                <w:color w:val="000000" w:themeColor="text1"/>
                <w:lang w:val="en-GB" w:eastAsia="en-GB"/>
              </w:rPr>
              <w:t>).</w:t>
            </w:r>
            <w:r w:rsidR="00361484" w:rsidRPr="00361484">
              <w:rPr>
                <w:color w:val="000000"/>
                <w:lang w:val="en-GB" w:eastAsia="en-GB"/>
              </w:rPr>
              <w:br/>
            </w:r>
          </w:p>
          <w:p w:rsidR="00361484" w:rsidRPr="00111422" w:rsidRDefault="00111422" w:rsidP="00111422">
            <w:pPr>
              <w:spacing w:after="0"/>
              <w:rPr>
                <w:b/>
                <w:color w:val="FF0000"/>
                <w:lang w:val="en-GB" w:eastAsia="en-GB"/>
              </w:rPr>
            </w:pPr>
            <w:r>
              <w:rPr>
                <w:b/>
                <w:color w:val="FF0000"/>
                <w:u w:val="single"/>
                <w:lang w:val="en-GB" w:eastAsia="en-GB"/>
              </w:rPr>
              <w:t xml:space="preserve">+ </w:t>
            </w:r>
            <w:r w:rsidR="00F26635" w:rsidRPr="00111422">
              <w:rPr>
                <w:b/>
                <w:color w:val="FF0000"/>
                <w:u w:val="single"/>
                <w:lang w:val="en-GB" w:eastAsia="en-GB"/>
              </w:rPr>
              <w:t>Action</w:t>
            </w:r>
            <w:r w:rsidR="00F26635" w:rsidRPr="00111422">
              <w:rPr>
                <w:b/>
                <w:color w:val="FF0000"/>
                <w:lang w:val="en-GB" w:eastAsia="en-GB"/>
              </w:rPr>
              <w:t xml:space="preserve">: </w:t>
            </w:r>
            <w:r w:rsidRPr="00111422">
              <w:rPr>
                <w:b/>
                <w:color w:val="FF0000"/>
                <w:u w:val="single"/>
                <w:lang w:val="en-GB" w:eastAsia="en-GB"/>
              </w:rPr>
              <w:t>Jacques / co-chairs</w:t>
            </w:r>
            <w:r>
              <w:rPr>
                <w:b/>
                <w:color w:val="FF0000"/>
                <w:lang w:val="en-GB" w:eastAsia="en-GB"/>
              </w:rPr>
              <w:t xml:space="preserve"> </w:t>
            </w:r>
            <w:r w:rsidRPr="00B524CD">
              <w:rPr>
                <w:b/>
                <w:color w:val="FF0000"/>
                <w:highlight w:val="yellow"/>
                <w:lang w:val="en-GB" w:eastAsia="en-GB"/>
              </w:rPr>
              <w:t>t</w:t>
            </w:r>
            <w:r w:rsidR="00F26635" w:rsidRPr="00B524CD">
              <w:rPr>
                <w:b/>
                <w:color w:val="FF0000"/>
                <w:highlight w:val="yellow"/>
                <w:lang w:val="en-GB" w:eastAsia="en-GB"/>
              </w:rPr>
              <w:t xml:space="preserve">o create </w:t>
            </w:r>
            <w:r w:rsidRPr="00B524CD">
              <w:rPr>
                <w:b/>
                <w:color w:val="FF0000"/>
                <w:highlight w:val="yellow"/>
                <w:lang w:val="en-GB" w:eastAsia="en-GB"/>
              </w:rPr>
              <w:t xml:space="preserve">SR2013 </w:t>
            </w:r>
            <w:r w:rsidR="00361484" w:rsidRPr="00B524CD">
              <w:rPr>
                <w:b/>
                <w:color w:val="FF0000"/>
                <w:highlight w:val="yellow"/>
                <w:lang w:val="en-GB" w:eastAsia="en-GB"/>
              </w:rPr>
              <w:t>CR for INTP, format J, to include TXBL and TXFR (and possibly also TXDF)</w:t>
            </w:r>
            <w:r w:rsidR="006D7688" w:rsidRPr="00B524CD">
              <w:rPr>
                <w:b/>
                <w:color w:val="FF0000"/>
                <w:highlight w:val="yellow"/>
                <w:lang w:val="en-GB" w:eastAsia="en-GB"/>
              </w:rPr>
              <w:t xml:space="preserve"> similarly to what is done for GRSS</w:t>
            </w:r>
            <w:r w:rsidR="00361484" w:rsidRPr="00B524CD">
              <w:rPr>
                <w:b/>
                <w:color w:val="FF0000"/>
                <w:highlight w:val="yellow"/>
                <w:lang w:val="en-GB" w:eastAsia="en-GB"/>
              </w:rPr>
              <w:t>.</w:t>
            </w:r>
          </w:p>
        </w:tc>
      </w:tr>
    </w:tbl>
    <w:p w:rsidR="00361484" w:rsidRDefault="00361484" w:rsidP="004B2F86"/>
    <w:p w:rsidR="00361484" w:rsidRDefault="00361484" w:rsidP="007F0C1D">
      <w:pPr>
        <w:pStyle w:val="Heading2"/>
      </w:pPr>
      <w:r>
        <w:t xml:space="preserve">SMPG Template Remaining Issues </w:t>
      </w:r>
    </w:p>
    <w:p w:rsidR="005F1349" w:rsidRPr="005F1349" w:rsidRDefault="005F1349" w:rsidP="005F1349">
      <w:r>
        <w:t>The following table summarises issues, consensus reached and remaining actions defined:</w:t>
      </w:r>
    </w:p>
    <w:tbl>
      <w:tblPr>
        <w:tblW w:w="10350" w:type="dxa"/>
        <w:tblInd w:w="-342" w:type="dxa"/>
        <w:tblLook w:val="04A0"/>
      </w:tblPr>
      <w:tblGrid>
        <w:gridCol w:w="1260"/>
        <w:gridCol w:w="5940"/>
        <w:gridCol w:w="3150"/>
      </w:tblGrid>
      <w:tr w:rsidR="00D357EC" w:rsidRPr="00D357EC" w:rsidTr="006D7688">
        <w:trPr>
          <w:trHeight w:val="313"/>
        </w:trPr>
        <w:tc>
          <w:tcPr>
            <w:tcW w:w="126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bottom"/>
            <w:hideMark/>
          </w:tcPr>
          <w:p w:rsidR="00D357EC" w:rsidRPr="00D357EC" w:rsidRDefault="00D357EC" w:rsidP="00D357EC">
            <w:pPr>
              <w:spacing w:after="0"/>
              <w:jc w:val="center"/>
              <w:rPr>
                <w:b/>
                <w:bCs/>
                <w:color w:val="000000"/>
                <w:lang w:val="en-GB" w:eastAsia="en-GB"/>
              </w:rPr>
            </w:pPr>
            <w:r w:rsidRPr="00D357EC">
              <w:rPr>
                <w:b/>
                <w:bCs/>
                <w:color w:val="000000"/>
                <w:lang w:val="en-GB" w:eastAsia="en-GB"/>
              </w:rPr>
              <w:t>Event</w:t>
            </w:r>
          </w:p>
        </w:tc>
        <w:tc>
          <w:tcPr>
            <w:tcW w:w="5940" w:type="dxa"/>
            <w:tcBorders>
              <w:top w:val="single" w:sz="8" w:space="0" w:color="auto"/>
              <w:left w:val="nil"/>
              <w:bottom w:val="single" w:sz="8" w:space="0" w:color="auto"/>
              <w:right w:val="nil"/>
            </w:tcBorders>
            <w:shd w:val="clear" w:color="auto" w:fill="BFBFBF" w:themeFill="background1" w:themeFillShade="BF"/>
            <w:vAlign w:val="bottom"/>
            <w:hideMark/>
          </w:tcPr>
          <w:p w:rsidR="00D357EC" w:rsidRPr="00D357EC" w:rsidRDefault="00D357EC" w:rsidP="00D357EC">
            <w:pPr>
              <w:spacing w:after="0"/>
              <w:jc w:val="center"/>
              <w:rPr>
                <w:b/>
                <w:bCs/>
                <w:color w:val="000000"/>
                <w:lang w:val="en-GB" w:eastAsia="en-GB"/>
              </w:rPr>
            </w:pPr>
            <w:r w:rsidRPr="00D357EC">
              <w:rPr>
                <w:b/>
                <w:bCs/>
                <w:color w:val="000000"/>
                <w:lang w:val="en-GB" w:eastAsia="en-GB"/>
              </w:rPr>
              <w:t>Issue</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D357EC" w:rsidRPr="00361484" w:rsidRDefault="00D357EC" w:rsidP="00D357EC">
            <w:pPr>
              <w:spacing w:after="0"/>
              <w:rPr>
                <w:rFonts w:ascii="Calibri" w:hAnsi="Calibri" w:cs="Times New Roman"/>
                <w:color w:val="000000"/>
                <w:sz w:val="22"/>
                <w:szCs w:val="22"/>
                <w:lang w:val="en-GB" w:eastAsia="en-GB"/>
              </w:rPr>
            </w:pPr>
            <w:r>
              <w:rPr>
                <w:b/>
                <w:bCs/>
                <w:color w:val="000000"/>
                <w:sz w:val="18"/>
                <w:szCs w:val="18"/>
                <w:lang w:val="en-GB" w:eastAsia="en-GB"/>
              </w:rPr>
              <w:t>SMPG Meeting Consensus</w:t>
            </w:r>
          </w:p>
        </w:tc>
      </w:tr>
      <w:tr w:rsidR="00D357EC" w:rsidRPr="00D357EC" w:rsidTr="006D7688">
        <w:trPr>
          <w:trHeight w:val="765"/>
        </w:trPr>
        <w:tc>
          <w:tcPr>
            <w:tcW w:w="1260" w:type="dxa"/>
            <w:vMerge w:val="restart"/>
            <w:tcBorders>
              <w:top w:val="nil"/>
              <w:left w:val="single" w:sz="8" w:space="0" w:color="auto"/>
              <w:bottom w:val="single" w:sz="8" w:space="0" w:color="000000"/>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1. CLSA VOLU</w:t>
            </w:r>
          </w:p>
        </w:tc>
        <w:tc>
          <w:tcPr>
            <w:tcW w:w="5940" w:type="dxa"/>
            <w:tcBorders>
              <w:top w:val="nil"/>
              <w:left w:val="nil"/>
              <w:bottom w:val="nil"/>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(US) - REVO period dates and PWAL period dates must still be completed.  What dates should I add ? Difficult to say when looking at the “Relative dates” section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Default="00D357EC" w:rsidP="00D357EC">
            <w:pPr>
              <w:spacing w:after="0"/>
              <w:rPr>
                <w:color w:val="000000"/>
                <w:lang w:val="en-GB" w:eastAsia="en-GB"/>
              </w:rPr>
            </w:pPr>
            <w:r>
              <w:rPr>
                <w:color w:val="000000"/>
                <w:lang w:val="en-GB" w:eastAsia="en-GB"/>
              </w:rPr>
              <w:t>Refer to EIG+ solution in table 4.1 above +</w:t>
            </w:r>
          </w:p>
          <w:p w:rsidR="00D357EC" w:rsidRPr="00111422" w:rsidRDefault="00111422" w:rsidP="00D357EC">
            <w:pPr>
              <w:spacing w:after="0"/>
              <w:rPr>
                <w:b/>
                <w:color w:val="FF0000"/>
                <w:lang w:val="en-GB" w:eastAsia="en-GB"/>
              </w:rPr>
            </w:pPr>
            <w:r>
              <w:rPr>
                <w:b/>
                <w:color w:val="FF0000"/>
                <w:u w:val="single"/>
                <w:lang w:val="en-GB" w:eastAsia="en-GB"/>
              </w:rPr>
              <w:t xml:space="preserve">+ </w:t>
            </w:r>
            <w:r w:rsidR="00D357EC" w:rsidRPr="00111422">
              <w:rPr>
                <w:b/>
                <w:color w:val="FF0000"/>
                <w:u w:val="single"/>
                <w:lang w:val="en-GB" w:eastAsia="en-GB"/>
              </w:rPr>
              <w:t>Sonda</w:t>
            </w:r>
            <w:r w:rsidR="00D357EC" w:rsidRPr="00111422">
              <w:rPr>
                <w:b/>
                <w:color w:val="FF0000"/>
                <w:lang w:val="en-GB" w:eastAsia="en-GB"/>
              </w:rPr>
              <w:t xml:space="preserve"> to provide realistic REVO and PWAL Date values</w:t>
            </w:r>
          </w:p>
        </w:tc>
      </w:tr>
      <w:tr w:rsidR="00D357EC" w:rsidRPr="00D357EC" w:rsidTr="006D7688">
        <w:trPr>
          <w:trHeight w:val="615"/>
        </w:trPr>
        <w:tc>
          <w:tcPr>
            <w:tcW w:w="1260" w:type="dxa"/>
            <w:vMerge/>
            <w:tcBorders>
              <w:top w:val="nil"/>
              <w:left w:val="single" w:sz="8" w:space="0" w:color="auto"/>
              <w:bottom w:val="single" w:sz="8" w:space="0" w:color="000000"/>
              <w:right w:val="single" w:sz="8" w:space="0" w:color="auto"/>
            </w:tcBorders>
            <w:vAlign w:val="center"/>
            <w:hideMark/>
          </w:tcPr>
          <w:p w:rsidR="00D357EC" w:rsidRPr="00D357EC" w:rsidRDefault="00D357EC" w:rsidP="00D357EC">
            <w:pPr>
              <w:spacing w:after="0"/>
              <w:rPr>
                <w:color w:val="000000"/>
                <w:lang w:val="en-GB" w:eastAsia="en-GB"/>
              </w:rPr>
            </w:pPr>
          </w:p>
        </w:tc>
        <w:tc>
          <w:tcPr>
            <w:tcW w:w="5940" w:type="dxa"/>
            <w:tcBorders>
              <w:top w:val="nil"/>
              <w:left w:val="nil"/>
              <w:bottom w:val="single" w:sz="8"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 REVO is not in the EIG+ GG. Is it missing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 xml:space="preserve">Sonda to revert </w:t>
            </w:r>
            <w:r>
              <w:rPr>
                <w:color w:val="000000"/>
                <w:lang w:val="en-GB" w:eastAsia="en-GB"/>
              </w:rPr>
              <w:t xml:space="preserve">on REVO issue </w:t>
            </w:r>
            <w:r w:rsidRPr="00D357EC">
              <w:rPr>
                <w:color w:val="000000"/>
                <w:lang w:val="en-GB" w:eastAsia="en-GB"/>
              </w:rPr>
              <w:t xml:space="preserve">(see </w:t>
            </w:r>
            <w:r>
              <w:rPr>
                <w:color w:val="000000"/>
                <w:lang w:val="en-GB" w:eastAsia="en-GB"/>
              </w:rPr>
              <w:t>table 4.1 above</w:t>
            </w:r>
            <w:r w:rsidRPr="00D357EC">
              <w:rPr>
                <w:color w:val="000000"/>
                <w:lang w:val="en-GB" w:eastAsia="en-GB"/>
              </w:rPr>
              <w:t>)</w:t>
            </w:r>
          </w:p>
        </w:tc>
      </w:tr>
      <w:tr w:rsidR="00D357EC" w:rsidRPr="00D357EC" w:rsidTr="006D7688">
        <w:trPr>
          <w:trHeight w:val="525"/>
        </w:trPr>
        <w:tc>
          <w:tcPr>
            <w:tcW w:w="1260" w:type="dxa"/>
            <w:tcBorders>
              <w:top w:val="nil"/>
              <w:left w:val="single" w:sz="8" w:space="0" w:color="auto"/>
              <w:bottom w:val="single" w:sz="8" w:space="0" w:color="auto"/>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 xml:space="preserve">2. DRIP CHOS </w:t>
            </w:r>
            <w:r w:rsidR="0023157A" w:rsidRPr="00D357EC">
              <w:rPr>
                <w:color w:val="000000"/>
                <w:lang w:val="en-GB" w:eastAsia="en-GB"/>
              </w:rPr>
              <w:t>Classic</w:t>
            </w:r>
            <w:r w:rsidRPr="00D357EC">
              <w:rPr>
                <w:color w:val="000000"/>
                <w:lang w:val="en-GB" w:eastAsia="en-GB"/>
              </w:rPr>
              <w:t xml:space="preserve"> and No Interim</w:t>
            </w:r>
          </w:p>
        </w:tc>
        <w:tc>
          <w:tcPr>
            <w:tcW w:w="5940" w:type="dxa"/>
            <w:tcBorders>
              <w:top w:val="nil"/>
              <w:left w:val="nil"/>
              <w:bottom w:val="single" w:sz="8"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(UK) - Why do we have Currency Option defined on SECU option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Remove</w:t>
            </w:r>
            <w:r>
              <w:rPr>
                <w:color w:val="000000"/>
                <w:lang w:val="en-GB" w:eastAsia="en-GB"/>
              </w:rPr>
              <w:t xml:space="preserve"> currency option</w:t>
            </w:r>
          </w:p>
        </w:tc>
      </w:tr>
      <w:tr w:rsidR="00D357EC" w:rsidRPr="00D357EC" w:rsidTr="006D7688">
        <w:trPr>
          <w:trHeight w:val="525"/>
        </w:trPr>
        <w:tc>
          <w:tcPr>
            <w:tcW w:w="1260" w:type="dxa"/>
            <w:tcBorders>
              <w:top w:val="nil"/>
              <w:left w:val="single" w:sz="8" w:space="0" w:color="auto"/>
              <w:bottom w:val="single" w:sz="8" w:space="0" w:color="auto"/>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3. PRIO VOLU</w:t>
            </w:r>
          </w:p>
        </w:tc>
        <w:tc>
          <w:tcPr>
            <w:tcW w:w="5940" w:type="dxa"/>
            <w:tcBorders>
              <w:top w:val="nil"/>
              <w:left w:val="nil"/>
              <w:bottom w:val="single" w:sz="8"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(FI) - SETT and PENR balances are included. Is it really necessary to show those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Remove</w:t>
            </w:r>
          </w:p>
        </w:tc>
      </w:tr>
      <w:tr w:rsidR="00D357EC" w:rsidRPr="00D357EC" w:rsidTr="006D7688">
        <w:trPr>
          <w:trHeight w:val="525"/>
        </w:trPr>
        <w:tc>
          <w:tcPr>
            <w:tcW w:w="1260" w:type="dxa"/>
            <w:tcBorders>
              <w:top w:val="nil"/>
              <w:left w:val="single" w:sz="8" w:space="0" w:color="auto"/>
              <w:bottom w:val="single" w:sz="8" w:space="0" w:color="auto"/>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4. CONS VOLU</w:t>
            </w:r>
          </w:p>
        </w:tc>
        <w:tc>
          <w:tcPr>
            <w:tcW w:w="5940" w:type="dxa"/>
            <w:tcBorders>
              <w:top w:val="nil"/>
              <w:left w:val="nil"/>
              <w:bottom w:val="single" w:sz="8"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(FI) - INCE is M in EIG+ and is missing in sample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Default="00D357EC" w:rsidP="00D357EC">
            <w:pPr>
              <w:spacing w:after="0"/>
              <w:rPr>
                <w:color w:val="000000"/>
                <w:lang w:val="en-GB" w:eastAsia="en-GB"/>
              </w:rPr>
            </w:pPr>
            <w:r>
              <w:rPr>
                <w:color w:val="000000"/>
                <w:lang w:val="en-GB" w:eastAsia="en-GB"/>
              </w:rPr>
              <w:t xml:space="preserve">INCE to be added </w:t>
            </w:r>
          </w:p>
          <w:p w:rsidR="00D357EC" w:rsidRPr="00111422" w:rsidRDefault="00111422" w:rsidP="00D357EC">
            <w:pPr>
              <w:spacing w:after="0"/>
              <w:rPr>
                <w:b/>
                <w:color w:val="FF0000"/>
                <w:lang w:val="en-GB" w:eastAsia="en-GB"/>
              </w:rPr>
            </w:pPr>
            <w:r>
              <w:rPr>
                <w:b/>
                <w:color w:val="FF0000"/>
                <w:u w:val="single"/>
                <w:lang w:val="en-GB" w:eastAsia="en-GB"/>
              </w:rPr>
              <w:t xml:space="preserve">+ </w:t>
            </w:r>
            <w:r w:rsidR="00D357EC" w:rsidRPr="00111422">
              <w:rPr>
                <w:b/>
                <w:color w:val="FF0000"/>
                <w:u w:val="single"/>
                <w:lang w:val="en-GB" w:eastAsia="en-GB"/>
              </w:rPr>
              <w:t>Sari</w:t>
            </w:r>
            <w:r w:rsidR="00D357EC" w:rsidRPr="00111422">
              <w:rPr>
                <w:b/>
                <w:color w:val="FF0000"/>
                <w:lang w:val="en-GB" w:eastAsia="en-GB"/>
              </w:rPr>
              <w:t xml:space="preserve"> to provide INCE rate value</w:t>
            </w:r>
          </w:p>
        </w:tc>
      </w:tr>
      <w:tr w:rsidR="00D357EC" w:rsidRPr="00D357EC" w:rsidTr="006D7688">
        <w:trPr>
          <w:trHeight w:val="780"/>
        </w:trPr>
        <w:tc>
          <w:tcPr>
            <w:tcW w:w="1260" w:type="dxa"/>
            <w:tcBorders>
              <w:top w:val="nil"/>
              <w:left w:val="single" w:sz="8" w:space="0" w:color="auto"/>
              <w:bottom w:val="single" w:sz="8" w:space="0" w:color="auto"/>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5. EXRI CHOS</w:t>
            </w:r>
          </w:p>
        </w:tc>
        <w:tc>
          <w:tcPr>
            <w:tcW w:w="5940" w:type="dxa"/>
            <w:tcBorders>
              <w:top w:val="nil"/>
              <w:left w:val="nil"/>
              <w:bottom w:val="single" w:sz="8"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(SE) - Is there a real need for movements for SLLE/BUYA ?</w:t>
            </w:r>
          </w:p>
        </w:tc>
        <w:tc>
          <w:tcPr>
            <w:tcW w:w="3150" w:type="dxa"/>
            <w:tcBorders>
              <w:top w:val="nil"/>
              <w:left w:val="single" w:sz="4" w:space="0" w:color="auto"/>
              <w:bottom w:val="single" w:sz="4" w:space="0" w:color="auto"/>
              <w:right w:val="single" w:sz="4" w:space="0" w:color="auto"/>
            </w:tcBorders>
            <w:shd w:val="clear" w:color="auto" w:fill="auto"/>
            <w:hideMark/>
          </w:tcPr>
          <w:p w:rsidR="00D357EC" w:rsidRPr="00D357EC" w:rsidRDefault="00D357EC" w:rsidP="00A06939">
            <w:pPr>
              <w:spacing w:after="0"/>
              <w:rPr>
                <w:color w:val="000000"/>
                <w:lang w:val="en-GB" w:eastAsia="en-GB"/>
              </w:rPr>
            </w:pPr>
            <w:r w:rsidRPr="00D357EC">
              <w:rPr>
                <w:color w:val="000000"/>
                <w:lang w:val="en-GB" w:eastAsia="en-GB"/>
              </w:rPr>
              <w:t>No, remove from Template because linked to account servicer options</w:t>
            </w:r>
            <w:r>
              <w:rPr>
                <w:color w:val="000000"/>
                <w:lang w:val="en-GB" w:eastAsia="en-GB"/>
              </w:rPr>
              <w:t>.</w:t>
            </w:r>
            <w:r w:rsidR="00A06939">
              <w:rPr>
                <w:color w:val="000000"/>
                <w:lang w:val="en-GB" w:eastAsia="en-GB"/>
              </w:rPr>
              <w:t xml:space="preserve"> Add</w:t>
            </w:r>
            <w:r w:rsidRPr="00D357EC">
              <w:rPr>
                <w:color w:val="000000"/>
                <w:lang w:val="en-GB" w:eastAsia="en-GB"/>
              </w:rPr>
              <w:t xml:space="preserve"> comment that is not necessary to include</w:t>
            </w:r>
            <w:r w:rsidR="00A06939">
              <w:rPr>
                <w:color w:val="000000"/>
                <w:lang w:val="en-GB" w:eastAsia="en-GB"/>
              </w:rPr>
              <w:t>.</w:t>
            </w:r>
          </w:p>
        </w:tc>
      </w:tr>
      <w:tr w:rsidR="00D357EC" w:rsidRPr="00D357EC" w:rsidTr="006D7688">
        <w:trPr>
          <w:trHeight w:val="525"/>
        </w:trPr>
        <w:tc>
          <w:tcPr>
            <w:tcW w:w="1260" w:type="dxa"/>
            <w:tcBorders>
              <w:top w:val="nil"/>
              <w:left w:val="single" w:sz="8" w:space="0" w:color="auto"/>
              <w:bottom w:val="single" w:sz="4" w:space="0" w:color="auto"/>
              <w:right w:val="single" w:sz="8" w:space="0" w:color="auto"/>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6. PPMT CHOS</w:t>
            </w:r>
          </w:p>
        </w:tc>
        <w:tc>
          <w:tcPr>
            <w:tcW w:w="5940" w:type="dxa"/>
            <w:tcBorders>
              <w:top w:val="nil"/>
              <w:left w:val="nil"/>
              <w:bottom w:val="single" w:sz="4" w:space="0" w:color="auto"/>
              <w:right w:val="nil"/>
            </w:tcBorders>
            <w:shd w:val="clear" w:color="auto" w:fill="auto"/>
            <w:hideMark/>
          </w:tcPr>
          <w:p w:rsidR="00D357EC" w:rsidRPr="00D357EC" w:rsidRDefault="00D357EC" w:rsidP="00D357EC">
            <w:pPr>
              <w:spacing w:after="0"/>
              <w:rPr>
                <w:color w:val="000000"/>
                <w:lang w:val="en-GB" w:eastAsia="en-GB"/>
              </w:rPr>
            </w:pPr>
            <w:r w:rsidRPr="00D357EC">
              <w:rPr>
                <w:color w:val="000000"/>
                <w:lang w:val="en-GB" w:eastAsia="en-GB"/>
              </w:rPr>
              <w:t>(BE) RDTE is missing (M in Global Grid) ?</w:t>
            </w:r>
          </w:p>
        </w:tc>
        <w:tc>
          <w:tcPr>
            <w:tcW w:w="3150" w:type="dxa"/>
            <w:tcBorders>
              <w:top w:val="nil"/>
              <w:left w:val="single" w:sz="4" w:space="0" w:color="auto"/>
              <w:bottom w:val="single" w:sz="4" w:space="0" w:color="auto"/>
              <w:right w:val="single" w:sz="4" w:space="0" w:color="auto"/>
            </w:tcBorders>
            <w:shd w:val="clear" w:color="auto" w:fill="auto"/>
            <w:hideMark/>
          </w:tcPr>
          <w:p w:rsidR="00A06939" w:rsidRDefault="00A06939" w:rsidP="00D357EC">
            <w:pPr>
              <w:spacing w:after="0"/>
              <w:rPr>
                <w:color w:val="000000"/>
                <w:lang w:val="en-GB" w:eastAsia="en-GB"/>
              </w:rPr>
            </w:pPr>
            <w:r>
              <w:rPr>
                <w:color w:val="000000"/>
                <w:lang w:val="en-GB" w:eastAsia="en-GB"/>
              </w:rPr>
              <w:t xml:space="preserve">Add RDTE </w:t>
            </w:r>
          </w:p>
          <w:p w:rsidR="00D357EC" w:rsidRPr="00111422" w:rsidRDefault="00111422" w:rsidP="00A06939">
            <w:pPr>
              <w:spacing w:after="0"/>
              <w:rPr>
                <w:b/>
                <w:color w:val="FF0000"/>
                <w:lang w:val="en-GB" w:eastAsia="en-GB"/>
              </w:rPr>
            </w:pPr>
            <w:r>
              <w:rPr>
                <w:b/>
                <w:color w:val="FF0000"/>
                <w:u w:val="single"/>
                <w:lang w:val="en-GB" w:eastAsia="en-GB"/>
              </w:rPr>
              <w:t xml:space="preserve">+ </w:t>
            </w:r>
            <w:r w:rsidR="00A06939" w:rsidRPr="00111422">
              <w:rPr>
                <w:b/>
                <w:color w:val="FF0000"/>
                <w:u w:val="single"/>
                <w:lang w:val="en-GB" w:eastAsia="en-GB"/>
              </w:rPr>
              <w:t>C</w:t>
            </w:r>
            <w:r w:rsidR="00D357EC" w:rsidRPr="00111422">
              <w:rPr>
                <w:b/>
                <w:color w:val="FF0000"/>
                <w:u w:val="single"/>
                <w:lang w:val="en-GB" w:eastAsia="en-GB"/>
              </w:rPr>
              <w:t>hristine</w:t>
            </w:r>
            <w:r w:rsidR="00D357EC" w:rsidRPr="00111422">
              <w:rPr>
                <w:b/>
                <w:color w:val="FF0000"/>
                <w:lang w:val="en-GB" w:eastAsia="en-GB"/>
              </w:rPr>
              <w:t xml:space="preserve"> to </w:t>
            </w:r>
            <w:r w:rsidR="00A06939" w:rsidRPr="00111422">
              <w:rPr>
                <w:b/>
                <w:color w:val="FF0000"/>
                <w:lang w:val="en-GB" w:eastAsia="en-GB"/>
              </w:rPr>
              <w:t xml:space="preserve">provide </w:t>
            </w:r>
            <w:r w:rsidR="00D357EC" w:rsidRPr="00111422">
              <w:rPr>
                <w:b/>
                <w:color w:val="FF0000"/>
                <w:lang w:val="en-GB" w:eastAsia="en-GB"/>
              </w:rPr>
              <w:t xml:space="preserve">RDTE </w:t>
            </w:r>
            <w:r w:rsidR="00A06939" w:rsidRPr="00111422">
              <w:rPr>
                <w:b/>
                <w:color w:val="FF0000"/>
                <w:lang w:val="en-GB" w:eastAsia="en-GB"/>
              </w:rPr>
              <w:t>value for</w:t>
            </w:r>
            <w:r w:rsidR="00D357EC" w:rsidRPr="00111422">
              <w:rPr>
                <w:b/>
                <w:color w:val="FF0000"/>
                <w:lang w:val="en-GB" w:eastAsia="en-GB"/>
              </w:rPr>
              <w:t xml:space="preserve"> the template</w:t>
            </w:r>
          </w:p>
        </w:tc>
      </w:tr>
      <w:tr w:rsidR="00A06939" w:rsidRPr="00D357EC" w:rsidTr="006D7688">
        <w:trPr>
          <w:trHeight w:val="52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A06939" w:rsidRPr="00D357EC" w:rsidRDefault="00A06939" w:rsidP="00D357EC">
            <w:pPr>
              <w:spacing w:after="0"/>
              <w:rPr>
                <w:color w:val="000000"/>
                <w:lang w:val="en-GB" w:eastAsia="en-GB"/>
              </w:rPr>
            </w:pPr>
            <w:r>
              <w:rPr>
                <w:color w:val="000000"/>
                <w:lang w:val="en-GB" w:eastAsia="en-GB"/>
              </w:rPr>
              <w:t>7. DRCA</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A06939" w:rsidRPr="00D357EC" w:rsidRDefault="00A06939" w:rsidP="00D357EC">
            <w:pPr>
              <w:spacing w:after="0"/>
              <w:rPr>
                <w:color w:val="000000"/>
                <w:lang w:val="en-GB" w:eastAsia="en-GB"/>
              </w:rPr>
            </w:pPr>
            <w:r>
              <w:rPr>
                <w:color w:val="000000"/>
                <w:lang w:val="en-GB" w:eastAsia="en-GB"/>
              </w:rPr>
              <w:t>Check the template for EFFD  usage</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A06939" w:rsidRPr="00111422" w:rsidRDefault="00111422" w:rsidP="00A06939">
            <w:pPr>
              <w:spacing w:after="0"/>
              <w:rPr>
                <w:b/>
                <w:color w:val="FF0000"/>
                <w:lang w:val="en-GB" w:eastAsia="en-GB"/>
              </w:rPr>
            </w:pPr>
            <w:r>
              <w:rPr>
                <w:b/>
                <w:color w:val="FF0000"/>
                <w:u w:val="single"/>
                <w:lang w:val="en-GB" w:eastAsia="en-GB"/>
              </w:rPr>
              <w:t xml:space="preserve">+ </w:t>
            </w:r>
            <w:r w:rsidR="00A06939" w:rsidRPr="00111422">
              <w:rPr>
                <w:b/>
                <w:color w:val="FF0000"/>
                <w:u w:val="single"/>
                <w:lang w:val="en-GB" w:eastAsia="en-GB"/>
              </w:rPr>
              <w:t>Sonda</w:t>
            </w:r>
            <w:r w:rsidR="00A06939" w:rsidRPr="00111422">
              <w:rPr>
                <w:b/>
                <w:color w:val="FF0000"/>
                <w:lang w:val="en-GB" w:eastAsia="en-GB"/>
              </w:rPr>
              <w:t xml:space="preserve"> to investigate if need to remain.</w:t>
            </w:r>
          </w:p>
        </w:tc>
      </w:tr>
      <w:tr w:rsidR="00DC23B9" w:rsidRPr="00D357EC" w:rsidTr="006D7688">
        <w:trPr>
          <w:trHeight w:val="525"/>
        </w:trPr>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DC23B9" w:rsidRDefault="00DC23B9" w:rsidP="00D357EC">
            <w:pPr>
              <w:spacing w:after="0"/>
              <w:rPr>
                <w:color w:val="000000"/>
                <w:lang w:val="en-GB" w:eastAsia="en-GB"/>
              </w:rPr>
            </w:pPr>
            <w:r>
              <w:rPr>
                <w:color w:val="000000"/>
                <w:lang w:val="en-GB" w:eastAsia="en-GB"/>
              </w:rPr>
              <w:t>8. SOFF CHOS</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rsidR="00DC23B9" w:rsidRDefault="00DC23B9" w:rsidP="00D357EC">
            <w:pPr>
              <w:spacing w:after="0"/>
              <w:rPr>
                <w:color w:val="000000"/>
                <w:lang w:val="en-GB" w:eastAsia="en-GB"/>
              </w:rPr>
            </w:pPr>
            <w:r>
              <w:rPr>
                <w:color w:val="000000"/>
                <w:lang w:val="en-GB" w:eastAsia="en-GB"/>
              </w:rPr>
              <w:t>Template still missing</w:t>
            </w:r>
            <w:r w:rsidR="005F1349">
              <w:rPr>
                <w:color w:val="000000"/>
                <w:lang w:val="en-GB" w:eastAsia="en-GB"/>
              </w:rPr>
              <w:t xml:space="preserve"> (Action 3)</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rsidR="00DC23B9" w:rsidRPr="00DC23B9" w:rsidRDefault="00DC23B9" w:rsidP="00A06939">
            <w:pPr>
              <w:spacing w:after="0"/>
              <w:rPr>
                <w:lang w:val="en-GB" w:eastAsia="en-GB"/>
              </w:rPr>
            </w:pPr>
            <w:r w:rsidRPr="00DC23B9">
              <w:rPr>
                <w:lang w:val="en-GB" w:eastAsia="en-GB"/>
              </w:rPr>
              <w:t xml:space="preserve">Not to be provided </w:t>
            </w:r>
            <w:r>
              <w:rPr>
                <w:lang w:val="en-GB" w:eastAsia="en-GB"/>
              </w:rPr>
              <w:t xml:space="preserve">finally </w:t>
            </w:r>
            <w:r w:rsidRPr="00DC23B9">
              <w:rPr>
                <w:lang w:val="en-GB" w:eastAsia="en-GB"/>
              </w:rPr>
              <w:t xml:space="preserve">as </w:t>
            </w:r>
            <w:r>
              <w:rPr>
                <w:lang w:val="en-GB" w:eastAsia="en-GB"/>
              </w:rPr>
              <w:t>it is “n/a” in the global grid.</w:t>
            </w:r>
          </w:p>
        </w:tc>
      </w:tr>
    </w:tbl>
    <w:p w:rsidR="00361484" w:rsidRPr="00361484" w:rsidRDefault="00361484" w:rsidP="00361484">
      <w:pPr>
        <w:pStyle w:val="BlockText"/>
      </w:pPr>
    </w:p>
    <w:p w:rsidR="004B2F86" w:rsidRDefault="005F1349" w:rsidP="007F0C1D">
      <w:pPr>
        <w:pStyle w:val="Heading2"/>
      </w:pPr>
      <w:r>
        <w:t xml:space="preserve">Review of </w:t>
      </w:r>
      <w:r w:rsidR="0070379B">
        <w:t xml:space="preserve">Open Item Action </w:t>
      </w:r>
      <w:r>
        <w:t>4: Record Date T</w:t>
      </w:r>
      <w:r w:rsidR="004B2F86">
        <w:t>racking</w:t>
      </w:r>
      <w:r>
        <w:t xml:space="preserve"> Table</w:t>
      </w:r>
    </w:p>
    <w:p w:rsidR="005F1349" w:rsidRPr="002127BA" w:rsidRDefault="005F1349" w:rsidP="005F1349">
      <w:pPr>
        <w:rPr>
          <w:color w:val="008000"/>
        </w:rPr>
      </w:pPr>
      <w:r w:rsidRPr="002127BA">
        <w:rPr>
          <w:color w:val="008000"/>
        </w:rPr>
        <w:t>The following decisions have been taken:</w:t>
      </w:r>
    </w:p>
    <w:p w:rsidR="004B2F86" w:rsidRPr="002127BA" w:rsidRDefault="004B2F86" w:rsidP="008666D8">
      <w:pPr>
        <w:numPr>
          <w:ilvl w:val="0"/>
          <w:numId w:val="10"/>
        </w:numPr>
        <w:spacing w:after="0"/>
        <w:rPr>
          <w:color w:val="008000"/>
        </w:rPr>
      </w:pPr>
      <w:r w:rsidRPr="002127BA">
        <w:rPr>
          <w:color w:val="008000"/>
        </w:rPr>
        <w:t xml:space="preserve">Change column name to </w:t>
      </w:r>
      <w:r w:rsidR="005F1349" w:rsidRPr="002127BA">
        <w:rPr>
          <w:color w:val="008000"/>
        </w:rPr>
        <w:t>“Record Date D</w:t>
      </w:r>
      <w:r w:rsidRPr="002127BA">
        <w:rPr>
          <w:color w:val="008000"/>
        </w:rPr>
        <w:t>riven</w:t>
      </w:r>
      <w:r w:rsidR="005F1349" w:rsidRPr="002127BA">
        <w:rPr>
          <w:color w:val="008000"/>
        </w:rPr>
        <w:t>”</w:t>
      </w:r>
      <w:r w:rsidRPr="002127BA">
        <w:rPr>
          <w:color w:val="008000"/>
        </w:rPr>
        <w:t xml:space="preserve">, instead of </w:t>
      </w:r>
      <w:r w:rsidR="005F1349" w:rsidRPr="002127BA">
        <w:rPr>
          <w:color w:val="008000"/>
        </w:rPr>
        <w:t>“</w:t>
      </w:r>
      <w:r w:rsidR="0023157A" w:rsidRPr="002127BA">
        <w:rPr>
          <w:color w:val="008000"/>
        </w:rPr>
        <w:t>Record</w:t>
      </w:r>
      <w:r w:rsidR="005F1349" w:rsidRPr="002127BA">
        <w:rPr>
          <w:color w:val="008000"/>
        </w:rPr>
        <w:t xml:space="preserve"> date </w:t>
      </w:r>
      <w:r w:rsidRPr="002127BA">
        <w:rPr>
          <w:color w:val="008000"/>
        </w:rPr>
        <w:t>supported</w:t>
      </w:r>
      <w:r w:rsidR="005F1349" w:rsidRPr="002127BA">
        <w:rPr>
          <w:color w:val="008000"/>
        </w:rPr>
        <w:t>”</w:t>
      </w:r>
    </w:p>
    <w:p w:rsidR="004B2F86" w:rsidRPr="002127BA" w:rsidRDefault="004B2F86" w:rsidP="008666D8">
      <w:pPr>
        <w:numPr>
          <w:ilvl w:val="0"/>
          <w:numId w:val="10"/>
        </w:numPr>
        <w:spacing w:after="0"/>
        <w:rPr>
          <w:color w:val="008000"/>
        </w:rPr>
      </w:pPr>
      <w:r w:rsidRPr="002127BA">
        <w:rPr>
          <w:color w:val="008000"/>
        </w:rPr>
        <w:t xml:space="preserve">Change </w:t>
      </w:r>
      <w:r w:rsidR="005F1349" w:rsidRPr="002127BA">
        <w:rPr>
          <w:color w:val="008000"/>
        </w:rPr>
        <w:t>column name “</w:t>
      </w:r>
      <w:r w:rsidRPr="002127BA">
        <w:rPr>
          <w:color w:val="008000"/>
        </w:rPr>
        <w:t>RDTE events supported</w:t>
      </w:r>
      <w:r w:rsidR="005F1349" w:rsidRPr="002127BA">
        <w:rPr>
          <w:color w:val="008000"/>
        </w:rPr>
        <w:t>”</w:t>
      </w:r>
      <w:r w:rsidRPr="002127BA">
        <w:rPr>
          <w:color w:val="008000"/>
        </w:rPr>
        <w:t xml:space="preserve"> to </w:t>
      </w:r>
      <w:r w:rsidR="005F1349" w:rsidRPr="002127BA">
        <w:rPr>
          <w:color w:val="008000"/>
        </w:rPr>
        <w:t>“</w:t>
      </w:r>
      <w:r w:rsidRPr="002127BA">
        <w:rPr>
          <w:color w:val="008000"/>
        </w:rPr>
        <w:t xml:space="preserve">Exceptions </w:t>
      </w:r>
      <w:r w:rsidR="005F1349" w:rsidRPr="002127BA">
        <w:rPr>
          <w:color w:val="008000"/>
        </w:rPr>
        <w:t>(Events)</w:t>
      </w:r>
      <w:r w:rsidRPr="002127BA">
        <w:rPr>
          <w:color w:val="008000"/>
        </w:rPr>
        <w:t xml:space="preserve"> in GG</w:t>
      </w:r>
      <w:r w:rsidR="005F1349" w:rsidRPr="002127BA">
        <w:rPr>
          <w:color w:val="008000"/>
        </w:rPr>
        <w:t>”</w:t>
      </w:r>
    </w:p>
    <w:p w:rsidR="004B2F86" w:rsidRPr="002127BA" w:rsidRDefault="004B2F86" w:rsidP="008666D8">
      <w:pPr>
        <w:numPr>
          <w:ilvl w:val="0"/>
          <w:numId w:val="10"/>
        </w:numPr>
        <w:spacing w:after="0"/>
        <w:rPr>
          <w:color w:val="008000"/>
        </w:rPr>
      </w:pPr>
      <w:r w:rsidRPr="002127BA">
        <w:rPr>
          <w:color w:val="008000"/>
        </w:rPr>
        <w:t>BE: RDTE market, Charles will send input to Jacques</w:t>
      </w:r>
    </w:p>
    <w:p w:rsidR="004B2F86" w:rsidRPr="002127BA" w:rsidRDefault="004B2F86" w:rsidP="008666D8">
      <w:pPr>
        <w:numPr>
          <w:ilvl w:val="0"/>
          <w:numId w:val="10"/>
        </w:numPr>
        <w:spacing w:after="0"/>
        <w:rPr>
          <w:color w:val="008000"/>
        </w:rPr>
      </w:pPr>
      <w:r w:rsidRPr="002127BA">
        <w:rPr>
          <w:color w:val="008000"/>
        </w:rPr>
        <w:t>CH: RDTE market, Michael will send input to Jacques</w:t>
      </w:r>
    </w:p>
    <w:p w:rsidR="004B2F86" w:rsidRPr="002127BA" w:rsidRDefault="004B2F86" w:rsidP="008666D8">
      <w:pPr>
        <w:numPr>
          <w:ilvl w:val="0"/>
          <w:numId w:val="10"/>
        </w:numPr>
        <w:spacing w:after="0"/>
        <w:rPr>
          <w:color w:val="008000"/>
        </w:rPr>
      </w:pPr>
      <w:r w:rsidRPr="002127BA">
        <w:rPr>
          <w:color w:val="008000"/>
        </w:rPr>
        <w:t>DE: Not a RDTE market</w:t>
      </w:r>
    </w:p>
    <w:p w:rsidR="004B2F86" w:rsidRPr="002127BA" w:rsidRDefault="004B2F86" w:rsidP="008666D8">
      <w:pPr>
        <w:numPr>
          <w:ilvl w:val="0"/>
          <w:numId w:val="10"/>
        </w:numPr>
        <w:spacing w:after="0"/>
        <w:rPr>
          <w:color w:val="008000"/>
        </w:rPr>
      </w:pPr>
      <w:r w:rsidRPr="002127BA">
        <w:rPr>
          <w:color w:val="008000"/>
        </w:rPr>
        <w:lastRenderedPageBreak/>
        <w:t>DK: Yes</w:t>
      </w:r>
    </w:p>
    <w:p w:rsidR="004B2F86" w:rsidRPr="002127BA" w:rsidRDefault="004B2F86" w:rsidP="008666D8">
      <w:pPr>
        <w:numPr>
          <w:ilvl w:val="0"/>
          <w:numId w:val="10"/>
        </w:numPr>
        <w:spacing w:after="0"/>
        <w:rPr>
          <w:color w:val="008000"/>
        </w:rPr>
      </w:pPr>
      <w:r w:rsidRPr="002127BA">
        <w:rPr>
          <w:color w:val="008000"/>
        </w:rPr>
        <w:t>JP: Yes</w:t>
      </w:r>
    </w:p>
    <w:p w:rsidR="00F42AEB" w:rsidRPr="002127BA" w:rsidRDefault="004B2F86" w:rsidP="008666D8">
      <w:pPr>
        <w:numPr>
          <w:ilvl w:val="0"/>
          <w:numId w:val="10"/>
        </w:numPr>
        <w:spacing w:after="0"/>
        <w:rPr>
          <w:color w:val="008000"/>
        </w:rPr>
      </w:pPr>
      <w:r w:rsidRPr="002127BA">
        <w:rPr>
          <w:color w:val="008000"/>
        </w:rPr>
        <w:t>US: Mix</w:t>
      </w:r>
    </w:p>
    <w:p w:rsidR="0070379B" w:rsidRDefault="00F42AEB" w:rsidP="00F42AEB">
      <w:pPr>
        <w:pStyle w:val="Actions"/>
        <w:rPr>
          <w:u w:val="single"/>
        </w:rPr>
      </w:pPr>
      <w:r w:rsidRPr="00F42AEB">
        <w:rPr>
          <w:u w:val="single"/>
        </w:rPr>
        <w:t>Action</w:t>
      </w:r>
      <w:r w:rsidR="0070379B">
        <w:rPr>
          <w:u w:val="single"/>
        </w:rPr>
        <w:t>s:</w:t>
      </w:r>
    </w:p>
    <w:p w:rsidR="0070379B" w:rsidRDefault="0070379B" w:rsidP="0070379B">
      <w:pPr>
        <w:pStyle w:val="Actions"/>
        <w:numPr>
          <w:ilvl w:val="0"/>
          <w:numId w:val="21"/>
        </w:numPr>
      </w:pPr>
      <w:r w:rsidRPr="0070379B">
        <w:rPr>
          <w:u w:val="single"/>
        </w:rPr>
        <w:t>BE and CH</w:t>
      </w:r>
      <w:r>
        <w:t xml:space="preserve"> to send input to Jacques as indicated above</w:t>
      </w:r>
    </w:p>
    <w:p w:rsidR="004B2F86" w:rsidRDefault="004B2F86" w:rsidP="0070379B">
      <w:pPr>
        <w:pStyle w:val="Actions"/>
        <w:numPr>
          <w:ilvl w:val="0"/>
          <w:numId w:val="21"/>
        </w:numPr>
      </w:pPr>
      <w:r w:rsidRPr="00F42AEB">
        <w:rPr>
          <w:u w:val="single"/>
        </w:rPr>
        <w:t>All markets</w:t>
      </w:r>
      <w:r w:rsidR="0070379B">
        <w:t xml:space="preserve"> </w:t>
      </w:r>
      <w:r>
        <w:t xml:space="preserve">to send their input </w:t>
      </w:r>
      <w:r w:rsidR="00F42AEB">
        <w:t xml:space="preserve">(eg. Exceptions events not RDTE driven) </w:t>
      </w:r>
      <w:r>
        <w:t>for the revised columns</w:t>
      </w:r>
    </w:p>
    <w:p w:rsidR="00F42AEB" w:rsidRDefault="003A4FB7" w:rsidP="00514C3A">
      <w:pPr>
        <w:pStyle w:val="Heading1"/>
      </w:pPr>
      <w:bookmarkStart w:id="9" w:name="_Toc324436891"/>
      <w:r>
        <w:t xml:space="preserve">CA 202 - </w:t>
      </w:r>
      <w:r w:rsidR="0070379B">
        <w:t>Funds related CA Events</w:t>
      </w:r>
      <w:bookmarkEnd w:id="9"/>
    </w:p>
    <w:p w:rsidR="003A4FB7" w:rsidRDefault="003A4FB7" w:rsidP="006A73DE">
      <w:r>
        <w:t>Bernard Reports about his meeting with the IF-WG:</w:t>
      </w:r>
    </w:p>
    <w:p w:rsidR="004B2F86" w:rsidRDefault="004B2F86" w:rsidP="006A73DE">
      <w:r>
        <w:t>The source of CA information varies greatly between markets in the IF arena</w:t>
      </w:r>
      <w:r w:rsidR="006A73DE">
        <w:t>. The IF group works on a survey market by market to identify commonalities and discrepancies. They only focus on ETF and open-ended funds.</w:t>
      </w:r>
    </w:p>
    <w:p w:rsidR="004B2F86" w:rsidRDefault="004B2F86" w:rsidP="006A73DE">
      <w:r>
        <w:t>The IF-WG asked if there are any events we are aware of with specific impact on investment funds</w:t>
      </w:r>
      <w:r w:rsidR="006A73DE">
        <w:t xml:space="preserve">. </w:t>
      </w:r>
      <w:r>
        <w:t>Bernard said that there are a few we have discussed such as reinvestment vs. accumulation</w:t>
      </w:r>
      <w:r w:rsidR="00514C3A">
        <w:t>.</w:t>
      </w:r>
    </w:p>
    <w:p w:rsidR="006A73DE" w:rsidRDefault="004B2F86" w:rsidP="006A73DE">
      <w:r>
        <w:t xml:space="preserve">Bernard proposed that </w:t>
      </w:r>
      <w:r w:rsidR="006A73DE">
        <w:t xml:space="preserve">the IF group </w:t>
      </w:r>
      <w:r w:rsidR="00514C3A">
        <w:t>do</w:t>
      </w:r>
      <w:r w:rsidR="006A73DE">
        <w:t>es</w:t>
      </w:r>
      <w:r w:rsidR="00514C3A">
        <w:t xml:space="preserve"> </w:t>
      </w:r>
      <w:r>
        <w:t xml:space="preserve">not look at how the information would be communicated, but </w:t>
      </w:r>
      <w:r w:rsidR="00514C3A">
        <w:t xml:space="preserve">instead </w:t>
      </w:r>
      <w:r>
        <w:t xml:space="preserve">provide </w:t>
      </w:r>
      <w:r w:rsidR="006A73DE">
        <w:t>the CA WG</w:t>
      </w:r>
      <w:r>
        <w:t xml:space="preserve"> with the business scenarios they would like to create a market practice for</w:t>
      </w:r>
      <w:r w:rsidR="006A73DE">
        <w:t xml:space="preserve"> i.e. mainly for:</w:t>
      </w:r>
    </w:p>
    <w:p w:rsidR="006A73DE" w:rsidRDefault="006A73DE" w:rsidP="008666D8">
      <w:pPr>
        <w:numPr>
          <w:ilvl w:val="0"/>
          <w:numId w:val="11"/>
        </w:numPr>
        <w:spacing w:after="0"/>
        <w:ind w:left="763"/>
      </w:pPr>
      <w:r>
        <w:t>reinvestments,</w:t>
      </w:r>
    </w:p>
    <w:p w:rsidR="006A73DE" w:rsidRDefault="006A73DE" w:rsidP="008666D8">
      <w:pPr>
        <w:numPr>
          <w:ilvl w:val="0"/>
          <w:numId w:val="11"/>
        </w:numPr>
        <w:spacing w:after="0"/>
        <w:ind w:left="763"/>
      </w:pPr>
      <w:r>
        <w:t>accumulation,</w:t>
      </w:r>
    </w:p>
    <w:p w:rsidR="006A73DE" w:rsidRDefault="006A73DE" w:rsidP="008666D8">
      <w:pPr>
        <w:numPr>
          <w:ilvl w:val="0"/>
          <w:numId w:val="11"/>
        </w:numPr>
        <w:spacing w:after="0"/>
        <w:ind w:left="763"/>
      </w:pPr>
      <w:r>
        <w:t>liquidation/redemption,</w:t>
      </w:r>
    </w:p>
    <w:p w:rsidR="004B2F86" w:rsidRDefault="006A73DE" w:rsidP="008666D8">
      <w:pPr>
        <w:numPr>
          <w:ilvl w:val="0"/>
          <w:numId w:val="11"/>
        </w:numPr>
        <w:spacing w:after="0"/>
        <w:ind w:left="763"/>
      </w:pPr>
      <w:r>
        <w:t>equalisation</w:t>
      </w:r>
    </w:p>
    <w:p w:rsidR="006A73DE" w:rsidRDefault="006A73DE" w:rsidP="006A73DE">
      <w:pPr>
        <w:spacing w:after="0"/>
      </w:pPr>
    </w:p>
    <w:p w:rsidR="004B2F86" w:rsidRDefault="004B2F86" w:rsidP="006A73DE">
      <w:r>
        <w:t xml:space="preserve">The </w:t>
      </w:r>
      <w:r w:rsidR="0070379B">
        <w:t xml:space="preserve">CA </w:t>
      </w:r>
      <w:r>
        <w:t xml:space="preserve">WG discussed what to do and how to proceed, and agreed to focus on the largest markets </w:t>
      </w:r>
      <w:r w:rsidR="0070379B">
        <w:t xml:space="preserve">first </w:t>
      </w:r>
      <w:r>
        <w:t xml:space="preserve">(US, ESES, LU, ES, DE, UK&amp;IE and CH) and </w:t>
      </w:r>
      <w:r w:rsidR="0070379B">
        <w:t xml:space="preserve">on </w:t>
      </w:r>
      <w:r>
        <w:t xml:space="preserve">the main </w:t>
      </w:r>
      <w:r w:rsidR="0023157A">
        <w:t>pain points</w:t>
      </w:r>
      <w:r>
        <w:t xml:space="preserve"> rather than all issues</w:t>
      </w:r>
      <w:r w:rsidR="0070379B">
        <w:t xml:space="preserve"> at once</w:t>
      </w:r>
      <w:r>
        <w:t>.</w:t>
      </w:r>
    </w:p>
    <w:p w:rsidR="004B2F86" w:rsidRDefault="006A73DE" w:rsidP="006A73DE">
      <w:pPr>
        <w:pStyle w:val="Actions"/>
      </w:pPr>
      <w:r w:rsidRPr="006A73DE">
        <w:rPr>
          <w:u w:val="single"/>
        </w:rPr>
        <w:t>Actions</w:t>
      </w:r>
      <w:r>
        <w:t xml:space="preserve">: </w:t>
      </w:r>
      <w:r w:rsidR="004B2F86" w:rsidRPr="00497810">
        <w:rPr>
          <w:u w:val="single"/>
        </w:rPr>
        <w:t>Andreana</w:t>
      </w:r>
      <w:r>
        <w:t xml:space="preserve"> (covering DE), </w:t>
      </w:r>
      <w:r w:rsidRPr="00497810">
        <w:rPr>
          <w:u w:val="single"/>
        </w:rPr>
        <w:t>Mari</w:t>
      </w:r>
      <w:r>
        <w:t xml:space="preserve"> (covering UK&amp;IE) and </w:t>
      </w:r>
      <w:r w:rsidRPr="00497810">
        <w:rPr>
          <w:u w:val="single"/>
        </w:rPr>
        <w:t>Veronique</w:t>
      </w:r>
      <w:r>
        <w:t xml:space="preserve"> (covering the rest of countries) to create the</w:t>
      </w:r>
      <w:r w:rsidR="004B2F86">
        <w:t xml:space="preserve"> </w:t>
      </w:r>
      <w:r>
        <w:t xml:space="preserve">respective </w:t>
      </w:r>
      <w:r w:rsidR="004B2F86">
        <w:t xml:space="preserve">list of </w:t>
      </w:r>
      <w:r w:rsidR="0023157A">
        <w:t>pain points</w:t>
      </w:r>
      <w:r>
        <w:t>.</w:t>
      </w:r>
      <w:r w:rsidR="004B2F86">
        <w:t xml:space="preserve"> </w:t>
      </w:r>
    </w:p>
    <w:p w:rsidR="00514C3A" w:rsidRDefault="00B25428" w:rsidP="00514C3A">
      <w:pPr>
        <w:pStyle w:val="Heading1"/>
      </w:pPr>
      <w:bookmarkStart w:id="10" w:name="_Toc324436892"/>
      <w:r>
        <w:t>CA</w:t>
      </w:r>
      <w:r w:rsidR="00D81E0E">
        <w:t xml:space="preserve"> </w:t>
      </w:r>
      <w:r>
        <w:t xml:space="preserve">214 - </w:t>
      </w:r>
      <w:r w:rsidR="00514C3A">
        <w:t xml:space="preserve">MT567 definition of PACK </w:t>
      </w:r>
      <w:r w:rsidR="0023157A">
        <w:t>vs.</w:t>
      </w:r>
      <w:r w:rsidR="00514C3A">
        <w:t xml:space="preserve"> PEND</w:t>
      </w:r>
      <w:bookmarkEnd w:id="10"/>
    </w:p>
    <w:p w:rsidR="004B2F86" w:rsidRDefault="004B2F86" w:rsidP="00F4793F">
      <w:r>
        <w:t xml:space="preserve">Long discussion of whether there is a difference between </w:t>
      </w:r>
      <w:smartTag w:uri="urn:schemas-microsoft-com:office:smarttags" w:element="stockticker">
        <w:r>
          <w:t>PACK</w:t>
        </w:r>
      </w:smartTag>
      <w:r>
        <w:t>//LATE and PEND//LATE and what to do.</w:t>
      </w:r>
    </w:p>
    <w:p w:rsidR="00EB34FD" w:rsidRPr="002127BA" w:rsidRDefault="004B2F86" w:rsidP="00F4793F">
      <w:pPr>
        <w:rPr>
          <w:color w:val="008000"/>
        </w:rPr>
      </w:pPr>
      <w:r w:rsidRPr="002127BA">
        <w:rPr>
          <w:color w:val="008000"/>
          <w:u w:val="single"/>
        </w:rPr>
        <w:t>Decision</w:t>
      </w:r>
      <w:r w:rsidRPr="002127BA">
        <w:rPr>
          <w:color w:val="008000"/>
        </w:rPr>
        <w:t>:</w:t>
      </w:r>
      <w:r w:rsidR="00EB34FD" w:rsidRPr="002127BA">
        <w:rPr>
          <w:color w:val="008000"/>
        </w:rPr>
        <w:t xml:space="preserve"> The group agrees on the following action items:</w:t>
      </w:r>
      <w:r w:rsidRPr="002127BA">
        <w:rPr>
          <w:color w:val="008000"/>
        </w:rPr>
        <w:t xml:space="preserve"> </w:t>
      </w:r>
    </w:p>
    <w:p w:rsidR="00EB34FD" w:rsidRPr="002127BA" w:rsidRDefault="00EB34FD" w:rsidP="008666D8">
      <w:pPr>
        <w:numPr>
          <w:ilvl w:val="0"/>
          <w:numId w:val="12"/>
        </w:numPr>
        <w:rPr>
          <w:color w:val="008000"/>
        </w:rPr>
      </w:pPr>
      <w:r w:rsidRPr="002127BA">
        <w:rPr>
          <w:color w:val="008000"/>
        </w:rPr>
        <w:t>Short term</w:t>
      </w:r>
      <w:r w:rsidR="00F86CD8" w:rsidRPr="002127BA">
        <w:rPr>
          <w:color w:val="008000"/>
        </w:rPr>
        <w:t xml:space="preserve"> (SR2013)</w:t>
      </w:r>
      <w:r w:rsidRPr="002127BA">
        <w:rPr>
          <w:color w:val="008000"/>
        </w:rPr>
        <w:t>: C</w:t>
      </w:r>
      <w:r w:rsidR="004B2F86" w:rsidRPr="002127BA">
        <w:rPr>
          <w:color w:val="008000"/>
        </w:rPr>
        <w:t xml:space="preserve">hange </w:t>
      </w:r>
      <w:r w:rsidRPr="002127BA">
        <w:rPr>
          <w:color w:val="008000"/>
        </w:rPr>
        <w:t xml:space="preserve">the </w:t>
      </w:r>
      <w:r w:rsidR="004B2F86" w:rsidRPr="002127BA">
        <w:rPr>
          <w:color w:val="008000"/>
        </w:rPr>
        <w:t xml:space="preserve">market practice for SR2013 to state that </w:t>
      </w:r>
      <w:smartTag w:uri="urn:schemas-microsoft-com:office:smarttags" w:element="stockticker">
        <w:r w:rsidR="004B2F86" w:rsidRPr="002127BA">
          <w:rPr>
            <w:color w:val="008000"/>
          </w:rPr>
          <w:t>PACK</w:t>
        </w:r>
      </w:smartTag>
      <w:r w:rsidR="004B2F86" w:rsidRPr="002127BA">
        <w:rPr>
          <w:color w:val="008000"/>
        </w:rPr>
        <w:t xml:space="preserve">//ADEA and </w:t>
      </w:r>
      <w:smartTag w:uri="urn:schemas-microsoft-com:office:smarttags" w:element="stockticker">
        <w:r w:rsidR="004B2F86" w:rsidRPr="002127BA">
          <w:rPr>
            <w:color w:val="008000"/>
          </w:rPr>
          <w:t>PACK</w:t>
        </w:r>
      </w:smartTag>
      <w:r w:rsidR="004B2F86" w:rsidRPr="002127BA">
        <w:rPr>
          <w:color w:val="008000"/>
        </w:rPr>
        <w:t xml:space="preserve">//LATE should not be used; instead PEND should be used. </w:t>
      </w:r>
    </w:p>
    <w:p w:rsidR="00F86CD8" w:rsidRPr="002127BA" w:rsidRDefault="00F86CD8" w:rsidP="008666D8">
      <w:pPr>
        <w:numPr>
          <w:ilvl w:val="0"/>
          <w:numId w:val="12"/>
        </w:numPr>
        <w:rPr>
          <w:color w:val="008000"/>
        </w:rPr>
      </w:pPr>
      <w:r w:rsidRPr="002127BA">
        <w:rPr>
          <w:color w:val="008000"/>
        </w:rPr>
        <w:t>Short Term (SR2013) Create a CR for SR2013 to change the name and definition of IPRC//</w:t>
      </w:r>
      <w:smartTag w:uri="urn:schemas-microsoft-com:office:smarttags" w:element="stockticker">
        <w:r w:rsidRPr="002127BA">
          <w:rPr>
            <w:color w:val="008000"/>
          </w:rPr>
          <w:t>PACK</w:t>
        </w:r>
      </w:smartTag>
      <w:r w:rsidR="0070379B" w:rsidRPr="002127BA">
        <w:rPr>
          <w:color w:val="008000"/>
        </w:rPr>
        <w:t xml:space="preserve"> as previously pr</w:t>
      </w:r>
      <w:r w:rsidRPr="002127BA">
        <w:rPr>
          <w:color w:val="008000"/>
        </w:rPr>
        <w:t>oposed as follows:</w:t>
      </w:r>
    </w:p>
    <w:p w:rsidR="00F86CD8" w:rsidRPr="002127BA" w:rsidRDefault="00F86CD8" w:rsidP="0070379B">
      <w:pPr>
        <w:ind w:left="1080" w:right="486"/>
        <w:rPr>
          <w:i/>
          <w:color w:val="008000"/>
        </w:rPr>
      </w:pPr>
      <w:r w:rsidRPr="002127BA">
        <w:rPr>
          <w:i/>
          <w:color w:val="008000"/>
        </w:rPr>
        <w:t xml:space="preserve"> “</w:t>
      </w:r>
      <w:smartTag w:uri="urn:schemas-microsoft-com:office:smarttags" w:element="stockticker">
        <w:r w:rsidRPr="002127BA">
          <w:rPr>
            <w:i/>
            <w:color w:val="008000"/>
          </w:rPr>
          <w:t>PACK</w:t>
        </w:r>
      </w:smartTag>
      <w:r w:rsidRPr="002127BA">
        <w:rPr>
          <w:i/>
          <w:color w:val="008000"/>
        </w:rPr>
        <w:t xml:space="preserve"> - Accepted for Further Processing – Instruction has been accepted. This means that the instruction has been received, is processable and has been validated for further processing.”</w:t>
      </w:r>
    </w:p>
    <w:p w:rsidR="004B2F86" w:rsidRPr="002127BA" w:rsidRDefault="00EB34FD" w:rsidP="008666D8">
      <w:pPr>
        <w:numPr>
          <w:ilvl w:val="0"/>
          <w:numId w:val="12"/>
        </w:numPr>
        <w:rPr>
          <w:color w:val="008000"/>
        </w:rPr>
      </w:pPr>
      <w:r w:rsidRPr="002127BA">
        <w:rPr>
          <w:color w:val="008000"/>
        </w:rPr>
        <w:t xml:space="preserve">Medium Term (for SR2014): </w:t>
      </w:r>
      <w:r w:rsidR="004B2F86" w:rsidRPr="002127BA">
        <w:rPr>
          <w:color w:val="008000"/>
        </w:rPr>
        <w:t xml:space="preserve">request removal of </w:t>
      </w:r>
      <w:smartTag w:uri="urn:schemas-microsoft-com:office:smarttags" w:element="stockticker">
        <w:r w:rsidR="004B2F86" w:rsidRPr="002127BA">
          <w:rPr>
            <w:color w:val="008000"/>
          </w:rPr>
          <w:t>PACK</w:t>
        </w:r>
      </w:smartTag>
      <w:r w:rsidR="004B2F86" w:rsidRPr="002127BA">
        <w:rPr>
          <w:color w:val="008000"/>
        </w:rPr>
        <w:t xml:space="preserve">//ADEA and </w:t>
      </w:r>
      <w:smartTag w:uri="urn:schemas-microsoft-com:office:smarttags" w:element="stockticker">
        <w:r w:rsidR="004B2F86" w:rsidRPr="002127BA">
          <w:rPr>
            <w:color w:val="008000"/>
          </w:rPr>
          <w:t>PACK</w:t>
        </w:r>
      </w:smartTag>
      <w:r w:rsidR="004B2F86" w:rsidRPr="002127BA">
        <w:rPr>
          <w:color w:val="008000"/>
        </w:rPr>
        <w:t>//L</w:t>
      </w:r>
      <w:r w:rsidRPr="002127BA">
        <w:rPr>
          <w:color w:val="008000"/>
        </w:rPr>
        <w:t>ATE  from the standard</w:t>
      </w:r>
      <w:r w:rsidR="004B2F86" w:rsidRPr="002127BA">
        <w:rPr>
          <w:color w:val="008000"/>
        </w:rPr>
        <w:t>.</w:t>
      </w:r>
    </w:p>
    <w:p w:rsidR="0070379B" w:rsidRDefault="00DB32F6" w:rsidP="00497810">
      <w:pPr>
        <w:pStyle w:val="Actions"/>
      </w:pPr>
      <w:r w:rsidRPr="002A22A1">
        <w:rPr>
          <w:u w:val="single"/>
        </w:rPr>
        <w:t>Action</w:t>
      </w:r>
      <w:r>
        <w:t xml:space="preserve">: </w:t>
      </w:r>
    </w:p>
    <w:p w:rsidR="00DB32F6" w:rsidRDefault="002A22A1" w:rsidP="0070379B">
      <w:pPr>
        <w:pStyle w:val="Actions"/>
        <w:numPr>
          <w:ilvl w:val="0"/>
          <w:numId w:val="22"/>
        </w:numPr>
      </w:pPr>
      <w:r w:rsidRPr="002A22A1">
        <w:rPr>
          <w:u w:val="single"/>
        </w:rPr>
        <w:t>Jacques</w:t>
      </w:r>
      <w:r>
        <w:t xml:space="preserve"> to </w:t>
      </w:r>
      <w:r w:rsidR="00DB32F6">
        <w:t>Create SR2013 CR to change name &amp; definition of IPRC//PACK</w:t>
      </w:r>
      <w:r>
        <w:t xml:space="preserve"> and new MP for SR2013.</w:t>
      </w:r>
    </w:p>
    <w:p w:rsidR="0070379B" w:rsidRDefault="0070379B" w:rsidP="0070379B">
      <w:pPr>
        <w:pStyle w:val="Actions"/>
        <w:numPr>
          <w:ilvl w:val="0"/>
          <w:numId w:val="22"/>
        </w:numPr>
      </w:pPr>
      <w:r w:rsidRPr="0070379B">
        <w:rPr>
          <w:u w:val="single"/>
        </w:rPr>
        <w:t>Jacques</w:t>
      </w:r>
      <w:r>
        <w:t xml:space="preserve"> to update MP on PACK//ADEA and LATE</w:t>
      </w:r>
    </w:p>
    <w:p w:rsidR="004B2F86" w:rsidRDefault="004B2F86" w:rsidP="00F4793F">
      <w:pPr>
        <w:pStyle w:val="Heading1"/>
      </w:pPr>
      <w:bookmarkStart w:id="11" w:name="_Toc324436893"/>
      <w:r>
        <w:lastRenderedPageBreak/>
        <w:t>CA 224</w:t>
      </w:r>
      <w:r w:rsidR="00F4793F">
        <w:t xml:space="preserve"> - MT 56X - New Event Type  INFO &amp; new INFO Indicator</w:t>
      </w:r>
      <w:bookmarkEnd w:id="11"/>
    </w:p>
    <w:p w:rsidR="004B2F86" w:rsidRDefault="009C1599" w:rsidP="009C1599">
      <w:r w:rsidRPr="009C1599">
        <w:rPr>
          <w:u w:val="single"/>
        </w:rPr>
        <w:t>Input</w:t>
      </w:r>
      <w:r>
        <w:t>: Three e</w:t>
      </w:r>
      <w:r w:rsidR="004B2F86">
        <w:t>xamples provided by Peter</w:t>
      </w:r>
      <w:r>
        <w:t xml:space="preserve"> </w:t>
      </w:r>
      <w:r w:rsidR="004B7DFC">
        <w:t xml:space="preserve">from MDPUG </w:t>
      </w:r>
      <w:r>
        <w:t>and input from RU NMPG</w:t>
      </w:r>
      <w:r w:rsidR="00610AC0">
        <w:t xml:space="preserve"> on potential Russian usage </w:t>
      </w:r>
      <w:r w:rsidR="00425883">
        <w:t xml:space="preserve">for </w:t>
      </w:r>
      <w:r w:rsidR="0023157A">
        <w:t>disseminating</w:t>
      </w:r>
      <w:r w:rsidR="00425883">
        <w:t xml:space="preserve"> information that are today published on a web site.</w:t>
      </w:r>
    </w:p>
    <w:p w:rsidR="004B2F86" w:rsidRDefault="0070379B" w:rsidP="009C1599">
      <w:r>
        <w:object w:dxaOrig="1534" w:dyaOrig="993">
          <v:shape id="_x0000_i1026" type="#_x0000_t75" style="width:76.5pt;height:49.5pt" o:ole="">
            <v:imagedata r:id="rId13" o:title=""/>
          </v:shape>
          <o:OLEObject Type="Embed" ProgID="Package" ShapeID="_x0000_i1026" DrawAspect="Icon" ObjectID="_1398179306" r:id="rId14"/>
        </w:object>
      </w:r>
    </w:p>
    <w:p w:rsidR="003F0EE4" w:rsidRDefault="004B7DFC" w:rsidP="009C1599">
      <w:r>
        <w:t xml:space="preserve">The analysis </w:t>
      </w:r>
      <w:r w:rsidR="00A2179F">
        <w:t xml:space="preserve">of the 3 examples </w:t>
      </w:r>
      <w:r>
        <w:t>show</w:t>
      </w:r>
      <w:r w:rsidR="00A2179F">
        <w:t>s</w:t>
      </w:r>
      <w:r>
        <w:t xml:space="preserve"> that none of the three examples are actually good candidate for the INFO event.</w:t>
      </w:r>
      <w:r w:rsidR="00A2179F">
        <w:t xml:space="preserve"> </w:t>
      </w:r>
      <w:r>
        <w:t xml:space="preserve">Example 1 can be covered by </w:t>
      </w:r>
      <w:r w:rsidR="003F0EE4">
        <w:t xml:space="preserve">OTHR, </w:t>
      </w:r>
      <w:r>
        <w:t>example 2 by EXOF</w:t>
      </w:r>
      <w:r w:rsidR="0023157A">
        <w:t xml:space="preserve"> a</w:t>
      </w:r>
      <w:r>
        <w:t xml:space="preserve">nd example 3 by CHAN NAME. </w:t>
      </w:r>
      <w:r w:rsidR="00425883">
        <w:t>For the other Russian examples (mainly disclosure of financial reporting), the group thinks that it is not related to a CA and therefore should rather remain on a web site.</w:t>
      </w:r>
    </w:p>
    <w:p w:rsidR="0070379B" w:rsidRDefault="004B7DFC" w:rsidP="009C1599">
      <w:r>
        <w:t>Follows a d</w:t>
      </w:r>
      <w:r w:rsidR="004B2F86">
        <w:t>iscussion</w:t>
      </w:r>
      <w:r w:rsidR="009C1599">
        <w:t xml:space="preserve"> on</w:t>
      </w:r>
      <w:r w:rsidR="004B2F86">
        <w:t xml:space="preserve"> what </w:t>
      </w:r>
      <w:r w:rsidR="009C1599">
        <w:t>is the value of being</w:t>
      </w:r>
      <w:r w:rsidR="004B2F86">
        <w:t xml:space="preserve"> able t</w:t>
      </w:r>
      <w:r w:rsidR="009C1599">
        <w:t>o send financial information</w:t>
      </w:r>
      <w:r w:rsidR="004B2F86">
        <w:t xml:space="preserve"> in an MT564</w:t>
      </w:r>
      <w:r w:rsidR="009C1599">
        <w:t>, what to send and how ?</w:t>
      </w:r>
      <w:r w:rsidR="003F0EE4">
        <w:t xml:space="preserve"> </w:t>
      </w:r>
      <w:r>
        <w:t xml:space="preserve"> </w:t>
      </w:r>
    </w:p>
    <w:p w:rsidR="004B2F86" w:rsidRDefault="003F0EE4" w:rsidP="009C1599">
      <w:r>
        <w:t xml:space="preserve">The business case for </w:t>
      </w:r>
      <w:r w:rsidR="00A2179F">
        <w:t>“</w:t>
      </w:r>
      <w:r>
        <w:t>conference call</w:t>
      </w:r>
      <w:r w:rsidR="00A2179F">
        <w:t>”</w:t>
      </w:r>
      <w:r>
        <w:t xml:space="preserve"> announcements via the new INFO event is </w:t>
      </w:r>
      <w:r w:rsidR="004B7DFC">
        <w:t xml:space="preserve">deemed </w:t>
      </w:r>
      <w:r>
        <w:t xml:space="preserve">consistent. </w:t>
      </w:r>
      <w:r w:rsidR="00A2179F">
        <w:t xml:space="preserve">This new INFO event would </w:t>
      </w:r>
      <w:r w:rsidR="004F0F26">
        <w:t>cover issuer’s information communication without any movements or deadlines</w:t>
      </w:r>
      <w:r w:rsidR="00610AC0">
        <w:t>. This will allow to distinguish more easily those events from all the other ones in the “OTHR” “trash box”</w:t>
      </w:r>
      <w:r w:rsidR="0070379B">
        <w:t xml:space="preserve"> event</w:t>
      </w:r>
      <w:r w:rsidR="00610AC0">
        <w:t xml:space="preserve">. </w:t>
      </w:r>
    </w:p>
    <w:p w:rsidR="008A6ACE" w:rsidRDefault="008A6ACE" w:rsidP="009C1599">
      <w:r>
        <w:t>The following decision tree has been drafted at the meeting for when to use INFO vs. OTHR:</w:t>
      </w:r>
    </w:p>
    <w:p w:rsidR="0040717B" w:rsidRDefault="0040717B" w:rsidP="009C1599">
      <w:r>
        <w:rPr>
          <w:noProof/>
          <w:lang w:val="en-GB" w:eastAsia="en-GB"/>
        </w:rPr>
        <w:pict>
          <v:shapetype id="_x0000_t110" coordsize="21600,21600" o:spt="110" path="m10800,l,10800,10800,21600,21600,10800xe">
            <v:stroke joinstyle="miter"/>
            <v:path gradientshapeok="t" o:connecttype="rect" textboxrect="5400,5400,16200,16200"/>
          </v:shapetype>
          <v:shape id="_x0000_s1038" type="#_x0000_t110" style="position:absolute;margin-left:-50.7pt;margin-top:10.4pt;width:124.5pt;height:65.1pt;z-index:251659776" fillcolor="#b8cce4 [1300]">
            <v:textbox>
              <w:txbxContent>
                <w:p w:rsidR="005C54C3" w:rsidRPr="005C54C3" w:rsidRDefault="005C54C3" w:rsidP="005C54C3">
                  <w:pPr>
                    <w:rPr>
                      <w:sz w:val="16"/>
                      <w:szCs w:val="16"/>
                      <w:lang w:val="fr-BE"/>
                    </w:rPr>
                  </w:pPr>
                  <w:r w:rsidRPr="005C54C3">
                    <w:rPr>
                      <w:sz w:val="16"/>
                      <w:szCs w:val="16"/>
                      <w:lang w:val="fr-BE"/>
                    </w:rPr>
                    <w:t xml:space="preserve">Proper </w:t>
                  </w:r>
                  <w:r w:rsidR="0040717B">
                    <w:rPr>
                      <w:sz w:val="16"/>
                      <w:szCs w:val="16"/>
                      <w:lang w:val="fr-BE"/>
                    </w:rPr>
                    <w:t xml:space="preserve">/Specific </w:t>
                  </w:r>
                  <w:r w:rsidRPr="005C54C3">
                    <w:rPr>
                      <w:sz w:val="16"/>
                      <w:szCs w:val="16"/>
                      <w:lang w:val="fr-BE"/>
                    </w:rPr>
                    <w:t>Event</w:t>
                  </w:r>
                  <w:r w:rsidR="0040717B">
                    <w:rPr>
                      <w:sz w:val="16"/>
                      <w:szCs w:val="16"/>
                      <w:lang w:val="fr-BE"/>
                    </w:rPr>
                    <w:t xml:space="preserve"> CAEV</w:t>
                  </w:r>
                  <w:r w:rsidRPr="005C54C3">
                    <w:rPr>
                      <w:sz w:val="16"/>
                      <w:szCs w:val="16"/>
                      <w:lang w:val="fr-BE"/>
                    </w:rPr>
                    <w:t> </w:t>
                  </w:r>
                  <w:r w:rsidR="0040717B">
                    <w:rPr>
                      <w:sz w:val="16"/>
                      <w:szCs w:val="16"/>
                      <w:lang w:val="fr-BE"/>
                    </w:rPr>
                    <w:t xml:space="preserve">exist </w:t>
                  </w:r>
                  <w:r w:rsidRPr="005C54C3">
                    <w:rPr>
                      <w:sz w:val="16"/>
                      <w:szCs w:val="16"/>
                      <w:lang w:val="fr-BE"/>
                    </w:rPr>
                    <w:t>?</w:t>
                  </w:r>
                </w:p>
                <w:p w:rsidR="005C54C3" w:rsidRPr="005C54C3" w:rsidRDefault="005C54C3">
                  <w:pPr>
                    <w:rPr>
                      <w:sz w:val="16"/>
                      <w:szCs w:val="16"/>
                    </w:rPr>
                  </w:pPr>
                </w:p>
              </w:txbxContent>
            </v:textbox>
          </v:shape>
        </w:pict>
      </w:r>
    </w:p>
    <w:p w:rsidR="00C2132B" w:rsidRDefault="0040717B" w:rsidP="009C1599">
      <w:r>
        <w:rPr>
          <w:noProof/>
          <w:lang w:val="en-GB" w:eastAsia="en-GB"/>
        </w:rPr>
        <w:pict>
          <v:shapetype id="_x0000_t202" coordsize="21600,21600" o:spt="202" path="m,l,21600r21600,l21600,xe">
            <v:stroke joinstyle="miter"/>
            <v:path gradientshapeok="t" o:connecttype="rect"/>
          </v:shapetype>
          <v:shape id="_x0000_s1042" type="#_x0000_t202" style="position:absolute;margin-left:77.8pt;margin-top:-.35pt;width:32.25pt;height:19.5pt;z-index:251662848" stroked="f">
            <v:textbox>
              <w:txbxContent>
                <w:p w:rsidR="005C54C3" w:rsidRPr="005C54C3" w:rsidRDefault="005C54C3">
                  <w:pPr>
                    <w:rPr>
                      <w:lang w:val="fr-BE"/>
                    </w:rPr>
                  </w:pPr>
                  <w:r>
                    <w:rPr>
                      <w:lang w:val="fr-BE"/>
                    </w:rPr>
                    <w:t>Yes</w:t>
                  </w:r>
                </w:p>
              </w:txbxContent>
            </v:textbox>
          </v:shape>
        </w:pict>
      </w:r>
    </w:p>
    <w:p w:rsidR="008A6ACE" w:rsidRDefault="0040717B" w:rsidP="009C1599">
      <w:r w:rsidRPr="00EB51C4">
        <w:rPr>
          <w:noProof/>
          <w:u w:val="single"/>
          <w:lang w:eastAsia="en-GB"/>
        </w:rPr>
        <w:pict>
          <v:shape id="_x0000_s1043" type="#_x0000_t110" style="position:absolute;margin-left:58.05pt;margin-top:16.15pt;width:76.8pt;height:59.9pt;z-index:251663872" fillcolor="#b8cce4 [1300]">
            <v:textbox>
              <w:txbxContent>
                <w:p w:rsidR="005C54C3" w:rsidRPr="005C54C3" w:rsidRDefault="005C54C3" w:rsidP="005C54C3">
                  <w:pPr>
                    <w:rPr>
                      <w:sz w:val="16"/>
                      <w:szCs w:val="16"/>
                      <w:lang w:val="fr-BE"/>
                    </w:rPr>
                  </w:pPr>
                  <w:r>
                    <w:rPr>
                      <w:sz w:val="16"/>
                      <w:szCs w:val="16"/>
                      <w:lang w:val="fr-BE"/>
                    </w:rPr>
                    <w:t xml:space="preserve">CHAN </w:t>
                  </w:r>
                  <w:r w:rsidR="0040717B">
                    <w:rPr>
                      <w:sz w:val="16"/>
                      <w:szCs w:val="16"/>
                      <w:lang w:val="fr-BE"/>
                    </w:rPr>
                    <w:t xml:space="preserve">sub </w:t>
                  </w:r>
                  <w:r>
                    <w:rPr>
                      <w:sz w:val="16"/>
                      <w:szCs w:val="16"/>
                      <w:lang w:val="fr-BE"/>
                    </w:rPr>
                    <w:t>Code</w:t>
                  </w:r>
                  <w:r w:rsidRPr="005C54C3">
                    <w:rPr>
                      <w:sz w:val="16"/>
                      <w:szCs w:val="16"/>
                      <w:lang w:val="fr-BE"/>
                    </w:rPr>
                    <w:t> ?</w:t>
                  </w:r>
                </w:p>
                <w:p w:rsidR="005C54C3" w:rsidRPr="005C54C3" w:rsidRDefault="005C54C3" w:rsidP="005C54C3">
                  <w:pPr>
                    <w:rPr>
                      <w:sz w:val="16"/>
                      <w:szCs w:val="16"/>
                    </w:rPr>
                  </w:pPr>
                </w:p>
              </w:txbxContent>
            </v:textbox>
          </v:shape>
        </w:pict>
      </w:r>
      <w:r>
        <w:rPr>
          <w:noProof/>
          <w:lang w:val="en-GB" w:eastAsia="en-GB"/>
        </w:rPr>
        <w:pict>
          <v:roundrect id="_x0000_s1039" style="position:absolute;margin-left:116.55pt;margin-top:-.35pt;width:71.25pt;height:21pt;z-index:251660800" arcsize="10923f">
            <v:textbox>
              <w:txbxContent>
                <w:p w:rsidR="005C54C3" w:rsidRPr="005C54C3" w:rsidRDefault="005C54C3">
                  <w:pPr>
                    <w:rPr>
                      <w:lang w:val="fr-BE"/>
                    </w:rPr>
                  </w:pPr>
                  <w:r>
                    <w:rPr>
                      <w:lang w:val="fr-BE"/>
                    </w:rPr>
                    <w:t>Use CAEV</w:t>
                  </w:r>
                </w:p>
              </w:txbxContent>
            </v:textbox>
          </v:roundrect>
        </w:pict>
      </w:r>
      <w:r>
        <w:rPr>
          <w:noProof/>
          <w:lang w:val="en-GB" w:eastAsia="en-GB"/>
        </w:rPr>
        <w:pict>
          <v:shapetype id="_x0000_t32" coordsize="21600,21600" o:spt="32" o:oned="t" path="m,l21600,21600e" filled="f">
            <v:path arrowok="t" fillok="f" o:connecttype="none"/>
            <o:lock v:ext="edit" shapetype="t"/>
          </v:shapetype>
          <v:shape id="_x0000_s1041" type="#_x0000_t32" style="position:absolute;margin-left:70.05pt;margin-top:9.5pt;width:46.5pt;height:0;z-index:251661824" o:connectortype="elbow" adj="-69329,-1,-69329">
            <v:stroke endarrow="block"/>
          </v:shape>
        </w:pict>
      </w:r>
    </w:p>
    <w:p w:rsidR="008A6ACE" w:rsidRDefault="00EB51C4" w:rsidP="009C1599">
      <w:r>
        <w:rPr>
          <w:noProof/>
          <w:lang w:val="en-GB" w:eastAsia="en-GB"/>
        </w:rPr>
        <w:pict>
          <v:shape id="_x0000_s1048" type="#_x0000_t202" style="position:absolute;margin-left:139.3pt;margin-top:15.8pt;width:32.25pt;height:19.5pt;z-index:251668992" stroked="f">
            <v:textbox>
              <w:txbxContent>
                <w:p w:rsidR="005C54C3" w:rsidRPr="005C54C3" w:rsidRDefault="005C54C3" w:rsidP="005C54C3">
                  <w:pPr>
                    <w:rPr>
                      <w:lang w:val="fr-BE"/>
                    </w:rPr>
                  </w:pPr>
                  <w:r>
                    <w:rPr>
                      <w:lang w:val="fr-BE"/>
                    </w:rPr>
                    <w:t>Yes</w:t>
                  </w:r>
                </w:p>
              </w:txbxContent>
            </v:textbox>
          </v:shape>
        </w:pict>
      </w:r>
    </w:p>
    <w:p w:rsidR="005C54C3" w:rsidRDefault="0040717B" w:rsidP="002127BA">
      <w:pPr>
        <w:pStyle w:val="Decisions"/>
        <w:rPr>
          <w:u w:val="single"/>
        </w:rPr>
      </w:pPr>
      <w:r w:rsidRPr="00EB51C4">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133.8pt;margin-top:13.3pt;width:46.5pt;height:5.5pt;z-index:251667968" o:connectortype="elbow" adj=",-1582298,-98942">
            <v:stroke endarrow="block"/>
          </v:shape>
        </w:pict>
      </w:r>
      <w:r>
        <w:rPr>
          <w:noProof/>
          <w:u w:val="single"/>
          <w:lang w:eastAsia="en-GB"/>
        </w:rPr>
        <w:pict>
          <v:shape id="_x0000_s1044" type="#_x0000_t34" style="position:absolute;left:0;text-align:left;margin-left:9.3pt;margin-top:6.5pt;width:48.75pt;height:6.8pt;z-index:251664896" o:connectortype="elbow" adj="10789,-1202612,-39212">
            <v:stroke endarrow="block"/>
          </v:shape>
        </w:pict>
      </w:r>
      <w:r>
        <w:rPr>
          <w:noProof/>
          <w:u w:val="single"/>
          <w:lang w:eastAsia="en-GB"/>
        </w:rPr>
        <w:pict>
          <v:shape id="_x0000_s1045" type="#_x0000_t202" style="position:absolute;left:0;text-align:left;margin-left:-.45pt;margin-top:13.3pt;width:32.25pt;height:19.5pt;z-index:251665920" stroked="f">
            <v:textbox>
              <w:txbxContent>
                <w:p w:rsidR="005C54C3" w:rsidRPr="005C54C3" w:rsidRDefault="005C54C3" w:rsidP="005C54C3">
                  <w:pPr>
                    <w:rPr>
                      <w:lang w:val="fr-BE"/>
                    </w:rPr>
                  </w:pPr>
                  <w:r>
                    <w:rPr>
                      <w:lang w:val="fr-BE"/>
                    </w:rPr>
                    <w:t>No</w:t>
                  </w:r>
                </w:p>
              </w:txbxContent>
            </v:textbox>
          </v:shape>
        </w:pict>
      </w:r>
      <w:r w:rsidR="00EB51C4" w:rsidRPr="00EB51C4">
        <w:rPr>
          <w:noProof/>
          <w:lang w:eastAsia="en-GB"/>
        </w:rPr>
        <w:pict>
          <v:roundrect id="_x0000_s1046" style="position:absolute;left:0;text-align:left;margin-left:180.3pt;margin-top:7.5pt;width:71.25pt;height:21pt;z-index:251666944" arcsize="10923f">
            <v:textbox>
              <w:txbxContent>
                <w:p w:rsidR="005C54C3" w:rsidRPr="005C54C3" w:rsidRDefault="005C54C3" w:rsidP="005C54C3">
                  <w:pPr>
                    <w:rPr>
                      <w:lang w:val="fr-BE"/>
                    </w:rPr>
                  </w:pPr>
                  <w:r>
                    <w:rPr>
                      <w:lang w:val="fr-BE"/>
                    </w:rPr>
                    <w:t>Use CHAN</w:t>
                  </w:r>
                </w:p>
              </w:txbxContent>
            </v:textbox>
          </v:roundrect>
        </w:pict>
      </w:r>
    </w:p>
    <w:p w:rsidR="005C54C3" w:rsidRDefault="0040717B" w:rsidP="002127BA">
      <w:pPr>
        <w:pStyle w:val="Decisions"/>
        <w:rPr>
          <w:u w:val="single"/>
        </w:rPr>
      </w:pPr>
      <w:r>
        <w:rPr>
          <w:noProof/>
          <w:u w:val="single"/>
          <w:lang w:eastAsia="en-GB"/>
        </w:rPr>
        <w:pict>
          <v:shape id="_x0000_s1075" type="#_x0000_t32" style="position:absolute;left:0;text-align:left;margin-left:23.55pt;margin-top:10.15pt;width:54.25pt;height:15.65pt;flip:x;z-index:251688448" o:connectortype="straight">
            <v:stroke dashstyle="1 1"/>
          </v:shape>
        </w:pict>
      </w:r>
    </w:p>
    <w:p w:rsidR="005C54C3" w:rsidRDefault="0040717B" w:rsidP="002127BA">
      <w:pPr>
        <w:pStyle w:val="Decisions"/>
        <w:rPr>
          <w:u w:val="single"/>
        </w:rPr>
      </w:pPr>
      <w:r>
        <w:rPr>
          <w:noProof/>
          <w:lang w:eastAsia="en-GB"/>
        </w:rPr>
        <w:pict>
          <v:shape id="_x0000_s1072" type="#_x0000_t202" style="position:absolute;left:0;text-align:left;margin-left:-48.45pt;margin-top:11.3pt;width:1in;height:45.75pt;z-index:251685376">
            <v:textbox>
              <w:txbxContent>
                <w:p w:rsidR="0040717B" w:rsidRPr="0040717B" w:rsidRDefault="0040717B">
                  <w:pPr>
                    <w:rPr>
                      <w:lang w:val="fr-BE"/>
                    </w:rPr>
                  </w:pPr>
                  <w:r>
                    <w:rPr>
                      <w:lang w:val="fr-BE"/>
                    </w:rPr>
                    <w:t>CHAN sub code (22F in Seq D) ?</w:t>
                  </w:r>
                </w:p>
              </w:txbxContent>
            </v:textbox>
          </v:shape>
        </w:pict>
      </w:r>
      <w:r w:rsidR="00EB51C4" w:rsidRPr="00EB51C4">
        <w:rPr>
          <w:noProof/>
          <w:lang w:eastAsia="en-GB"/>
        </w:rPr>
        <w:pict>
          <v:shape id="_x0000_s1055" type="#_x0000_t202" style="position:absolute;left:0;text-align:left;margin-left:214.05pt;margin-top:3.8pt;width:32.25pt;height:19.5pt;z-index:251676160" stroked="f">
            <v:textbox>
              <w:txbxContent>
                <w:p w:rsidR="005C54C3" w:rsidRPr="005C54C3" w:rsidRDefault="005C54C3" w:rsidP="005C54C3">
                  <w:pPr>
                    <w:rPr>
                      <w:lang w:val="fr-BE"/>
                    </w:rPr>
                  </w:pPr>
                  <w:r>
                    <w:rPr>
                      <w:lang w:val="fr-BE"/>
                    </w:rPr>
                    <w:t>Yes</w:t>
                  </w:r>
                </w:p>
              </w:txbxContent>
            </v:textbox>
          </v:shape>
        </w:pict>
      </w:r>
      <w:r w:rsidR="00EB51C4" w:rsidRPr="00EB51C4">
        <w:rPr>
          <w:noProof/>
          <w:lang w:eastAsia="en-GB"/>
        </w:rPr>
        <w:pict>
          <v:roundrect id="_x0000_s1051" style="position:absolute;left:0;text-align:left;margin-left:261.3pt;margin-top:13.75pt;width:71.25pt;height:21pt;z-index:251672064" arcsize="10923f">
            <v:textbox>
              <w:txbxContent>
                <w:p w:rsidR="005C54C3" w:rsidRPr="005C54C3" w:rsidRDefault="005C54C3" w:rsidP="005C54C3">
                  <w:pPr>
                    <w:rPr>
                      <w:lang w:val="fr-BE"/>
                    </w:rPr>
                  </w:pPr>
                  <w:r>
                    <w:rPr>
                      <w:lang w:val="fr-BE"/>
                    </w:rPr>
                    <w:t>Use OTHR</w:t>
                  </w:r>
                </w:p>
              </w:txbxContent>
            </v:textbox>
          </v:roundrect>
        </w:pict>
      </w:r>
      <w:r w:rsidR="00EB51C4" w:rsidRPr="00EB51C4">
        <w:rPr>
          <w:noProof/>
          <w:lang w:eastAsia="en-GB"/>
        </w:rPr>
        <w:pict>
          <v:shape id="_x0000_s1049" type="#_x0000_t110" style="position:absolute;left:0;text-align:left;margin-left:128.85pt;margin-top:3.8pt;width:85.2pt;height:42.75pt;z-index:251670016" fillcolor="#b8cce4 [1300]">
            <v:textbox>
              <w:txbxContent>
                <w:p w:rsidR="005C54C3" w:rsidRPr="005C54C3" w:rsidRDefault="005C54C3" w:rsidP="005C54C3">
                  <w:pPr>
                    <w:rPr>
                      <w:sz w:val="16"/>
                      <w:szCs w:val="16"/>
                      <w:lang w:val="fr-BE"/>
                    </w:rPr>
                  </w:pPr>
                  <w:r>
                    <w:rPr>
                      <w:sz w:val="16"/>
                      <w:szCs w:val="16"/>
                      <w:lang w:val="fr-BE"/>
                    </w:rPr>
                    <w:t>Financ ial Impact</w:t>
                  </w:r>
                  <w:r w:rsidRPr="005C54C3">
                    <w:rPr>
                      <w:sz w:val="16"/>
                      <w:szCs w:val="16"/>
                      <w:lang w:val="fr-BE"/>
                    </w:rPr>
                    <w:t> ?</w:t>
                  </w:r>
                </w:p>
                <w:p w:rsidR="005C54C3" w:rsidRPr="005C54C3" w:rsidRDefault="005C54C3" w:rsidP="005C54C3">
                  <w:pPr>
                    <w:rPr>
                      <w:sz w:val="16"/>
                      <w:szCs w:val="16"/>
                    </w:rPr>
                  </w:pPr>
                </w:p>
              </w:txbxContent>
            </v:textbox>
          </v:shape>
        </w:pict>
      </w:r>
      <w:r w:rsidR="00EB51C4" w:rsidRPr="00EB51C4">
        <w:rPr>
          <w:noProof/>
          <w:lang w:eastAsia="en-GB"/>
        </w:rPr>
        <w:pict>
          <v:shape id="_x0000_s1050" type="#_x0000_t34" style="position:absolute;left:0;text-align:left;margin-left:99.3pt;margin-top:12.25pt;width:29.55pt;height:12.75pt;z-index:251671040" o:connectortype="elbow" adj="10782,-612424,-81685">
            <v:stroke endarrow="block"/>
          </v:shape>
        </w:pict>
      </w:r>
    </w:p>
    <w:p w:rsidR="005C54C3" w:rsidRDefault="00EB51C4" w:rsidP="002127BA">
      <w:pPr>
        <w:pStyle w:val="Decisions"/>
        <w:rPr>
          <w:u w:val="single"/>
        </w:rPr>
      </w:pPr>
      <w:r>
        <w:rPr>
          <w:noProof/>
          <w:u w:val="single"/>
          <w:lang w:eastAsia="en-GB"/>
        </w:rPr>
        <w:pict>
          <v:shape id="_x0000_s1053" type="#_x0000_t202" style="position:absolute;left:0;text-align:left;margin-left:77.8pt;margin-top:.75pt;width:32.25pt;height:19.5pt;z-index:251674112" stroked="f">
            <v:textbox>
              <w:txbxContent>
                <w:p w:rsidR="005C54C3" w:rsidRPr="005C54C3" w:rsidRDefault="005C54C3" w:rsidP="005C54C3">
                  <w:pPr>
                    <w:rPr>
                      <w:lang w:val="fr-BE"/>
                    </w:rPr>
                  </w:pPr>
                  <w:r>
                    <w:rPr>
                      <w:lang w:val="fr-BE"/>
                    </w:rPr>
                    <w:t>No</w:t>
                  </w:r>
                </w:p>
              </w:txbxContent>
            </v:textbox>
          </v:shape>
        </w:pict>
      </w:r>
      <w:r w:rsidRPr="00EB51C4">
        <w:rPr>
          <w:noProof/>
          <w:lang w:eastAsia="en-GB"/>
        </w:rPr>
        <w:pict>
          <v:shape id="_x0000_s1052" type="#_x0000_t32" style="position:absolute;left:0;text-align:left;margin-left:214.8pt;margin-top:10.5pt;width:46.5pt;height:0;z-index:251673088" o:connectortype="elbow" adj="-69329,-1,-69329">
            <v:stroke endarrow="block"/>
          </v:shape>
        </w:pict>
      </w:r>
    </w:p>
    <w:p w:rsidR="005C54C3" w:rsidRDefault="0040717B" w:rsidP="002127BA">
      <w:pPr>
        <w:pStyle w:val="Decisions"/>
        <w:rPr>
          <w:u w:val="single"/>
        </w:rPr>
      </w:pPr>
      <w:r>
        <w:rPr>
          <w:noProof/>
          <w:u w:val="single"/>
          <w:lang w:eastAsia="en-GB"/>
        </w:rPr>
        <w:pict>
          <v:shape id="_x0000_s1076" type="#_x0000_t32" style="position:absolute;left:0;text-align:left;margin-left:85.8pt;margin-top:5.75pt;width:67.75pt;height:22.3pt;flip:x;z-index:251689472" o:connectortype="straight">
            <v:stroke dashstyle="1 1"/>
          </v:shape>
        </w:pict>
      </w:r>
      <w:r w:rsidR="00EB51C4" w:rsidRPr="00EB51C4">
        <w:rPr>
          <w:noProof/>
          <w:lang w:eastAsia="en-GB"/>
        </w:rPr>
        <w:pict>
          <v:roundrect id="_x0000_s1058" style="position:absolute;left:0;text-align:left;margin-left:333.3pt;margin-top:18.5pt;width:71.25pt;height:21pt;z-index:251679232" arcsize="10923f">
            <v:textbox>
              <w:txbxContent>
                <w:p w:rsidR="00C2132B" w:rsidRPr="005C54C3" w:rsidRDefault="00C2132B" w:rsidP="00C2132B">
                  <w:pPr>
                    <w:rPr>
                      <w:lang w:val="fr-BE"/>
                    </w:rPr>
                  </w:pPr>
                  <w:r>
                    <w:rPr>
                      <w:lang w:val="fr-BE"/>
                    </w:rPr>
                    <w:t>Use OTHR</w:t>
                  </w:r>
                </w:p>
              </w:txbxContent>
            </v:textbox>
          </v:roundrect>
        </w:pict>
      </w:r>
      <w:r w:rsidR="00EB51C4" w:rsidRPr="00EB51C4">
        <w:rPr>
          <w:noProof/>
          <w:lang w:eastAsia="en-GB"/>
        </w:rPr>
        <w:pict>
          <v:shape id="_x0000_s1057" type="#_x0000_t34" style="position:absolute;left:0;text-align:left;margin-left:171.3pt;margin-top:17pt;width:29.55pt;height:12.75pt;z-index:251678208" o:connectortype="elbow" adj="10782,-612424,-81685">
            <v:stroke endarrow="block"/>
          </v:shape>
        </w:pict>
      </w:r>
      <w:r w:rsidR="00EB51C4" w:rsidRPr="00EB51C4">
        <w:rPr>
          <w:noProof/>
          <w:lang w:eastAsia="en-GB"/>
        </w:rPr>
        <w:pict>
          <v:shape id="_x0000_s1056" type="#_x0000_t110" style="position:absolute;left:0;text-align:left;margin-left:200.85pt;margin-top:8.55pt;width:85.2pt;height:42.75pt;z-index:251677184" fillcolor="#b8cce4 [1300]">
            <v:textbox>
              <w:txbxContent>
                <w:p w:rsidR="00C2132B" w:rsidRPr="005C54C3" w:rsidRDefault="00C2132B" w:rsidP="00C2132B">
                  <w:pPr>
                    <w:rPr>
                      <w:sz w:val="16"/>
                      <w:szCs w:val="16"/>
                      <w:lang w:val="fr-BE"/>
                    </w:rPr>
                  </w:pPr>
                  <w:r>
                    <w:rPr>
                      <w:sz w:val="16"/>
                      <w:szCs w:val="16"/>
                      <w:lang w:val="fr-BE"/>
                    </w:rPr>
                    <w:t>Option &amp; Mvmt</w:t>
                  </w:r>
                  <w:r w:rsidRPr="005C54C3">
                    <w:rPr>
                      <w:sz w:val="16"/>
                      <w:szCs w:val="16"/>
                      <w:lang w:val="fr-BE"/>
                    </w:rPr>
                    <w:t> ?</w:t>
                  </w:r>
                </w:p>
                <w:p w:rsidR="00C2132B" w:rsidRPr="005C54C3" w:rsidRDefault="00C2132B" w:rsidP="00C2132B">
                  <w:pPr>
                    <w:rPr>
                      <w:sz w:val="16"/>
                      <w:szCs w:val="16"/>
                    </w:rPr>
                  </w:pPr>
                </w:p>
              </w:txbxContent>
            </v:textbox>
          </v:shape>
        </w:pict>
      </w:r>
      <w:r w:rsidR="00EB51C4" w:rsidRPr="00EB51C4">
        <w:rPr>
          <w:noProof/>
          <w:lang w:eastAsia="en-GB"/>
        </w:rPr>
        <w:pict>
          <v:shape id="_x0000_s1060" type="#_x0000_t202" style="position:absolute;left:0;text-align:left;margin-left:286.05pt;margin-top:8.55pt;width:32.25pt;height:19.5pt;z-index:251681280" stroked="f">
            <v:textbox>
              <w:txbxContent>
                <w:p w:rsidR="00C2132B" w:rsidRPr="005C54C3" w:rsidRDefault="00C2132B" w:rsidP="00C2132B">
                  <w:pPr>
                    <w:rPr>
                      <w:lang w:val="fr-BE"/>
                    </w:rPr>
                  </w:pPr>
                  <w:r>
                    <w:rPr>
                      <w:lang w:val="fr-BE"/>
                    </w:rPr>
                    <w:t>Yes</w:t>
                  </w:r>
                </w:p>
              </w:txbxContent>
            </v:textbox>
          </v:shape>
        </w:pict>
      </w:r>
      <w:r w:rsidR="00EB51C4" w:rsidRPr="00EB51C4">
        <w:rPr>
          <w:noProof/>
          <w:lang w:eastAsia="en-GB"/>
        </w:rPr>
        <w:pict>
          <v:shape id="_x0000_s1059" type="#_x0000_t32" style="position:absolute;left:0;text-align:left;margin-left:286.8pt;margin-top:29.75pt;width:46.5pt;height:0;z-index:251680256" o:connectortype="elbow" adj="-69329,-1,-69329">
            <v:stroke endarrow="block"/>
          </v:shape>
        </w:pict>
      </w:r>
    </w:p>
    <w:p w:rsidR="005C54C3" w:rsidRDefault="0040717B" w:rsidP="002127BA">
      <w:pPr>
        <w:pStyle w:val="Decisions"/>
        <w:rPr>
          <w:u w:val="single"/>
        </w:rPr>
      </w:pPr>
      <w:r>
        <w:rPr>
          <w:noProof/>
          <w:u w:val="single"/>
          <w:lang w:eastAsia="en-GB"/>
        </w:rPr>
        <w:pict>
          <v:shape id="_x0000_s1073" type="#_x0000_t202" style="position:absolute;left:0;text-align:left;margin-left:36.8pt;margin-top:13.55pt;width:102.5pt;height:55.6pt;z-index:251686400">
            <v:textbox>
              <w:txbxContent>
                <w:p w:rsidR="0040717B" w:rsidRPr="0040717B" w:rsidRDefault="0040717B" w:rsidP="0040717B">
                  <w:pPr>
                    <w:rPr>
                      <w:lang w:val="fr-BE"/>
                    </w:rPr>
                  </w:pPr>
                  <w:r>
                    <w:rPr>
                      <w:lang w:val="fr-BE"/>
                    </w:rPr>
                    <w:t>Does the event has financial impact on the holder of the security ?</w:t>
                  </w:r>
                </w:p>
              </w:txbxContent>
            </v:textbox>
          </v:shape>
        </w:pict>
      </w:r>
      <w:r w:rsidR="00EB51C4">
        <w:rPr>
          <w:noProof/>
          <w:u w:val="single"/>
          <w:lang w:eastAsia="en-GB"/>
        </w:rPr>
        <w:pict>
          <v:shape id="_x0000_s1054" type="#_x0000_t202" style="position:absolute;left:0;text-align:left;margin-left:133.8pt;margin-top:3.25pt;width:32.25pt;height:19.5pt;z-index:251675136" stroked="f">
            <v:textbox>
              <w:txbxContent>
                <w:p w:rsidR="005C54C3" w:rsidRPr="005C54C3" w:rsidRDefault="005C54C3" w:rsidP="005C54C3">
                  <w:pPr>
                    <w:rPr>
                      <w:lang w:val="fr-BE"/>
                    </w:rPr>
                  </w:pPr>
                  <w:r>
                    <w:rPr>
                      <w:lang w:val="fr-BE"/>
                    </w:rPr>
                    <w:t>No</w:t>
                  </w:r>
                </w:p>
              </w:txbxContent>
            </v:textbox>
          </v:shape>
        </w:pict>
      </w:r>
    </w:p>
    <w:p w:rsidR="005C54C3" w:rsidRDefault="0040717B" w:rsidP="002127BA">
      <w:pPr>
        <w:pStyle w:val="Decisions"/>
        <w:rPr>
          <w:u w:val="single"/>
        </w:rPr>
      </w:pPr>
      <w:r>
        <w:rPr>
          <w:noProof/>
          <w:u w:val="single"/>
          <w:lang w:eastAsia="en-GB"/>
        </w:rPr>
        <w:pict>
          <v:shape id="_x0000_s1077" type="#_x0000_t32" style="position:absolute;left:0;text-align:left;margin-left:200.85pt;margin-top:12.2pt;width:20.45pt;height:29.8pt;flip:x;z-index:251690496" o:connectortype="straight">
            <v:stroke dashstyle="1 1"/>
          </v:shape>
        </w:pict>
      </w:r>
    </w:p>
    <w:p w:rsidR="005C54C3" w:rsidRDefault="00EB51C4" w:rsidP="002127BA">
      <w:pPr>
        <w:pStyle w:val="Decisions"/>
        <w:rPr>
          <w:u w:val="single"/>
        </w:rPr>
      </w:pPr>
      <w:r>
        <w:rPr>
          <w:noProof/>
          <w:u w:val="single"/>
          <w:lang w:eastAsia="en-GB"/>
        </w:rPr>
        <w:pict>
          <v:roundrect id="_x0000_s1063" style="position:absolute;left:0;text-align:left;margin-left:272.85pt;margin-top:8pt;width:71.25pt;height:21pt;z-index:251684352" arcsize="10923f" fillcolor="#92d050">
            <v:textbox>
              <w:txbxContent>
                <w:p w:rsidR="00C2132B" w:rsidRPr="005C54C3" w:rsidRDefault="00C2132B" w:rsidP="00C2132B">
                  <w:pPr>
                    <w:rPr>
                      <w:lang w:val="fr-BE"/>
                    </w:rPr>
                  </w:pPr>
                  <w:r>
                    <w:rPr>
                      <w:lang w:val="fr-BE"/>
                    </w:rPr>
                    <w:t>Use INFO</w:t>
                  </w:r>
                </w:p>
              </w:txbxContent>
            </v:textbox>
          </v:roundrect>
        </w:pict>
      </w:r>
      <w:r w:rsidRPr="00EB51C4">
        <w:rPr>
          <w:noProof/>
          <w:lang w:eastAsia="en-GB"/>
        </w:rPr>
        <w:pict>
          <v:shape id="_x0000_s1061" type="#_x0000_t202" style="position:absolute;left:0;text-align:left;margin-left:205.8pt;margin-top:8pt;width:32.25pt;height:19.5pt;z-index:251682304" stroked="f">
            <v:textbox>
              <w:txbxContent>
                <w:p w:rsidR="00C2132B" w:rsidRPr="005C54C3" w:rsidRDefault="00C2132B" w:rsidP="00C2132B">
                  <w:pPr>
                    <w:rPr>
                      <w:lang w:val="fr-BE"/>
                    </w:rPr>
                  </w:pPr>
                  <w:r>
                    <w:rPr>
                      <w:lang w:val="fr-BE"/>
                    </w:rPr>
                    <w:t>No</w:t>
                  </w:r>
                </w:p>
              </w:txbxContent>
            </v:textbox>
          </v:shape>
        </w:pict>
      </w:r>
      <w:r w:rsidRPr="00EB51C4">
        <w:rPr>
          <w:noProof/>
          <w:lang w:eastAsia="en-GB"/>
        </w:rPr>
        <w:pict>
          <v:shape id="_x0000_s1062" type="#_x0000_t34" style="position:absolute;left:0;text-align:left;margin-left:243.3pt;margin-top:7.25pt;width:29.55pt;height:12.75pt;z-index:251683328" o:connectortype="elbow" adj="10782,-612424,-81685">
            <v:stroke endarrow="block"/>
          </v:shape>
        </w:pict>
      </w:r>
    </w:p>
    <w:p w:rsidR="005C54C3" w:rsidRDefault="005C54C3" w:rsidP="002127BA">
      <w:pPr>
        <w:pStyle w:val="Decisions"/>
        <w:rPr>
          <w:u w:val="single"/>
        </w:rPr>
      </w:pPr>
    </w:p>
    <w:p w:rsidR="00C2132B" w:rsidRDefault="0040717B" w:rsidP="002127BA">
      <w:pPr>
        <w:pStyle w:val="Decisions"/>
        <w:rPr>
          <w:u w:val="single"/>
        </w:rPr>
      </w:pPr>
      <w:r>
        <w:rPr>
          <w:noProof/>
          <w:u w:val="single"/>
          <w:lang w:eastAsia="en-GB"/>
        </w:rPr>
        <w:pict>
          <v:shape id="_x0000_s1074" type="#_x0000_t202" style="position:absolute;left:0;text-align:left;margin-left:153.55pt;margin-top:0;width:102.5pt;height:54.85pt;z-index:251687424">
            <v:textbox>
              <w:txbxContent>
                <w:p w:rsidR="0040717B" w:rsidRPr="0040717B" w:rsidRDefault="0040717B" w:rsidP="0040717B">
                  <w:pPr>
                    <w:rPr>
                      <w:lang w:val="fr-BE"/>
                    </w:rPr>
                  </w:pPr>
                  <w:r>
                    <w:rPr>
                      <w:lang w:val="fr-BE"/>
                    </w:rPr>
                    <w:t>Are there options and/or cash/securities movements ?</w:t>
                  </w:r>
                </w:p>
              </w:txbxContent>
            </v:textbox>
          </v:shape>
        </w:pict>
      </w:r>
    </w:p>
    <w:p w:rsidR="0040717B" w:rsidRDefault="0040717B" w:rsidP="002127BA">
      <w:pPr>
        <w:pStyle w:val="Decisions"/>
        <w:rPr>
          <w:u w:val="single"/>
        </w:rPr>
      </w:pPr>
    </w:p>
    <w:p w:rsidR="0040717B" w:rsidRDefault="0040717B" w:rsidP="002127BA">
      <w:pPr>
        <w:pStyle w:val="Decisions"/>
        <w:rPr>
          <w:u w:val="single"/>
        </w:rPr>
      </w:pPr>
    </w:p>
    <w:p w:rsidR="0040717B" w:rsidRDefault="0040717B" w:rsidP="002127BA">
      <w:pPr>
        <w:pStyle w:val="Decisions"/>
        <w:rPr>
          <w:u w:val="single"/>
        </w:rPr>
      </w:pPr>
    </w:p>
    <w:p w:rsidR="003F0EE4" w:rsidRPr="002127BA" w:rsidRDefault="009C1599" w:rsidP="002127BA">
      <w:pPr>
        <w:pStyle w:val="Decisions"/>
        <w:rPr>
          <w:u w:val="single"/>
        </w:rPr>
      </w:pPr>
      <w:r w:rsidRPr="002127BA">
        <w:rPr>
          <w:u w:val="single"/>
        </w:rPr>
        <w:t xml:space="preserve">The group agrees on the following proposal: </w:t>
      </w:r>
    </w:p>
    <w:p w:rsidR="003F0EE4" w:rsidRDefault="009C1599" w:rsidP="002127BA">
      <w:pPr>
        <w:pStyle w:val="Decisions"/>
      </w:pPr>
      <w:r>
        <w:t>C</w:t>
      </w:r>
      <w:r w:rsidR="004B2F86">
        <w:t>reate a CR for S</w:t>
      </w:r>
      <w:r w:rsidR="003F0EE4">
        <w:t>R2013 to create a new CAEV code INFO</w:t>
      </w:r>
      <w:r w:rsidR="004B2F86">
        <w:t xml:space="preserve"> with </w:t>
      </w:r>
      <w:r>
        <w:t xml:space="preserve">a </w:t>
      </w:r>
      <w:smartTag w:uri="urn:schemas-microsoft-com:office:smarttags" w:element="stockticker">
        <w:r w:rsidR="004B2F86">
          <w:t>NVR</w:t>
        </w:r>
      </w:smartTag>
      <w:r w:rsidR="004B2F86">
        <w:t xml:space="preserve"> prohib</w:t>
      </w:r>
      <w:r>
        <w:t>iting use of sequences C and E in MT564</w:t>
      </w:r>
      <w:r w:rsidR="003F0EE4">
        <w:t xml:space="preserve"> as this events could not have any movements</w:t>
      </w:r>
      <w:r w:rsidR="004B2F86">
        <w:t xml:space="preserve">. </w:t>
      </w:r>
      <w:r>
        <w:t>The new event code would only be a</w:t>
      </w:r>
      <w:r w:rsidR="004B2F86">
        <w:t xml:space="preserve">llowed </w:t>
      </w:r>
      <w:r>
        <w:t xml:space="preserve">for MT564 and MT568 (if possible). </w:t>
      </w:r>
      <w:r w:rsidR="004B2F86">
        <w:t xml:space="preserve"> </w:t>
      </w:r>
    </w:p>
    <w:p w:rsidR="003F0EE4" w:rsidRDefault="003F0EE4" w:rsidP="002127BA">
      <w:pPr>
        <w:pStyle w:val="StyleDecisionsItalic"/>
      </w:pPr>
      <w:r>
        <w:t xml:space="preserve">Proposed definition for the INFO event: </w:t>
      </w:r>
      <w:r w:rsidR="00A2179F">
        <w:t>“</w:t>
      </w:r>
      <w:r w:rsidRPr="00A2179F">
        <w:t>Company information provided by the issuer, not related to a corporate action event.</w:t>
      </w:r>
      <w:r w:rsidR="00A2179F">
        <w:t>”</w:t>
      </w:r>
    </w:p>
    <w:p w:rsidR="003F0EE4" w:rsidRDefault="003F0EE4" w:rsidP="002127BA">
      <w:pPr>
        <w:pStyle w:val="Decisions"/>
      </w:pPr>
      <w:r>
        <w:t xml:space="preserve">The CR should propose to eventually enlarge the definition of the MEET date so as to cater for </w:t>
      </w:r>
      <w:r w:rsidR="004B2F86">
        <w:t xml:space="preserve">date/time for </w:t>
      </w:r>
      <w:r>
        <w:t xml:space="preserve">conference </w:t>
      </w:r>
      <w:r w:rsidR="004B2F86">
        <w:t>calls</w:t>
      </w:r>
      <w:r>
        <w:t xml:space="preserve"> </w:t>
      </w:r>
      <w:r w:rsidR="004B2F86">
        <w:t xml:space="preserve">? </w:t>
      </w:r>
    </w:p>
    <w:p w:rsidR="003F0EE4" w:rsidRDefault="003F0EE4" w:rsidP="002127BA">
      <w:pPr>
        <w:pStyle w:val="Decisions"/>
      </w:pPr>
      <w:r>
        <w:t xml:space="preserve">The CR could eventually propose to </w:t>
      </w:r>
      <w:r w:rsidR="004B2F86">
        <w:t xml:space="preserve">delete </w:t>
      </w:r>
      <w:r>
        <w:t xml:space="preserve">the </w:t>
      </w:r>
      <w:r w:rsidR="004B2F86">
        <w:t>PROC//INFO</w:t>
      </w:r>
      <w:r w:rsidR="009C1599">
        <w:t xml:space="preserve"> </w:t>
      </w:r>
      <w:r>
        <w:t xml:space="preserve">indicator as it does not seem to be well placed as users have to choose between PROC//INFO and the other processing statuses </w:t>
      </w:r>
      <w:r w:rsidR="004E646D">
        <w:t>(although usage statistics of 2010 show about 300.000 o</w:t>
      </w:r>
      <w:r w:rsidR="002127BA">
        <w:t>ccurrences on a 6 months period!).</w:t>
      </w:r>
      <w:r w:rsidRPr="003F0EE4">
        <w:t xml:space="preserve"> </w:t>
      </w:r>
    </w:p>
    <w:p w:rsidR="004B2F86" w:rsidRPr="006F3B70" w:rsidRDefault="006F3B70" w:rsidP="006F3B70">
      <w:pPr>
        <w:pStyle w:val="Actions"/>
        <w:rPr>
          <w:u w:val="single"/>
        </w:rPr>
      </w:pPr>
      <w:r w:rsidRPr="006F3B70">
        <w:rPr>
          <w:u w:val="single"/>
        </w:rPr>
        <w:t>Action</w:t>
      </w:r>
      <w:r w:rsidR="00DA059A">
        <w:rPr>
          <w:u w:val="single"/>
        </w:rPr>
        <w:t>s:</w:t>
      </w:r>
    </w:p>
    <w:p w:rsidR="004B2F86" w:rsidRDefault="004B2F86" w:rsidP="002127BA">
      <w:pPr>
        <w:pStyle w:val="Actions"/>
        <w:numPr>
          <w:ilvl w:val="0"/>
          <w:numId w:val="23"/>
        </w:numPr>
      </w:pPr>
      <w:r w:rsidRPr="006F3B70">
        <w:rPr>
          <w:u w:val="single"/>
        </w:rPr>
        <w:lastRenderedPageBreak/>
        <w:t>Bernard</w:t>
      </w:r>
      <w:r>
        <w:t xml:space="preserve"> to </w:t>
      </w:r>
      <w:r w:rsidR="008A6ACE">
        <w:t>review the dtaft</w:t>
      </w:r>
      <w:r>
        <w:t xml:space="preserve"> decision tree for when to use OTHR vs. INFO</w:t>
      </w:r>
      <w:r w:rsidR="00DA059A">
        <w:t xml:space="preserve">. </w:t>
      </w:r>
    </w:p>
    <w:p w:rsidR="006F3B70" w:rsidRDefault="006F3B70" w:rsidP="002127BA">
      <w:pPr>
        <w:pStyle w:val="Actions"/>
        <w:numPr>
          <w:ilvl w:val="0"/>
          <w:numId w:val="23"/>
        </w:numPr>
      </w:pPr>
      <w:r w:rsidRPr="006F3B70">
        <w:rPr>
          <w:u w:val="single"/>
        </w:rPr>
        <w:t>Jacques</w:t>
      </w:r>
      <w:r>
        <w:t xml:space="preserve"> to create the </w:t>
      </w:r>
      <w:r w:rsidR="00DA059A">
        <w:t>SR2013 CR accordingly with the above decision</w:t>
      </w:r>
    </w:p>
    <w:p w:rsidR="004B2F86" w:rsidRDefault="004B2F86" w:rsidP="00F4793F">
      <w:pPr>
        <w:pStyle w:val="Heading1"/>
      </w:pPr>
      <w:bookmarkStart w:id="12" w:name="_Toc324436894"/>
      <w:r>
        <w:t>CA 223</w:t>
      </w:r>
      <w:r w:rsidR="00F4793F">
        <w:t xml:space="preserve"> - MT 56X - New Event Type for Partial Redemption in Pro-Rata</w:t>
      </w:r>
      <w:bookmarkEnd w:id="12"/>
    </w:p>
    <w:p w:rsidR="00C958E1" w:rsidRDefault="00C958E1" w:rsidP="00285165">
      <w:r w:rsidRPr="00C958E1">
        <w:rPr>
          <w:u w:val="single"/>
        </w:rPr>
        <w:t>Input</w:t>
      </w:r>
      <w:r>
        <w:t>: The rejected SR2012 CR000210 on partial Redemption in pro-rata.</w:t>
      </w:r>
    </w:p>
    <w:p w:rsidR="00285165" w:rsidRDefault="00C958E1" w:rsidP="00C958E1">
      <w:pPr>
        <w:pStyle w:val="SMPGBullet1"/>
      </w:pPr>
      <w:r>
        <w:object w:dxaOrig="1534" w:dyaOrig="993">
          <v:shape id="_x0000_i1027" type="#_x0000_t75" style="width:76.5pt;height:49.5pt" o:ole="">
            <v:imagedata r:id="rId15" o:title=""/>
          </v:shape>
          <o:OLEObject Type="Embed" ProgID="Word.Document.12" ShapeID="_x0000_i1027" DrawAspect="Icon" ObjectID="_1398179307" r:id="rId16">
            <o:FieldCodes>\s</o:FieldCodes>
          </o:OLEObject>
        </w:object>
      </w:r>
    </w:p>
    <w:p w:rsidR="00285165" w:rsidRDefault="00C958E1" w:rsidP="00C958E1">
      <w:r>
        <w:t xml:space="preserve">Bernard walks the group through the change request and the 4 different </w:t>
      </w:r>
      <w:r w:rsidR="0001783E">
        <w:t xml:space="preserve">proposed redemption </w:t>
      </w:r>
      <w:r w:rsidR="002127BA">
        <w:t>scenarios (PCAL, DRAW, PRED, P</w:t>
      </w:r>
      <w:r>
        <w:t xml:space="preserve">ro-rata) are reviewed. </w:t>
      </w:r>
    </w:p>
    <w:p w:rsidR="0001783E" w:rsidRPr="00285165" w:rsidRDefault="0001783E" w:rsidP="00C958E1">
      <w:r>
        <w:t xml:space="preserve">The </w:t>
      </w:r>
      <w:r w:rsidR="002127BA">
        <w:t xml:space="preserve">proposed </w:t>
      </w:r>
      <w:r>
        <w:t xml:space="preserve">“pro-rata” scenario is very similar to a DRAW except that in that case, all holders are affected. Also, an MT564 for a pro-rata scenario would finally not be different from MT564 for a PCAL as one cannot show the difference in the denomination anyway. Actually, the PCAL definition </w:t>
      </w:r>
      <w:r w:rsidR="0023157A">
        <w:t>accommodates</w:t>
      </w:r>
      <w:r>
        <w:t xml:space="preserve"> already the pro-rata </w:t>
      </w:r>
      <w:r w:rsidR="00DA059A">
        <w:t>scenario</w:t>
      </w:r>
      <w:r>
        <w:t xml:space="preserve"> except that there is no reduction of nominal value.</w:t>
      </w:r>
    </w:p>
    <w:p w:rsidR="0001783E" w:rsidRPr="002127BA" w:rsidRDefault="0001783E" w:rsidP="002127BA">
      <w:pPr>
        <w:pStyle w:val="Decisions"/>
        <w:jc w:val="left"/>
      </w:pPr>
      <w:r w:rsidRPr="002127BA">
        <w:rPr>
          <w:u w:val="single"/>
        </w:rPr>
        <w:t>Decision</w:t>
      </w:r>
      <w:r w:rsidRPr="002127BA">
        <w:t xml:space="preserve">: </w:t>
      </w:r>
      <w:r w:rsidR="00DA059A" w:rsidRPr="002127BA">
        <w:t xml:space="preserve"> The WG recommends</w:t>
      </w:r>
      <w:r w:rsidR="004B2F86" w:rsidRPr="002127BA">
        <w:t xml:space="preserve"> to not add a new CAEV code, but </w:t>
      </w:r>
      <w:r w:rsidRPr="002127BA">
        <w:t xml:space="preserve">to </w:t>
      </w:r>
      <w:r w:rsidR="004B2F86" w:rsidRPr="002127BA">
        <w:t xml:space="preserve">change </w:t>
      </w:r>
      <w:r w:rsidRPr="002127BA">
        <w:t xml:space="preserve">the </w:t>
      </w:r>
      <w:r w:rsidR="004B2F86" w:rsidRPr="002127BA">
        <w:t>definition of PCAL slightly to make it more generic</w:t>
      </w:r>
      <w:r w:rsidRPr="002127BA">
        <w:t xml:space="preserve"> and </w:t>
      </w:r>
      <w:r w:rsidR="0023157A" w:rsidRPr="002127BA">
        <w:t>encompass</w:t>
      </w:r>
      <w:r w:rsidRPr="002127BA">
        <w:t xml:space="preserve"> the pro-rata scenario</w:t>
      </w:r>
      <w:r w:rsidR="004B2F86" w:rsidRPr="002127BA">
        <w:t xml:space="preserve">. </w:t>
      </w:r>
      <w:r w:rsidR="00DA059A" w:rsidRPr="002127BA">
        <w:t xml:space="preserve">It is therefore proposed in the definition to replace the term “value” by “amount”. </w:t>
      </w:r>
    </w:p>
    <w:p w:rsidR="00DA059A" w:rsidRDefault="00DA059A" w:rsidP="00DA059A">
      <w:pPr>
        <w:pStyle w:val="Actions"/>
      </w:pPr>
      <w:r w:rsidRPr="00DA059A">
        <w:rPr>
          <w:u w:val="single"/>
        </w:rPr>
        <w:t>Action</w:t>
      </w:r>
      <w:r>
        <w:rPr>
          <w:u w:val="single"/>
        </w:rPr>
        <w:t>s</w:t>
      </w:r>
      <w:r>
        <w:t>:</w:t>
      </w:r>
    </w:p>
    <w:p w:rsidR="00DA059A" w:rsidRDefault="00DA059A" w:rsidP="002127BA">
      <w:pPr>
        <w:pStyle w:val="Actions"/>
        <w:numPr>
          <w:ilvl w:val="0"/>
          <w:numId w:val="25"/>
        </w:numPr>
      </w:pPr>
      <w:r w:rsidRPr="00DA059A">
        <w:rPr>
          <w:u w:val="single"/>
        </w:rPr>
        <w:t>Jacques</w:t>
      </w:r>
      <w:r>
        <w:t xml:space="preserve"> to create the SR2013 CR accordingly with the above decision. </w:t>
      </w:r>
    </w:p>
    <w:p w:rsidR="004B2F86" w:rsidRDefault="00DA059A" w:rsidP="002127BA">
      <w:pPr>
        <w:pStyle w:val="Actions"/>
        <w:numPr>
          <w:ilvl w:val="0"/>
          <w:numId w:val="25"/>
        </w:numPr>
      </w:pPr>
      <w:r>
        <w:rPr>
          <w:u w:val="single"/>
        </w:rPr>
        <w:t>Delphine and Bernard</w:t>
      </w:r>
      <w:r w:rsidRPr="00DA059A">
        <w:t xml:space="preserve">  to </w:t>
      </w:r>
      <w:r>
        <w:rPr>
          <w:u w:val="single"/>
        </w:rPr>
        <w:t>i</w:t>
      </w:r>
      <w:r w:rsidR="004B2F86">
        <w:t>nvestigate how current and new denominations are to be provided and possibly also the</w:t>
      </w:r>
      <w:r>
        <w:t xml:space="preserve"> number of denominations.</w:t>
      </w:r>
    </w:p>
    <w:p w:rsidR="004B2F86" w:rsidRDefault="004B2F86" w:rsidP="000C15E7">
      <w:pPr>
        <w:pStyle w:val="Heading1"/>
      </w:pPr>
      <w:bookmarkStart w:id="13" w:name="_Toc324436895"/>
      <w:r>
        <w:t>CA 226</w:t>
      </w:r>
      <w:r w:rsidR="000C15E7">
        <w:t xml:space="preserve"> - Disclosure (DSCL) event - Clarify usage / market practice</w:t>
      </w:r>
      <w:bookmarkEnd w:id="13"/>
    </w:p>
    <w:p w:rsidR="00DA059A" w:rsidRDefault="00DA059A" w:rsidP="00DA059A">
      <w:r w:rsidRPr="00C958E1">
        <w:rPr>
          <w:u w:val="single"/>
        </w:rPr>
        <w:t>Input</w:t>
      </w:r>
      <w:r w:rsidR="00467DC3">
        <w:t>: Disclosure scenario’s</w:t>
      </w:r>
      <w:r>
        <w:t xml:space="preserve"> matrix</w:t>
      </w:r>
      <w:r w:rsidR="00EF0E1E">
        <w:t xml:space="preserve"> table provided by Bernard</w:t>
      </w:r>
      <w:r>
        <w:t>.</w:t>
      </w:r>
    </w:p>
    <w:p w:rsidR="00DA059A" w:rsidRDefault="00467DC3" w:rsidP="00DA059A">
      <w:r>
        <w:object w:dxaOrig="1534" w:dyaOrig="993">
          <v:shape id="_x0000_i1028" type="#_x0000_t75" style="width:76.5pt;height:49.5pt" o:ole="">
            <v:imagedata r:id="rId17" o:title=""/>
          </v:shape>
          <o:OLEObject Type="Embed" ProgID="Excel.Sheet.12" ShapeID="_x0000_i1028" DrawAspect="Icon" ObjectID="_1398179308" r:id="rId18"/>
        </w:object>
      </w:r>
    </w:p>
    <w:p w:rsidR="004B2F86" w:rsidRDefault="004B2F86" w:rsidP="00EF0E1E">
      <w:r>
        <w:t xml:space="preserve">Bernard </w:t>
      </w:r>
      <w:r w:rsidR="00EF0E1E">
        <w:t>walks the group through the different</w:t>
      </w:r>
      <w:r w:rsidR="00467DC3">
        <w:t xml:space="preserve"> disclosure scenario’s</w:t>
      </w:r>
      <w:r w:rsidR="00EF0E1E">
        <w:t xml:space="preserve"> within the input document. </w:t>
      </w:r>
      <w:r>
        <w:t>The WG discussed the matrix and the different scenarios</w:t>
      </w:r>
      <w:r w:rsidR="00EF0E1E">
        <w:t>.  When to use DSCL, w</w:t>
      </w:r>
      <w:r>
        <w:t>hen to include information regarding disclosure in the event itself</w:t>
      </w:r>
      <w:r w:rsidR="00EF0E1E">
        <w:t xml:space="preserve"> </w:t>
      </w:r>
      <w:r>
        <w:t>?</w:t>
      </w:r>
      <w:r w:rsidR="00EF0E1E">
        <w:t xml:space="preserve"> The </w:t>
      </w:r>
      <w:r w:rsidR="0023157A">
        <w:t>scenario’s</w:t>
      </w:r>
      <w:r w:rsidR="00467DC3">
        <w:t xml:space="preserve"> are updated during the discussion (see input) and the </w:t>
      </w:r>
      <w:r w:rsidR="00EF0E1E">
        <w:t>following proposal comes out of the discussions:</w:t>
      </w:r>
    </w:p>
    <w:p w:rsidR="004B2F86" w:rsidRDefault="004B2F86" w:rsidP="008666D8">
      <w:pPr>
        <w:numPr>
          <w:ilvl w:val="0"/>
          <w:numId w:val="13"/>
        </w:numPr>
      </w:pPr>
      <w:r>
        <w:t xml:space="preserve">For elective events, include </w:t>
      </w:r>
      <w:r w:rsidR="00EF0E1E">
        <w:t xml:space="preserve">the </w:t>
      </w:r>
      <w:r>
        <w:t>information in the event</w:t>
      </w:r>
      <w:r w:rsidR="00EF0E1E">
        <w:t xml:space="preserve"> itself;</w:t>
      </w:r>
    </w:p>
    <w:p w:rsidR="004B2F86" w:rsidRDefault="004B2F86" w:rsidP="008666D8">
      <w:pPr>
        <w:numPr>
          <w:ilvl w:val="0"/>
          <w:numId w:val="13"/>
        </w:numPr>
      </w:pPr>
      <w:r>
        <w:t xml:space="preserve">For mandatory events, there are currently three options, none </w:t>
      </w:r>
      <w:r w:rsidR="00467DC3">
        <w:t xml:space="preserve">of them are </w:t>
      </w:r>
      <w:r>
        <w:t>good:</w:t>
      </w:r>
    </w:p>
    <w:p w:rsidR="004B2F86" w:rsidRDefault="00EF0E1E" w:rsidP="008666D8">
      <w:pPr>
        <w:numPr>
          <w:ilvl w:val="1"/>
          <w:numId w:val="13"/>
        </w:numPr>
      </w:pPr>
      <w:r>
        <w:t xml:space="preserve">Use </w:t>
      </w:r>
      <w:r w:rsidR="004B2F86">
        <w:t xml:space="preserve">MAND with INCO </w:t>
      </w:r>
      <w:r>
        <w:t xml:space="preserve">narrative </w:t>
      </w:r>
      <w:r w:rsidR="004B2F86">
        <w:t>or flag, to say a disclosure (or certification)  instruction is required</w:t>
      </w:r>
    </w:p>
    <w:p w:rsidR="004B2F86" w:rsidRDefault="004B2F86" w:rsidP="008666D8">
      <w:pPr>
        <w:numPr>
          <w:ilvl w:val="1"/>
          <w:numId w:val="13"/>
        </w:numPr>
      </w:pPr>
      <w:r>
        <w:t xml:space="preserve">Convert </w:t>
      </w:r>
      <w:r w:rsidR="00EF0E1E">
        <w:t xml:space="preserve">the </w:t>
      </w:r>
      <w:r>
        <w:t xml:space="preserve">event into CHOS, with e.g. </w:t>
      </w:r>
      <w:smartTag w:uri="urn:schemas-microsoft-com:office:smarttags" w:element="stockticker">
        <w:r>
          <w:t>CASH</w:t>
        </w:r>
      </w:smartTag>
      <w:r>
        <w:t xml:space="preserve"> and NOAC/LAPS</w:t>
      </w:r>
    </w:p>
    <w:p w:rsidR="004B2F86" w:rsidRDefault="00EF0E1E" w:rsidP="008666D8">
      <w:pPr>
        <w:numPr>
          <w:ilvl w:val="1"/>
          <w:numId w:val="13"/>
        </w:numPr>
      </w:pPr>
      <w:r>
        <w:t xml:space="preserve">Use </w:t>
      </w:r>
      <w:r w:rsidR="004B2F86">
        <w:t>MAND event plus a separate DSCL MAND event</w:t>
      </w:r>
    </w:p>
    <w:p w:rsidR="00EF0E1E" w:rsidRPr="00467DC3" w:rsidRDefault="008666D8" w:rsidP="008666D8">
      <w:pPr>
        <w:pStyle w:val="Actions"/>
        <w:rPr>
          <w:u w:val="single"/>
        </w:rPr>
      </w:pPr>
      <w:r w:rsidRPr="00467DC3">
        <w:rPr>
          <w:u w:val="single"/>
        </w:rPr>
        <w:t>Actions</w:t>
      </w:r>
      <w:r w:rsidR="004B2F86" w:rsidRPr="00467DC3">
        <w:rPr>
          <w:u w:val="single"/>
        </w:rPr>
        <w:t xml:space="preserve">: </w:t>
      </w:r>
    </w:p>
    <w:p w:rsidR="008666D8" w:rsidRDefault="004B2F86" w:rsidP="008666D8">
      <w:pPr>
        <w:pStyle w:val="Actions"/>
        <w:numPr>
          <w:ilvl w:val="0"/>
          <w:numId w:val="14"/>
        </w:numPr>
      </w:pPr>
      <w:r>
        <w:t xml:space="preserve">Ask </w:t>
      </w:r>
      <w:r w:rsidRPr="00467DC3">
        <w:rPr>
          <w:u w:val="single"/>
        </w:rPr>
        <w:t>NMPGs</w:t>
      </w:r>
      <w:r>
        <w:t xml:space="preserve"> for their feedback </w:t>
      </w:r>
      <w:r w:rsidR="008666D8">
        <w:t xml:space="preserve">on </w:t>
      </w:r>
      <w:r>
        <w:t xml:space="preserve">what they currently do, and </w:t>
      </w:r>
      <w:r w:rsidR="008666D8">
        <w:t xml:space="preserve">what </w:t>
      </w:r>
      <w:r>
        <w:t xml:space="preserve">their opinion </w:t>
      </w:r>
      <w:r w:rsidR="008666D8">
        <w:t>is about the following options:</w:t>
      </w:r>
    </w:p>
    <w:p w:rsidR="008666D8" w:rsidRDefault="008666D8" w:rsidP="008666D8">
      <w:pPr>
        <w:pStyle w:val="Actions"/>
        <w:numPr>
          <w:ilvl w:val="1"/>
          <w:numId w:val="14"/>
        </w:numPr>
      </w:pPr>
      <w:r>
        <w:t>creating</w:t>
      </w:r>
      <w:r w:rsidR="004B2F86">
        <w:t xml:space="preserve"> a new CAMV code (Mandatory with d</w:t>
      </w:r>
      <w:r>
        <w:t>isclosure/certification) and/or,</w:t>
      </w:r>
    </w:p>
    <w:p w:rsidR="008666D8" w:rsidRDefault="008666D8" w:rsidP="008666D8">
      <w:pPr>
        <w:pStyle w:val="Actions"/>
        <w:numPr>
          <w:ilvl w:val="1"/>
          <w:numId w:val="14"/>
        </w:numPr>
      </w:pPr>
      <w:r>
        <w:t xml:space="preserve">creating new </w:t>
      </w:r>
      <w:r w:rsidR="004B2F86">
        <w:t xml:space="preserve">option codes for ‘disclose/certify and receive entitlement’ and ‘do not disclose/certify and forfeit entitlement’.  </w:t>
      </w:r>
    </w:p>
    <w:p w:rsidR="004B2F86" w:rsidRDefault="004B2F86" w:rsidP="008666D8">
      <w:pPr>
        <w:pStyle w:val="Actions"/>
        <w:ind w:left="720"/>
      </w:pPr>
      <w:r>
        <w:lastRenderedPageBreak/>
        <w:t xml:space="preserve">It is acknowledged that this is a big development but this issue was left unresolved for several years and we need to tackle it at a certain moment.  </w:t>
      </w:r>
      <w:r w:rsidR="0023157A">
        <w:t>If we agree to it, it can be reused in other situations where we also have a problem today like for certifications etc.</w:t>
      </w:r>
    </w:p>
    <w:p w:rsidR="004B2F86" w:rsidRDefault="008666D8" w:rsidP="008666D8">
      <w:pPr>
        <w:pStyle w:val="Actions"/>
        <w:numPr>
          <w:ilvl w:val="0"/>
          <w:numId w:val="14"/>
        </w:numPr>
      </w:pPr>
      <w:r w:rsidRPr="00467DC3">
        <w:rPr>
          <w:u w:val="single"/>
        </w:rPr>
        <w:t>Bernard</w:t>
      </w:r>
      <w:r>
        <w:t xml:space="preserve"> to look at changing the </w:t>
      </w:r>
      <w:r w:rsidR="004B2F86">
        <w:t>definition of DSCL</w:t>
      </w:r>
      <w:r>
        <w:t xml:space="preserve"> event</w:t>
      </w:r>
      <w:r w:rsidR="00B524CD">
        <w:t xml:space="preserve"> and create a SR2013 CR for it</w:t>
      </w:r>
      <w:r w:rsidR="004B2F86">
        <w:t>.</w:t>
      </w:r>
    </w:p>
    <w:p w:rsidR="004B2F86" w:rsidRDefault="004B2F86" w:rsidP="008666D8">
      <w:pPr>
        <w:pStyle w:val="Heading1"/>
      </w:pPr>
      <w:bookmarkStart w:id="14" w:name="_Toc324436896"/>
      <w:r>
        <w:t>CA 167</w:t>
      </w:r>
      <w:r w:rsidR="008666D8">
        <w:t xml:space="preserve"> - Consent Events /+ Schemes - </w:t>
      </w:r>
      <w:r w:rsidR="0023157A">
        <w:t>Clarify</w:t>
      </w:r>
      <w:r w:rsidR="008666D8">
        <w:t xml:space="preserve"> business flows.</w:t>
      </w:r>
      <w:bookmarkEnd w:id="14"/>
    </w:p>
    <w:p w:rsidR="000729A3" w:rsidRDefault="000729A3" w:rsidP="000729A3">
      <w:r w:rsidRPr="00433A4B">
        <w:rPr>
          <w:u w:val="single"/>
        </w:rPr>
        <w:t>Input</w:t>
      </w:r>
      <w:r>
        <w:t>: ISITC Document on consent</w:t>
      </w:r>
      <w:r w:rsidR="00D27410">
        <w:t xml:space="preserve"> provided by Sonda.</w:t>
      </w:r>
    </w:p>
    <w:p w:rsidR="000729A3" w:rsidRDefault="00856069" w:rsidP="000729A3">
      <w:r>
        <w:object w:dxaOrig="1534" w:dyaOrig="993">
          <v:shape id="_x0000_i1029" type="#_x0000_t75" style="width:76.5pt;height:49.5pt" o:ole="">
            <v:imagedata r:id="rId19" o:title=""/>
          </v:shape>
          <o:OLEObject Type="Embed" ProgID="Word.Document.8" ShapeID="_x0000_i1029" DrawAspect="Icon" ObjectID="_1398179309" r:id="rId20">
            <o:FieldCodes>\s</o:FieldCodes>
          </o:OLEObject>
        </w:object>
      </w:r>
    </w:p>
    <w:p w:rsidR="004B2F86" w:rsidRDefault="004B2F86" w:rsidP="000729A3">
      <w:r>
        <w:t xml:space="preserve">Sonda </w:t>
      </w:r>
      <w:r w:rsidR="00433A4B">
        <w:t>walks us through the</w:t>
      </w:r>
      <w:r>
        <w:t xml:space="preserve"> document </w:t>
      </w:r>
      <w:r w:rsidR="00433A4B">
        <w:t xml:space="preserve">already </w:t>
      </w:r>
      <w:r>
        <w:t>r</w:t>
      </w:r>
      <w:r w:rsidR="00467DC3">
        <w:t>eviewed by Delphine, Bernard</w:t>
      </w:r>
      <w:r w:rsidR="00433A4B">
        <w:t>.</w:t>
      </w:r>
    </w:p>
    <w:p w:rsidR="004B2F86" w:rsidRDefault="004B2F86" w:rsidP="000729A3">
      <w:r>
        <w:t xml:space="preserve">Discussion </w:t>
      </w:r>
      <w:r w:rsidR="00433A4B">
        <w:t xml:space="preserve">/ questions about </w:t>
      </w:r>
      <w:r>
        <w:t>the document</w:t>
      </w:r>
      <w:r w:rsidR="00433A4B">
        <w:t>:</w:t>
      </w:r>
    </w:p>
    <w:p w:rsidR="004B2F86" w:rsidRDefault="004B2F86" w:rsidP="00433A4B">
      <w:pPr>
        <w:numPr>
          <w:ilvl w:val="0"/>
          <w:numId w:val="9"/>
        </w:numPr>
        <w:spacing w:after="0"/>
      </w:pPr>
      <w:r>
        <w:t>Question regarding CHAN VOLU. Answer: No, use CONS for change of terms</w:t>
      </w:r>
    </w:p>
    <w:p w:rsidR="004B2F86" w:rsidRDefault="004B2F86" w:rsidP="00433A4B">
      <w:pPr>
        <w:numPr>
          <w:ilvl w:val="0"/>
          <w:numId w:val="9"/>
        </w:numPr>
        <w:spacing w:after="0"/>
      </w:pPr>
      <w:r>
        <w:t>Question regarding ‘due and payable’. Answer: CONS can be used for this</w:t>
      </w:r>
    </w:p>
    <w:p w:rsidR="009A2AF6" w:rsidRDefault="004B2F86" w:rsidP="009A2AF6">
      <w:pPr>
        <w:numPr>
          <w:ilvl w:val="0"/>
          <w:numId w:val="9"/>
        </w:numPr>
        <w:spacing w:after="0"/>
      </w:pPr>
      <w:r>
        <w:t>How to report bondholder meetings</w:t>
      </w:r>
      <w:r w:rsidR="00B47358">
        <w:t xml:space="preserve"> </w:t>
      </w:r>
      <w:r>
        <w:t>?</w:t>
      </w:r>
      <w:r w:rsidR="00B47358">
        <w:t xml:space="preserve"> Can it fit in ISO 15022 or 20022 ?</w:t>
      </w:r>
    </w:p>
    <w:p w:rsidR="009A2AF6" w:rsidRPr="009A2AF6" w:rsidRDefault="009A2AF6" w:rsidP="009A2AF6">
      <w:pPr>
        <w:pStyle w:val="Actions"/>
        <w:rPr>
          <w:u w:val="single"/>
        </w:rPr>
      </w:pPr>
      <w:r>
        <w:br/>
      </w:r>
      <w:r w:rsidR="004B2F86" w:rsidRPr="009A2AF6">
        <w:rPr>
          <w:u w:val="single"/>
        </w:rPr>
        <w:t>Action</w:t>
      </w:r>
      <w:r>
        <w:rPr>
          <w:u w:val="single"/>
        </w:rPr>
        <w:t>s</w:t>
      </w:r>
      <w:r w:rsidR="004B2F86" w:rsidRPr="009A2AF6">
        <w:rPr>
          <w:u w:val="single"/>
        </w:rPr>
        <w:t xml:space="preserve">: </w:t>
      </w:r>
    </w:p>
    <w:p w:rsidR="009A2AF6" w:rsidRDefault="009A2AF6" w:rsidP="009A2AF6">
      <w:pPr>
        <w:pStyle w:val="Actions"/>
        <w:numPr>
          <w:ilvl w:val="0"/>
          <w:numId w:val="15"/>
        </w:numPr>
      </w:pPr>
      <w:r w:rsidRPr="00467DC3">
        <w:rPr>
          <w:u w:val="single"/>
        </w:rPr>
        <w:t>Jacques</w:t>
      </w:r>
      <w:r>
        <w:t xml:space="preserve">  to i</w:t>
      </w:r>
      <w:r w:rsidR="004B2F86">
        <w:t xml:space="preserve">nvestigate if </w:t>
      </w:r>
      <w:smartTag w:uri="urn:schemas-microsoft-com:office:smarttags" w:element="stockticker">
        <w:r w:rsidR="004B2F86">
          <w:t>ISO</w:t>
        </w:r>
      </w:smartTag>
      <w:r w:rsidR="004B2F86">
        <w:t xml:space="preserve"> 20022 messages put </w:t>
      </w:r>
      <w:r w:rsidR="00467DC3">
        <w:t>“</w:t>
      </w:r>
      <w:r w:rsidR="004B2F86">
        <w:t>bond</w:t>
      </w:r>
      <w:r w:rsidR="00B47358">
        <w:t xml:space="preserve"> </w:t>
      </w:r>
      <w:r w:rsidR="004B2F86">
        <w:t>holder meetings</w:t>
      </w:r>
      <w:r w:rsidR="00467DC3">
        <w:t>”</w:t>
      </w:r>
      <w:r w:rsidR="004B2F86">
        <w:t xml:space="preserve"> in proxy voting or CA, and discuss </w:t>
      </w:r>
      <w:r>
        <w:t xml:space="preserve">further </w:t>
      </w:r>
      <w:r w:rsidR="004B2F86">
        <w:t>from there</w:t>
      </w:r>
      <w:r>
        <w:t>.</w:t>
      </w:r>
      <w:r w:rsidR="00B47358">
        <w:t xml:space="preserve"> Create a new Open Item.</w:t>
      </w:r>
    </w:p>
    <w:p w:rsidR="004B2F86" w:rsidRDefault="009A2AF6" w:rsidP="009A2AF6">
      <w:pPr>
        <w:pStyle w:val="Actions"/>
        <w:numPr>
          <w:ilvl w:val="0"/>
          <w:numId w:val="15"/>
        </w:numPr>
      </w:pPr>
      <w:r w:rsidRPr="00467DC3">
        <w:rPr>
          <w:u w:val="single"/>
        </w:rPr>
        <w:t>Sonda, Bernard and Delphine</w:t>
      </w:r>
      <w:r w:rsidRPr="009A2AF6">
        <w:t xml:space="preserve"> </w:t>
      </w:r>
      <w:r>
        <w:t>to</w:t>
      </w:r>
      <w:r w:rsidR="004B2F86" w:rsidRPr="009A2AF6">
        <w:t xml:space="preserve"> </w:t>
      </w:r>
      <w:r>
        <w:t xml:space="preserve">finalise/review the document </w:t>
      </w:r>
      <w:r w:rsidR="004B2F86" w:rsidRPr="009A2AF6">
        <w:t xml:space="preserve">and </w:t>
      </w:r>
      <w:r>
        <w:t>send</w:t>
      </w:r>
      <w:r w:rsidR="004B2F86" w:rsidRPr="009A2AF6">
        <w:t xml:space="preserve"> to the group</w:t>
      </w:r>
      <w:r w:rsidR="004B2F86">
        <w:t xml:space="preserve"> for agreement</w:t>
      </w:r>
      <w:r>
        <w:t>.</w:t>
      </w:r>
    </w:p>
    <w:p w:rsidR="004B2F86" w:rsidRDefault="004B2F86" w:rsidP="00F109E9">
      <w:pPr>
        <w:pStyle w:val="Heading1"/>
      </w:pPr>
      <w:bookmarkStart w:id="15" w:name="_Toc324436897"/>
      <w:r>
        <w:t>CA 194</w:t>
      </w:r>
      <w:r w:rsidR="000729A3" w:rsidRPr="000729A3">
        <w:t xml:space="preserve"> </w:t>
      </w:r>
      <w:r w:rsidR="000729A3">
        <w:t>- Reinvestment o</w:t>
      </w:r>
      <w:r w:rsidR="00432D93">
        <w:t>f Fund Cash Distribution</w:t>
      </w:r>
      <w:bookmarkEnd w:id="15"/>
    </w:p>
    <w:p w:rsidR="00D27410" w:rsidRDefault="00D27410" w:rsidP="00D27410">
      <w:r w:rsidRPr="00D27410">
        <w:rPr>
          <w:u w:val="single"/>
        </w:rPr>
        <w:t>Input</w:t>
      </w:r>
      <w:r>
        <w:t>: UK NMPG input document</w:t>
      </w:r>
      <w:r w:rsidR="00432D93">
        <w:t xml:space="preserve"> on </w:t>
      </w:r>
      <w:r w:rsidR="004672F5">
        <w:t xml:space="preserve">funds dividend and interest </w:t>
      </w:r>
      <w:r w:rsidR="00432D93">
        <w:t>di</w:t>
      </w:r>
      <w:r w:rsidR="004672F5">
        <w:t>s</w:t>
      </w:r>
      <w:r w:rsidR="00432D93">
        <w:t>tribution</w:t>
      </w:r>
      <w:r w:rsidR="004672F5">
        <w:t>/accumulation</w:t>
      </w:r>
      <w:r w:rsidRPr="00D27410">
        <w:t xml:space="preserve"> </w:t>
      </w:r>
      <w:r>
        <w:t>provided by Mari.</w:t>
      </w:r>
    </w:p>
    <w:p w:rsidR="00D27410" w:rsidRPr="00D27410" w:rsidRDefault="00B50E51" w:rsidP="00D27410">
      <w:r>
        <w:object w:dxaOrig="1534" w:dyaOrig="993">
          <v:shape id="_x0000_i1030" type="#_x0000_t75" style="width:76.5pt;height:49.5pt" o:ole="">
            <v:imagedata r:id="rId21" o:title=""/>
          </v:shape>
          <o:OLEObject Type="Embed" ProgID="Word.Document.8" ShapeID="_x0000_i1030" DrawAspect="Icon" ObjectID="_1398179310" r:id="rId22">
            <o:FieldCodes>\s</o:FieldCodes>
          </o:OLEObject>
        </w:object>
      </w:r>
    </w:p>
    <w:p w:rsidR="00432D93" w:rsidRDefault="004B2F86" w:rsidP="00D27410">
      <w:r>
        <w:t>Mari presented her input document to the WG, and the WG discussed it</w:t>
      </w:r>
      <w:r w:rsidR="00D27410">
        <w:t xml:space="preserve">. </w:t>
      </w:r>
      <w:r>
        <w:t xml:space="preserve">The main issues </w:t>
      </w:r>
      <w:r w:rsidR="00B50E51">
        <w:t xml:space="preserve">with dividend accumulation </w:t>
      </w:r>
      <w:r w:rsidR="00432D93">
        <w:t xml:space="preserve">(using DVCA) </w:t>
      </w:r>
      <w:r w:rsidR="00B50E51">
        <w:t>is</w:t>
      </w:r>
      <w:r>
        <w:t xml:space="preserve"> how to show that the income is being accumulated and not paid</w:t>
      </w:r>
      <w:r w:rsidR="00432D93">
        <w:t xml:space="preserve"> (i.e. no movements whilst the client is expecting movements with a DVCA)</w:t>
      </w:r>
      <w:r>
        <w:t xml:space="preserve">, and </w:t>
      </w:r>
      <w:r w:rsidR="00B50E51">
        <w:t xml:space="preserve">how to show </w:t>
      </w:r>
      <w:r>
        <w:t>equalisation</w:t>
      </w:r>
      <w:r w:rsidR="00D27410">
        <w:t xml:space="preserve">. </w:t>
      </w:r>
      <w:r w:rsidR="00432D93">
        <w:t xml:space="preserve">Currently it is a blocking situation as it is not possible to report this adequately </w:t>
      </w:r>
      <w:r w:rsidR="0023157A">
        <w:t>to</w:t>
      </w:r>
      <w:r w:rsidR="00432D93">
        <w:t xml:space="preserve"> the clients. </w:t>
      </w:r>
    </w:p>
    <w:p w:rsidR="00432D93" w:rsidRDefault="004B2F86" w:rsidP="00D27410">
      <w:r>
        <w:t>Comparisons were made with other markets with similar events</w:t>
      </w:r>
      <w:r w:rsidR="00D27410">
        <w:t>.</w:t>
      </w:r>
      <w:r w:rsidR="00432D93">
        <w:t xml:space="preserve"> In DE, INCR and DECR is used for the same thing</w:t>
      </w:r>
      <w:r w:rsidR="004672F5">
        <w:t xml:space="preserve">. </w:t>
      </w:r>
    </w:p>
    <w:p w:rsidR="004B2F86" w:rsidRDefault="003D0D90" w:rsidP="00D27410">
      <w:r>
        <w:t xml:space="preserve">The UK is working on a </w:t>
      </w:r>
      <w:r w:rsidR="00F733D4">
        <w:t xml:space="preserve">SR2013 </w:t>
      </w:r>
      <w:r>
        <w:t xml:space="preserve">CR </w:t>
      </w:r>
      <w:r w:rsidR="00F733D4">
        <w:t>to create a new event type to cover this case</w:t>
      </w:r>
      <w:r>
        <w:t>.</w:t>
      </w:r>
    </w:p>
    <w:p w:rsidR="003D0D90" w:rsidRDefault="003D0D90" w:rsidP="003D0D90">
      <w:r>
        <w:t xml:space="preserve">Kim reminded the WG that the French market sent in a CR for equalisation a few years ago and was rejected since equalisation is not considered an event as it is rather part of a DVCA. </w:t>
      </w:r>
    </w:p>
    <w:p w:rsidR="003D0D90" w:rsidRDefault="003D0D90" w:rsidP="003D0D90">
      <w:pPr>
        <w:pStyle w:val="Decisions"/>
      </w:pPr>
      <w:r w:rsidRPr="003D0D90">
        <w:rPr>
          <w:u w:val="single"/>
        </w:rPr>
        <w:t>Decisions</w:t>
      </w:r>
      <w:r>
        <w:t xml:space="preserve">: </w:t>
      </w:r>
    </w:p>
    <w:p w:rsidR="004B2F86" w:rsidRDefault="004B2F86" w:rsidP="003D0D90">
      <w:pPr>
        <w:pStyle w:val="Decisions"/>
        <w:numPr>
          <w:ilvl w:val="0"/>
          <w:numId w:val="17"/>
        </w:numPr>
      </w:pPr>
      <w:r>
        <w:t>The WG will compare the CR with the German MP for accumulating funds that is published in the German folder on the SMPG website</w:t>
      </w:r>
      <w:r w:rsidR="003D0D90">
        <w:t>;</w:t>
      </w:r>
    </w:p>
    <w:p w:rsidR="00432D93" w:rsidRDefault="004B2F86" w:rsidP="003D0D90">
      <w:pPr>
        <w:pStyle w:val="Decisions"/>
        <w:numPr>
          <w:ilvl w:val="0"/>
          <w:numId w:val="17"/>
        </w:numPr>
      </w:pPr>
      <w:r>
        <w:t>Set up separate conf calls for this issue</w:t>
      </w:r>
      <w:r w:rsidR="003D0D90">
        <w:t xml:space="preserve"> to review the proposed UK CR</w:t>
      </w:r>
      <w:r>
        <w:t xml:space="preserve"> in order to have a fully agreed CR ready for June 1</w:t>
      </w:r>
      <w:r w:rsidR="00D27410">
        <w:t xml:space="preserve">. </w:t>
      </w:r>
      <w:r>
        <w:t>US, MDPUG, UK, CH, FR, BE, LU will participate</w:t>
      </w:r>
      <w:r w:rsidR="00D27410">
        <w:t>.</w:t>
      </w:r>
      <w:r w:rsidR="00432D93" w:rsidRPr="00432D93">
        <w:t xml:space="preserve"> </w:t>
      </w:r>
    </w:p>
    <w:p w:rsidR="004B2F86" w:rsidRDefault="00432D93" w:rsidP="003D0D90">
      <w:pPr>
        <w:pStyle w:val="Decisions"/>
        <w:numPr>
          <w:ilvl w:val="0"/>
          <w:numId w:val="17"/>
        </w:numPr>
      </w:pPr>
      <w:r>
        <w:t>Mari to email the proposed CR to the above countries</w:t>
      </w:r>
    </w:p>
    <w:p w:rsidR="009A56CE" w:rsidRDefault="00D27410" w:rsidP="00D27410">
      <w:pPr>
        <w:pStyle w:val="Actions"/>
      </w:pPr>
      <w:r w:rsidRPr="00D27410">
        <w:rPr>
          <w:u w:val="single"/>
        </w:rPr>
        <w:t>Action</w:t>
      </w:r>
      <w:r>
        <w:t xml:space="preserve">: </w:t>
      </w:r>
    </w:p>
    <w:p w:rsidR="009A56CE" w:rsidRDefault="009A56CE" w:rsidP="009A56CE">
      <w:pPr>
        <w:pStyle w:val="Actions"/>
        <w:numPr>
          <w:ilvl w:val="0"/>
          <w:numId w:val="26"/>
        </w:numPr>
      </w:pPr>
      <w:r w:rsidRPr="009A56CE">
        <w:rPr>
          <w:u w:val="single"/>
        </w:rPr>
        <w:t>Mari</w:t>
      </w:r>
      <w:r>
        <w:t xml:space="preserve"> to send the UK draft CR to the interested countries</w:t>
      </w:r>
      <w:r w:rsidRPr="009A56CE">
        <w:t xml:space="preserve"> </w:t>
      </w:r>
      <w:r>
        <w:t>(see above).</w:t>
      </w:r>
    </w:p>
    <w:p w:rsidR="004672F5" w:rsidRDefault="009A56CE" w:rsidP="009A56CE">
      <w:pPr>
        <w:pStyle w:val="Actions"/>
        <w:numPr>
          <w:ilvl w:val="0"/>
          <w:numId w:val="26"/>
        </w:numPr>
      </w:pPr>
      <w:r w:rsidRPr="009A56CE">
        <w:rPr>
          <w:u w:val="single"/>
        </w:rPr>
        <w:lastRenderedPageBreak/>
        <w:t>Mari</w:t>
      </w:r>
      <w:r>
        <w:t>/</w:t>
      </w:r>
      <w:r w:rsidR="004B2F86" w:rsidRPr="009A56CE">
        <w:rPr>
          <w:u w:val="single"/>
        </w:rPr>
        <w:t>Jacques</w:t>
      </w:r>
      <w:r w:rsidR="004B2F86">
        <w:t xml:space="preserve"> </w:t>
      </w:r>
      <w:r w:rsidR="00D27410">
        <w:t>to set up the conference call</w:t>
      </w:r>
      <w:r w:rsidR="004672F5">
        <w:t xml:space="preserve"> between the interested countries </w:t>
      </w:r>
      <w:r w:rsidR="00226A54">
        <w:t>to review UK CR proposal</w:t>
      </w:r>
      <w:r w:rsidR="004672F5">
        <w:t>.</w:t>
      </w:r>
    </w:p>
    <w:p w:rsidR="004B2F86" w:rsidRDefault="004B2F86" w:rsidP="00F109E9">
      <w:pPr>
        <w:pStyle w:val="Heading1"/>
      </w:pPr>
      <w:bookmarkStart w:id="16" w:name="_Toc324436898"/>
      <w:r>
        <w:t>CA 225</w:t>
      </w:r>
      <w:r w:rsidR="00F109E9">
        <w:t xml:space="preserve"> - MT 565 - Add Option Features, Rates and Narrative </w:t>
      </w:r>
      <w:r w:rsidR="009D5D20">
        <w:t>(Option Numbering)</w:t>
      </w:r>
      <w:bookmarkEnd w:id="16"/>
    </w:p>
    <w:p w:rsidR="004672F5" w:rsidRDefault="004672F5" w:rsidP="004672F5">
      <w:r w:rsidRPr="004672F5">
        <w:rPr>
          <w:u w:val="single"/>
        </w:rPr>
        <w:t>Input</w:t>
      </w:r>
      <w:r>
        <w:t>: ISITC Document provided by Sonda</w:t>
      </w:r>
    </w:p>
    <w:p w:rsidR="004672F5" w:rsidRPr="004672F5" w:rsidRDefault="009A56CE" w:rsidP="004672F5">
      <w:r>
        <w:object w:dxaOrig="1534" w:dyaOrig="993">
          <v:shape id="_x0000_i1031" type="#_x0000_t75" style="width:76.5pt;height:49.5pt" o:ole="">
            <v:imagedata r:id="rId23" o:title=""/>
          </v:shape>
          <o:OLEObject Type="Embed" ProgID="Excel.Sheet.12" ShapeID="_x0000_i1031" DrawAspect="Icon" ObjectID="_1398179311" r:id="rId24"/>
        </w:object>
      </w:r>
    </w:p>
    <w:p w:rsidR="004B2F86" w:rsidRDefault="004672F5" w:rsidP="004672F5">
      <w:r>
        <w:t xml:space="preserve">Mari </w:t>
      </w:r>
      <w:r w:rsidR="003F5CD3">
        <w:t>and Sonda summarise</w:t>
      </w:r>
      <w:r>
        <w:t xml:space="preserve"> the </w:t>
      </w:r>
      <w:r w:rsidR="001278D7">
        <w:t>outcome</w:t>
      </w:r>
      <w:r>
        <w:t xml:space="preserve"> of the joint </w:t>
      </w:r>
      <w:r w:rsidR="004B2F86">
        <w:t xml:space="preserve">US and UK NMPGs call </w:t>
      </w:r>
      <w:r>
        <w:t xml:space="preserve">held </w:t>
      </w:r>
      <w:r w:rsidR="004B2F86">
        <w:t>on this issue in March</w:t>
      </w:r>
      <w:r w:rsidR="001278D7">
        <w:t xml:space="preserve"> whose</w:t>
      </w:r>
      <w:r>
        <w:t xml:space="preserve"> objective was to </w:t>
      </w:r>
      <w:r w:rsidR="001278D7">
        <w:t xml:space="preserve">explain to and </w:t>
      </w:r>
      <w:r>
        <w:t xml:space="preserve">get feedback </w:t>
      </w:r>
      <w:r w:rsidR="001278D7">
        <w:t xml:space="preserve">from the UK </w:t>
      </w:r>
      <w:r>
        <w:t xml:space="preserve">on the </w:t>
      </w:r>
      <w:r w:rsidR="001278D7">
        <w:t>new ISITC MP on option numbering usage and on the proposal to add additional qualifiers in the MT565 to allow for instruction matching</w:t>
      </w:r>
      <w:r w:rsidR="009A56CE">
        <w:t xml:space="preserve"> on instructions parameters:</w:t>
      </w:r>
      <w:r w:rsidR="001278D7">
        <w:t xml:space="preserve">.  </w:t>
      </w:r>
    </w:p>
    <w:p w:rsidR="004B2F86" w:rsidRDefault="004B2F86" w:rsidP="001278D7">
      <w:pPr>
        <w:numPr>
          <w:ilvl w:val="0"/>
          <w:numId w:val="9"/>
        </w:numPr>
        <w:spacing w:after="0"/>
      </w:pPr>
      <w:r>
        <w:t>ISITC (US) does not wish to remove CAON, but would like to find a solution to the many firms who cannot (or will not) use the account servicer’s option number</w:t>
      </w:r>
      <w:r w:rsidR="001278D7">
        <w:t>.</w:t>
      </w:r>
    </w:p>
    <w:p w:rsidR="004B2F86" w:rsidRDefault="004B2F86" w:rsidP="001278D7">
      <w:pPr>
        <w:numPr>
          <w:ilvl w:val="0"/>
          <w:numId w:val="9"/>
        </w:numPr>
        <w:spacing w:after="0"/>
      </w:pPr>
      <w:r>
        <w:t xml:space="preserve">For simple events, the proposed solution is to rely on option code, using </w:t>
      </w:r>
      <w:smartTag w:uri="urn:schemas-microsoft-com:office:smarttags" w:element="stockticker">
        <w:r>
          <w:t>UNS</w:t>
        </w:r>
      </w:smartTag>
      <w:r>
        <w:t xml:space="preserve"> or something similar in the MT565 to signal that the number can be </w:t>
      </w:r>
      <w:r w:rsidR="001278D7">
        <w:t>dis</w:t>
      </w:r>
      <w:r>
        <w:t>regarded</w:t>
      </w:r>
      <w:r w:rsidR="001278D7">
        <w:t>.</w:t>
      </w:r>
    </w:p>
    <w:p w:rsidR="004B2F86" w:rsidRDefault="004B2F86" w:rsidP="001278D7">
      <w:pPr>
        <w:numPr>
          <w:ilvl w:val="1"/>
          <w:numId w:val="9"/>
        </w:numPr>
        <w:spacing w:after="0"/>
      </w:pPr>
      <w:r>
        <w:t>The US has found that for elective events, about 80% are simple</w:t>
      </w:r>
    </w:p>
    <w:p w:rsidR="004B2F86" w:rsidRDefault="004B2F86" w:rsidP="001278D7">
      <w:pPr>
        <w:numPr>
          <w:ilvl w:val="1"/>
          <w:numId w:val="9"/>
        </w:numPr>
        <w:spacing w:after="0"/>
      </w:pPr>
      <w:r>
        <w:t>The UK did a similar check for 2011, and 70-80% were simple</w:t>
      </w:r>
    </w:p>
    <w:p w:rsidR="004B2F86" w:rsidRDefault="004B2F86" w:rsidP="001278D7">
      <w:pPr>
        <w:numPr>
          <w:ilvl w:val="0"/>
          <w:numId w:val="9"/>
        </w:numPr>
        <w:spacing w:after="0"/>
      </w:pPr>
      <w:r>
        <w:t>The UK NMPG does not want to implement a solution that only will work for some events, such as DVOP</w:t>
      </w:r>
    </w:p>
    <w:p w:rsidR="004B2F86" w:rsidRDefault="004B2F86" w:rsidP="001278D7">
      <w:pPr>
        <w:numPr>
          <w:ilvl w:val="0"/>
          <w:numId w:val="9"/>
        </w:numPr>
        <w:spacing w:after="0"/>
      </w:pPr>
      <w:r>
        <w:t>The UK IM community will make sure that use of CAON, and proper use of it, will not be impacted (no impact to the people who have implemented the current standard)</w:t>
      </w:r>
      <w:r w:rsidR="001278D7">
        <w:t>.</w:t>
      </w:r>
    </w:p>
    <w:p w:rsidR="001278D7" w:rsidRDefault="004B2F86" w:rsidP="001278D7">
      <w:pPr>
        <w:numPr>
          <w:ilvl w:val="0"/>
          <w:numId w:val="9"/>
        </w:numPr>
        <w:spacing w:after="0"/>
      </w:pPr>
      <w:r>
        <w:t>Based on the UK comments, ISITC has created a table reviewing different complex event types and checked what types of data element are needed</w:t>
      </w:r>
      <w:r w:rsidR="0057620D">
        <w:t xml:space="preserve"> (see input document)</w:t>
      </w:r>
      <w:r w:rsidR="001278D7">
        <w:t>.</w:t>
      </w:r>
    </w:p>
    <w:p w:rsidR="001278D7" w:rsidRDefault="001278D7" w:rsidP="001278D7">
      <w:pPr>
        <w:spacing w:after="0"/>
      </w:pPr>
    </w:p>
    <w:p w:rsidR="004B2F86" w:rsidRDefault="004B2F86" w:rsidP="0057620D">
      <w:r>
        <w:t xml:space="preserve">The WG </w:t>
      </w:r>
      <w:r w:rsidR="0057620D">
        <w:t>then discussed the above and identify that t</w:t>
      </w:r>
      <w:r>
        <w:t>here are several issue</w:t>
      </w:r>
      <w:r w:rsidR="0057620D">
        <w:t>s</w:t>
      </w:r>
      <w:r>
        <w:t xml:space="preserve"> linked</w:t>
      </w:r>
      <w:r w:rsidR="0057620D">
        <w:t xml:space="preserve"> to this topic:</w:t>
      </w:r>
    </w:p>
    <w:p w:rsidR="004B2F86" w:rsidRDefault="0057620D" w:rsidP="0057620D">
      <w:pPr>
        <w:numPr>
          <w:ilvl w:val="0"/>
          <w:numId w:val="9"/>
        </w:numPr>
        <w:spacing w:after="0"/>
      </w:pPr>
      <w:r>
        <w:t xml:space="preserve">Option numbers CAON </w:t>
      </w:r>
      <w:r w:rsidR="009A56CE">
        <w:t xml:space="preserve">sometimes </w:t>
      </w:r>
      <w:r>
        <w:t>not being replayed in instructions</w:t>
      </w:r>
    </w:p>
    <w:p w:rsidR="004B2F86" w:rsidRDefault="004B2F86" w:rsidP="0057620D">
      <w:pPr>
        <w:numPr>
          <w:ilvl w:val="0"/>
          <w:numId w:val="9"/>
        </w:numPr>
        <w:spacing w:after="0"/>
      </w:pPr>
      <w:r>
        <w:t>CORP</w:t>
      </w:r>
      <w:r w:rsidR="0057620D">
        <w:t xml:space="preserve"> </w:t>
      </w:r>
      <w:r w:rsidR="009A56CE">
        <w:t xml:space="preserve">sometimes </w:t>
      </w:r>
      <w:r w:rsidR="0057620D">
        <w:t>not being replayed in instructions</w:t>
      </w:r>
    </w:p>
    <w:p w:rsidR="004B2F86" w:rsidRDefault="004B2F86" w:rsidP="0057620D">
      <w:pPr>
        <w:numPr>
          <w:ilvl w:val="0"/>
          <w:numId w:val="9"/>
        </w:numPr>
        <w:spacing w:after="0"/>
      </w:pPr>
      <w:r>
        <w:t>Addition of more data elements in the MT565</w:t>
      </w:r>
    </w:p>
    <w:p w:rsidR="00015F15" w:rsidRDefault="00015F15" w:rsidP="00015F15">
      <w:pPr>
        <w:spacing w:after="0"/>
      </w:pPr>
    </w:p>
    <w:p w:rsidR="00015F15" w:rsidRDefault="00015F15" w:rsidP="00015F15">
      <w:r>
        <w:t>Moreover the b</w:t>
      </w:r>
      <w:r w:rsidR="004B2F86">
        <w:t xml:space="preserve">usiness case for performing the changes </w:t>
      </w:r>
      <w:r>
        <w:t xml:space="preserve">need to be beefed up </w:t>
      </w:r>
      <w:r w:rsidR="004B2F86">
        <w:t xml:space="preserve">as it means a </w:t>
      </w:r>
      <w:r>
        <w:t>huge</w:t>
      </w:r>
      <w:r w:rsidR="004B2F86">
        <w:t xml:space="preserve"> impact fo</w:t>
      </w:r>
      <w:r w:rsidR="003F5CD3">
        <w:t xml:space="preserve">r everybody around the world.  The initial feedback collected around the table shows that the </w:t>
      </w:r>
      <w:r>
        <w:t xml:space="preserve">current system based on </w:t>
      </w:r>
      <w:r w:rsidR="003F5CD3">
        <w:t>managing and matching on option numbers</w:t>
      </w:r>
      <w:r>
        <w:t xml:space="preserve"> has usually required </w:t>
      </w:r>
      <w:r w:rsidR="003F5CD3">
        <w:t xml:space="preserve">already </w:t>
      </w:r>
      <w:r>
        <w:t xml:space="preserve">a huge investment for the firms and investing in a second </w:t>
      </w:r>
      <w:r w:rsidR="003F5CD3">
        <w:t>system based on matching on instruction parameters seems hard to justify.</w:t>
      </w:r>
    </w:p>
    <w:p w:rsidR="004B2F86" w:rsidRDefault="004B2F86" w:rsidP="00015F15">
      <w:r>
        <w:t xml:space="preserve">Another aspect </w:t>
      </w:r>
      <w:r w:rsidR="00015F15">
        <w:t xml:space="preserve">for an intermediary </w:t>
      </w:r>
      <w:r>
        <w:t xml:space="preserve">is </w:t>
      </w:r>
      <w:r w:rsidR="00015F15">
        <w:t xml:space="preserve">also </w:t>
      </w:r>
      <w:r>
        <w:t xml:space="preserve">that if in an event 2 customers have </w:t>
      </w:r>
      <w:r w:rsidR="00015F15">
        <w:t>adopted</w:t>
      </w:r>
      <w:r>
        <w:t xml:space="preserve"> </w:t>
      </w:r>
      <w:r w:rsidR="00015F15">
        <w:t xml:space="preserve">a </w:t>
      </w:r>
      <w:r>
        <w:t xml:space="preserve">different pattern, you can get 2 instructions following different patterns (one with CAON and the other </w:t>
      </w:r>
      <w:r w:rsidR="00015F15">
        <w:t xml:space="preserve">one </w:t>
      </w:r>
      <w:r>
        <w:t xml:space="preserve">based on other </w:t>
      </w:r>
      <w:r w:rsidR="00015F15">
        <w:t xml:space="preserve">selective </w:t>
      </w:r>
      <w:r w:rsidR="003F5CD3">
        <w:t>elements).</w:t>
      </w:r>
    </w:p>
    <w:p w:rsidR="003F5CD3" w:rsidRDefault="003F5CD3" w:rsidP="003F5CD3">
      <w:pPr>
        <w:pStyle w:val="Decisions"/>
      </w:pPr>
      <w:r w:rsidRPr="003F5CD3">
        <w:rPr>
          <w:u w:val="single"/>
        </w:rPr>
        <w:t>Decision</w:t>
      </w:r>
      <w:r>
        <w:t>:</w:t>
      </w:r>
    </w:p>
    <w:p w:rsidR="003F5CD3" w:rsidRDefault="003F5CD3" w:rsidP="003F5CD3">
      <w:pPr>
        <w:pStyle w:val="Decisions"/>
      </w:pPr>
      <w:r>
        <w:t>Request the feedback from NMPG’s on the following questions</w:t>
      </w:r>
      <w:r w:rsidR="00D6754E">
        <w:t xml:space="preserve"> for next meeting</w:t>
      </w:r>
      <w:r>
        <w:t>:</w:t>
      </w:r>
    </w:p>
    <w:p w:rsidR="004B2F86" w:rsidRDefault="004B2F86" w:rsidP="003F5CD3">
      <w:pPr>
        <w:pStyle w:val="Decisions"/>
        <w:numPr>
          <w:ilvl w:val="0"/>
          <w:numId w:val="18"/>
        </w:numPr>
      </w:pPr>
      <w:r>
        <w:t>Can we create a market practice for validation on other fields/values to find the right option when an instruction does not have a proper CAON</w:t>
      </w:r>
      <w:r w:rsidR="00D6754E">
        <w:t xml:space="preserve"> </w:t>
      </w:r>
      <w:r>
        <w:t>?</w:t>
      </w:r>
    </w:p>
    <w:p w:rsidR="004B2F86" w:rsidRDefault="004B2F86" w:rsidP="003F5CD3">
      <w:pPr>
        <w:pStyle w:val="Decisions"/>
        <w:numPr>
          <w:ilvl w:val="0"/>
          <w:numId w:val="18"/>
        </w:numPr>
      </w:pPr>
      <w:r>
        <w:t>Can we create a market practice for validation on other fields to identify the right event when an instruction does not have a proper CORP</w:t>
      </w:r>
      <w:r w:rsidR="00D6754E">
        <w:t xml:space="preserve"> </w:t>
      </w:r>
      <w:r>
        <w:t>?</w:t>
      </w:r>
    </w:p>
    <w:p w:rsidR="004B2F86" w:rsidRDefault="004B2F86" w:rsidP="003F5CD3">
      <w:pPr>
        <w:pStyle w:val="Decisions"/>
        <w:numPr>
          <w:ilvl w:val="0"/>
          <w:numId w:val="18"/>
        </w:numPr>
      </w:pPr>
      <w:r>
        <w:t>Can we support the (not yet ready) US CR to add more data elements (Sonda’s document) in the MT565</w:t>
      </w:r>
      <w:r w:rsidR="00D6754E">
        <w:t xml:space="preserve"> </w:t>
      </w:r>
      <w:r>
        <w:t>?</w:t>
      </w:r>
    </w:p>
    <w:p w:rsidR="00676435" w:rsidRPr="00676435" w:rsidRDefault="00676435" w:rsidP="00676435">
      <w:pPr>
        <w:pStyle w:val="Actions"/>
      </w:pPr>
      <w:r w:rsidRPr="00676435">
        <w:rPr>
          <w:u w:val="single"/>
        </w:rPr>
        <w:t>Action</w:t>
      </w:r>
      <w:r>
        <w:t xml:space="preserve">: </w:t>
      </w:r>
      <w:r w:rsidRPr="009A56CE">
        <w:rPr>
          <w:u w:val="single"/>
        </w:rPr>
        <w:t>NMPG</w:t>
      </w:r>
      <w:r>
        <w:t xml:space="preserve"> to provide answers on the above questions</w:t>
      </w:r>
      <w:r w:rsidR="00AF0815">
        <w:t xml:space="preserve"> for next conference call (May 23)</w:t>
      </w:r>
      <w:r>
        <w:t xml:space="preserve">. </w:t>
      </w:r>
    </w:p>
    <w:p w:rsidR="004B2F86" w:rsidRDefault="004B2F86" w:rsidP="00F109E9">
      <w:pPr>
        <w:pStyle w:val="Heading1"/>
      </w:pPr>
      <w:bookmarkStart w:id="17" w:name="_Toc324436899"/>
      <w:r>
        <w:lastRenderedPageBreak/>
        <w:t>CA 230</w:t>
      </w:r>
      <w:r w:rsidR="00F109E9">
        <w:t xml:space="preserve"> - SOFE and INCE redundancy</w:t>
      </w:r>
      <w:bookmarkEnd w:id="17"/>
    </w:p>
    <w:p w:rsidR="007114CE" w:rsidRPr="007114CE" w:rsidRDefault="007114CE" w:rsidP="007114CE">
      <w:r>
        <w:t>An analysis of the SOFE and INCE rates</w:t>
      </w:r>
      <w:r w:rsidR="002C401C">
        <w:t xml:space="preserve">/amounts </w:t>
      </w:r>
      <w:r>
        <w:t xml:space="preserve">definition shows that there </w:t>
      </w:r>
      <w:r w:rsidR="002C401C">
        <w:t>are some inconsistencies in the way it has been defined. It needs to be fixed and a CR submitted for SR2013. The group agrees on the following changes on INCE/SOFE rates and amounts:</w:t>
      </w:r>
    </w:p>
    <w:p w:rsidR="004B2F86" w:rsidRDefault="004B2F86" w:rsidP="002C401C">
      <w:pPr>
        <w:numPr>
          <w:ilvl w:val="0"/>
          <w:numId w:val="9"/>
        </w:numPr>
        <w:spacing w:after="0"/>
      </w:pPr>
      <w:r>
        <w:t xml:space="preserve">92a INCE, Third-Party </w:t>
      </w:r>
      <w:r w:rsidR="00875C2E">
        <w:t>I</w:t>
      </w:r>
      <w:r>
        <w:t>ncentive Rate, to be used for fees paid to a third party soliciting the holder</w:t>
      </w:r>
    </w:p>
    <w:p w:rsidR="004B2F86" w:rsidRDefault="004B2F86" w:rsidP="002C401C">
      <w:pPr>
        <w:numPr>
          <w:ilvl w:val="0"/>
          <w:numId w:val="9"/>
        </w:numPr>
        <w:spacing w:after="0"/>
      </w:pPr>
      <w:r>
        <w:t>92a SOFE, Solicitation Fee, to be used for solicitation fees paid to the holder</w:t>
      </w:r>
    </w:p>
    <w:p w:rsidR="004B2F86" w:rsidRDefault="004B2F86" w:rsidP="002C401C">
      <w:pPr>
        <w:numPr>
          <w:ilvl w:val="0"/>
          <w:numId w:val="9"/>
        </w:numPr>
        <w:spacing w:after="0"/>
      </w:pPr>
      <w:r>
        <w:t>19a SOFE, Solicitation Fee, to be used for solicitation amounts paid to the holder</w:t>
      </w:r>
    </w:p>
    <w:p w:rsidR="004B2F86" w:rsidRDefault="004B2F86" w:rsidP="002C401C">
      <w:pPr>
        <w:numPr>
          <w:ilvl w:val="0"/>
          <w:numId w:val="9"/>
        </w:numPr>
        <w:spacing w:after="0"/>
      </w:pPr>
      <w:r>
        <w:t>Change of defin</w:t>
      </w:r>
      <w:r w:rsidR="00C339D4">
        <w:t>itions of all three</w:t>
      </w:r>
    </w:p>
    <w:p w:rsidR="004B2F86" w:rsidRDefault="004B2F86" w:rsidP="002C401C">
      <w:pPr>
        <w:numPr>
          <w:ilvl w:val="0"/>
          <w:numId w:val="9"/>
        </w:numPr>
        <w:spacing w:after="0"/>
      </w:pPr>
      <w:r>
        <w:t>Removal of 19a INCE</w:t>
      </w:r>
    </w:p>
    <w:p w:rsidR="002C401C" w:rsidRDefault="002C401C" w:rsidP="002C401C">
      <w:pPr>
        <w:spacing w:after="0"/>
      </w:pPr>
    </w:p>
    <w:p w:rsidR="00C339D4" w:rsidRDefault="009A56CE" w:rsidP="002C401C">
      <w:pPr>
        <w:spacing w:after="0"/>
      </w:pPr>
      <w:r>
        <w:t>Those</w:t>
      </w:r>
      <w:r w:rsidR="00C339D4">
        <w:t xml:space="preserve"> </w:t>
      </w:r>
      <w:r>
        <w:t xml:space="preserve">changes are </w:t>
      </w:r>
      <w:r w:rsidR="00C339D4">
        <w:t xml:space="preserve">illustrated in the 2 following tables: </w:t>
      </w:r>
    </w:p>
    <w:p w:rsidR="002C401C" w:rsidRDefault="002C401C" w:rsidP="002C401C">
      <w:pPr>
        <w:spacing w:after="0"/>
      </w:pPr>
    </w:p>
    <w:p w:rsidR="00665D03" w:rsidRPr="0016032A" w:rsidRDefault="00C339D4" w:rsidP="00665D03">
      <w:pPr>
        <w:rPr>
          <w:b/>
          <w:lang w:val="fr-BE"/>
        </w:rPr>
      </w:pPr>
      <w:r>
        <w:rPr>
          <w:b/>
          <w:lang w:val="fr-BE"/>
        </w:rPr>
        <w:t xml:space="preserve">:92a : </w:t>
      </w:r>
      <w:r w:rsidR="00665D03" w:rsidRPr="0016032A">
        <w:rPr>
          <w:b/>
          <w:lang w:val="fr-BE"/>
        </w:rPr>
        <w:t>Rates</w:t>
      </w:r>
    </w:p>
    <w:tbl>
      <w:tblPr>
        <w:tblW w:w="4900" w:type="pct"/>
        <w:tblCellSpacing w:w="15" w:type="dxa"/>
        <w:tblCellMar>
          <w:top w:w="75" w:type="dxa"/>
          <w:left w:w="75" w:type="dxa"/>
          <w:bottom w:w="75" w:type="dxa"/>
          <w:right w:w="75" w:type="dxa"/>
        </w:tblCellMar>
        <w:tblLook w:val="04A0"/>
      </w:tblPr>
      <w:tblGrid>
        <w:gridCol w:w="1244"/>
        <w:gridCol w:w="1871"/>
        <w:gridCol w:w="6211"/>
      </w:tblGrid>
      <w:tr w:rsidR="00665D03" w:rsidRPr="0016032A" w:rsidTr="007F0C1D">
        <w:trPr>
          <w:tblCellSpacing w:w="15" w:type="dxa"/>
        </w:trPr>
        <w:tc>
          <w:tcPr>
            <w:tcW w:w="643" w:type="pct"/>
            <w:shd w:val="clear" w:color="auto" w:fill="FFFFFF"/>
            <w:hideMark/>
          </w:tcPr>
          <w:p w:rsidR="00665D03" w:rsidRPr="00665D03" w:rsidRDefault="00665D03" w:rsidP="00665D03">
            <w:pPr>
              <w:spacing w:after="0"/>
              <w:rPr>
                <w:strike/>
                <w:color w:val="FF0000"/>
                <w:sz w:val="18"/>
                <w:szCs w:val="18"/>
                <w:lang w:eastAsia="en-GB"/>
              </w:rPr>
            </w:pPr>
            <w:r w:rsidRPr="0016032A">
              <w:rPr>
                <w:strike/>
                <w:color w:val="FF0000"/>
                <w:sz w:val="18"/>
                <w:szCs w:val="18"/>
                <w:lang w:eastAsia="en-GB"/>
              </w:rPr>
              <w:t>INCE</w:t>
            </w:r>
          </w:p>
          <w:p w:rsidR="00665D03" w:rsidRPr="0016032A" w:rsidRDefault="00665D03" w:rsidP="00665D03">
            <w:pPr>
              <w:spacing w:after="0"/>
              <w:rPr>
                <w:color w:val="000000"/>
                <w:sz w:val="18"/>
                <w:szCs w:val="18"/>
                <w:lang w:eastAsia="en-GB"/>
              </w:rPr>
            </w:pPr>
            <w:r w:rsidRPr="00665D03">
              <w:rPr>
                <w:color w:val="000000"/>
                <w:sz w:val="18"/>
                <w:szCs w:val="18"/>
                <w:lang w:eastAsia="en-GB"/>
              </w:rPr>
              <w:t>SOFE</w:t>
            </w:r>
          </w:p>
        </w:tc>
        <w:tc>
          <w:tcPr>
            <w:tcW w:w="987" w:type="pct"/>
            <w:shd w:val="clear" w:color="auto" w:fill="FFFFFF"/>
            <w:hideMark/>
          </w:tcPr>
          <w:p w:rsidR="00665D03" w:rsidRPr="0016032A" w:rsidRDefault="00665D03" w:rsidP="00665D03">
            <w:pPr>
              <w:spacing w:after="0"/>
              <w:rPr>
                <w:color w:val="000000"/>
                <w:sz w:val="18"/>
                <w:szCs w:val="18"/>
                <w:lang w:eastAsia="en-GB"/>
              </w:rPr>
            </w:pPr>
            <w:r w:rsidRPr="00875C2E">
              <w:rPr>
                <w:strike/>
                <w:color w:val="FF0000"/>
                <w:sz w:val="18"/>
                <w:szCs w:val="18"/>
                <w:lang w:eastAsia="en-GB"/>
              </w:rPr>
              <w:t>Cash Incentive Rate</w:t>
            </w:r>
            <w:r w:rsidR="00875C2E">
              <w:rPr>
                <w:color w:val="000000"/>
                <w:sz w:val="18"/>
                <w:szCs w:val="18"/>
                <w:lang w:eastAsia="en-GB"/>
              </w:rPr>
              <w:t xml:space="preserve"> </w:t>
            </w:r>
            <w:r w:rsidR="00875C2E" w:rsidRPr="00875C2E">
              <w:rPr>
                <w:color w:val="0000FF"/>
                <w:sz w:val="18"/>
                <w:szCs w:val="18"/>
                <w:u w:val="single"/>
                <w:lang w:eastAsia="en-GB"/>
              </w:rPr>
              <w:t>Solicitation Fee Rate</w:t>
            </w:r>
          </w:p>
        </w:tc>
        <w:tc>
          <w:tcPr>
            <w:tcW w:w="3306" w:type="pct"/>
            <w:shd w:val="clear" w:color="auto" w:fill="FFFFFF"/>
            <w:hideMark/>
          </w:tcPr>
          <w:p w:rsidR="00665D03" w:rsidRPr="0016032A" w:rsidRDefault="00665D03" w:rsidP="00665D03">
            <w:pPr>
              <w:spacing w:after="0"/>
              <w:rPr>
                <w:color w:val="000000"/>
                <w:sz w:val="18"/>
                <w:szCs w:val="18"/>
                <w:lang w:eastAsia="en-GB"/>
              </w:rPr>
            </w:pPr>
            <w:r w:rsidRPr="0016032A">
              <w:rPr>
                <w:color w:val="000000"/>
                <w:sz w:val="18"/>
                <w:szCs w:val="18"/>
                <w:lang w:eastAsia="en-GB"/>
              </w:rPr>
              <w:t>Rate of the cash premium made available if the securities holder consents or participates to an event, for example consent fees</w:t>
            </w:r>
            <w:r>
              <w:rPr>
                <w:color w:val="000000"/>
                <w:sz w:val="18"/>
                <w:szCs w:val="18"/>
                <w:lang w:eastAsia="en-GB"/>
              </w:rPr>
              <w:t xml:space="preserve"> </w:t>
            </w:r>
            <w:r w:rsidRPr="0016032A">
              <w:rPr>
                <w:color w:val="0000FF"/>
                <w:sz w:val="18"/>
                <w:szCs w:val="18"/>
                <w:u w:val="single"/>
                <w:lang w:eastAsia="en-GB"/>
              </w:rPr>
              <w:t>or solicitation fees</w:t>
            </w:r>
            <w:r w:rsidRPr="0016032A">
              <w:rPr>
                <w:color w:val="000000"/>
                <w:sz w:val="18"/>
                <w:szCs w:val="18"/>
                <w:lang w:eastAsia="en-GB"/>
              </w:rPr>
              <w:t>.</w:t>
            </w:r>
          </w:p>
        </w:tc>
      </w:tr>
      <w:tr w:rsidR="00665D03" w:rsidRPr="00665D03" w:rsidTr="007F0C1D">
        <w:trPr>
          <w:trHeight w:val="828"/>
          <w:tblCellSpacing w:w="15" w:type="dxa"/>
        </w:trPr>
        <w:tc>
          <w:tcPr>
            <w:tcW w:w="643" w:type="pct"/>
            <w:shd w:val="clear" w:color="auto" w:fill="FFFFFF"/>
            <w:hideMark/>
          </w:tcPr>
          <w:p w:rsidR="00665D03" w:rsidRPr="00665D03" w:rsidRDefault="00665D03" w:rsidP="00665D03">
            <w:pPr>
              <w:spacing w:after="0"/>
              <w:rPr>
                <w:strike/>
                <w:noProof/>
                <w:color w:val="FF0000"/>
                <w:sz w:val="18"/>
                <w:szCs w:val="18"/>
                <w:lang w:eastAsia="en-GB"/>
              </w:rPr>
            </w:pPr>
            <w:r w:rsidRPr="0016032A">
              <w:rPr>
                <w:strike/>
                <w:noProof/>
                <w:color w:val="FF0000"/>
                <w:sz w:val="18"/>
                <w:szCs w:val="18"/>
                <w:lang w:eastAsia="en-GB"/>
              </w:rPr>
              <w:t>SOFE</w:t>
            </w:r>
          </w:p>
          <w:p w:rsidR="00665D03" w:rsidRPr="0016032A" w:rsidRDefault="00665D03" w:rsidP="00665D03">
            <w:pPr>
              <w:spacing w:after="0"/>
              <w:rPr>
                <w:noProof/>
                <w:color w:val="000000"/>
                <w:sz w:val="18"/>
                <w:szCs w:val="18"/>
                <w:lang w:eastAsia="en-GB"/>
              </w:rPr>
            </w:pPr>
            <w:r>
              <w:rPr>
                <w:noProof/>
                <w:color w:val="000000"/>
                <w:sz w:val="18"/>
                <w:szCs w:val="18"/>
                <w:lang w:eastAsia="en-GB"/>
              </w:rPr>
              <w:t>INCE</w:t>
            </w:r>
          </w:p>
        </w:tc>
        <w:tc>
          <w:tcPr>
            <w:tcW w:w="987" w:type="pct"/>
            <w:shd w:val="clear" w:color="auto" w:fill="FFFFFF"/>
            <w:hideMark/>
          </w:tcPr>
          <w:p w:rsidR="00665D03" w:rsidRPr="0016032A" w:rsidRDefault="00665D03" w:rsidP="00875C2E">
            <w:pPr>
              <w:spacing w:after="0"/>
              <w:rPr>
                <w:noProof/>
                <w:color w:val="000000"/>
                <w:sz w:val="18"/>
                <w:szCs w:val="18"/>
                <w:lang w:eastAsia="en-GB"/>
              </w:rPr>
            </w:pPr>
            <w:r w:rsidRPr="0016032A">
              <w:rPr>
                <w:strike/>
                <w:noProof/>
                <w:color w:val="FF0000"/>
                <w:sz w:val="18"/>
                <w:szCs w:val="18"/>
                <w:lang w:eastAsia="en-GB"/>
              </w:rPr>
              <w:t>Solicitation Fee Rate</w:t>
            </w:r>
            <w:r>
              <w:rPr>
                <w:noProof/>
                <w:color w:val="000000"/>
                <w:sz w:val="18"/>
                <w:szCs w:val="18"/>
                <w:lang w:eastAsia="en-GB"/>
              </w:rPr>
              <w:t xml:space="preserve"> </w:t>
            </w:r>
            <w:r w:rsidRPr="00665D03">
              <w:rPr>
                <w:noProof/>
                <w:color w:val="0000FF"/>
                <w:sz w:val="18"/>
                <w:szCs w:val="18"/>
                <w:u w:val="single"/>
                <w:lang w:eastAsia="en-GB"/>
              </w:rPr>
              <w:t xml:space="preserve">Third Party </w:t>
            </w:r>
            <w:r w:rsidR="00875C2E">
              <w:rPr>
                <w:noProof/>
                <w:color w:val="0000FF"/>
                <w:sz w:val="18"/>
                <w:szCs w:val="18"/>
                <w:u w:val="single"/>
                <w:lang w:eastAsia="en-GB"/>
              </w:rPr>
              <w:t>Incentive</w:t>
            </w:r>
            <w:r w:rsidRPr="00665D03">
              <w:rPr>
                <w:noProof/>
                <w:color w:val="0000FF"/>
                <w:sz w:val="18"/>
                <w:szCs w:val="18"/>
                <w:u w:val="single"/>
                <w:lang w:eastAsia="en-GB"/>
              </w:rPr>
              <w:t xml:space="preserve"> Rate</w:t>
            </w:r>
          </w:p>
        </w:tc>
        <w:tc>
          <w:tcPr>
            <w:tcW w:w="3306" w:type="pct"/>
            <w:shd w:val="clear" w:color="auto" w:fill="FFFFFF"/>
            <w:hideMark/>
          </w:tcPr>
          <w:p w:rsidR="00665D03" w:rsidRPr="0016032A" w:rsidRDefault="00665D03" w:rsidP="00665D03">
            <w:pPr>
              <w:spacing w:after="0"/>
              <w:rPr>
                <w:noProof/>
                <w:color w:val="000000"/>
                <w:sz w:val="18"/>
                <w:szCs w:val="18"/>
                <w:lang w:eastAsia="en-GB"/>
              </w:rPr>
            </w:pPr>
            <w:r w:rsidRPr="0016032A">
              <w:rPr>
                <w:noProof/>
                <w:color w:val="000000"/>
                <w:sz w:val="18"/>
                <w:szCs w:val="18"/>
                <w:lang w:eastAsia="en-GB"/>
              </w:rPr>
              <w:t>Cash rate made available in an offer in order to encourage participation in the offer.</w:t>
            </w:r>
            <w:r>
              <w:rPr>
                <w:noProof/>
                <w:color w:val="000000"/>
                <w:sz w:val="18"/>
                <w:szCs w:val="18"/>
                <w:lang w:eastAsia="en-GB"/>
              </w:rPr>
              <w:t xml:space="preserve"> </w:t>
            </w:r>
            <w:r w:rsidRPr="00665D03">
              <w:rPr>
                <w:noProof/>
                <w:color w:val="0000FF"/>
                <w:sz w:val="18"/>
                <w:szCs w:val="18"/>
                <w:u w:val="single"/>
                <w:lang w:eastAsia="en-GB"/>
              </w:rPr>
              <w:t xml:space="preserve">As information, </w:t>
            </w:r>
            <w:r w:rsidRPr="0016032A">
              <w:rPr>
                <w:noProof/>
                <w:color w:val="0000FF"/>
                <w:sz w:val="18"/>
                <w:szCs w:val="18"/>
                <w:u w:val="single"/>
                <w:lang w:eastAsia="en-GB"/>
              </w:rPr>
              <w:t>Payment is made to a third party who has solicited an entity to take part in the offer.</w:t>
            </w:r>
          </w:p>
        </w:tc>
      </w:tr>
    </w:tbl>
    <w:p w:rsidR="007F0C1D" w:rsidRDefault="007F0C1D" w:rsidP="007F0C1D">
      <w:pPr>
        <w:rPr>
          <w:b/>
          <w:sz w:val="18"/>
          <w:szCs w:val="18"/>
          <w:lang w:val="fr-BE"/>
        </w:rPr>
      </w:pPr>
    </w:p>
    <w:p w:rsidR="007F0C1D" w:rsidRPr="00665D03" w:rsidRDefault="007F0C1D" w:rsidP="007F0C1D">
      <w:pPr>
        <w:rPr>
          <w:b/>
          <w:sz w:val="18"/>
          <w:szCs w:val="18"/>
          <w:lang w:val="fr-BE"/>
        </w:rPr>
      </w:pPr>
      <w:r>
        <w:rPr>
          <w:b/>
          <w:sz w:val="18"/>
          <w:szCs w:val="18"/>
          <w:lang w:val="fr-BE"/>
        </w:rPr>
        <w:t xml:space="preserve">:19a : </w:t>
      </w:r>
      <w:r w:rsidRPr="00665D03">
        <w:rPr>
          <w:b/>
          <w:sz w:val="18"/>
          <w:szCs w:val="18"/>
          <w:lang w:val="fr-BE"/>
        </w:rPr>
        <w:t>Amounts</w:t>
      </w:r>
    </w:p>
    <w:tbl>
      <w:tblPr>
        <w:tblW w:w="4900" w:type="pct"/>
        <w:tblCellSpacing w:w="15" w:type="dxa"/>
        <w:tblCellMar>
          <w:top w:w="75" w:type="dxa"/>
          <w:left w:w="75" w:type="dxa"/>
          <w:bottom w:w="75" w:type="dxa"/>
          <w:right w:w="75" w:type="dxa"/>
        </w:tblCellMar>
        <w:tblLook w:val="04A0"/>
      </w:tblPr>
      <w:tblGrid>
        <w:gridCol w:w="1244"/>
        <w:gridCol w:w="1871"/>
        <w:gridCol w:w="6211"/>
      </w:tblGrid>
      <w:tr w:rsidR="007F0C1D" w:rsidRPr="0016032A" w:rsidTr="007F0C1D">
        <w:trPr>
          <w:tblCellSpacing w:w="15" w:type="dxa"/>
        </w:trPr>
        <w:tc>
          <w:tcPr>
            <w:tcW w:w="642" w:type="pct"/>
            <w:shd w:val="clear" w:color="auto" w:fill="FFFFFF"/>
            <w:hideMark/>
          </w:tcPr>
          <w:p w:rsidR="007F0C1D" w:rsidRPr="00665D03" w:rsidRDefault="007F0C1D" w:rsidP="007F0C1D">
            <w:pPr>
              <w:spacing w:after="0"/>
              <w:rPr>
                <w:strike/>
                <w:color w:val="FF0000"/>
                <w:sz w:val="18"/>
                <w:szCs w:val="18"/>
                <w:lang w:eastAsia="en-GB"/>
              </w:rPr>
            </w:pPr>
            <w:r w:rsidRPr="0016032A">
              <w:rPr>
                <w:strike/>
                <w:color w:val="FF0000"/>
                <w:sz w:val="18"/>
                <w:szCs w:val="18"/>
                <w:lang w:eastAsia="en-GB"/>
              </w:rPr>
              <w:t>INCE</w:t>
            </w:r>
          </w:p>
          <w:p w:rsidR="007F0C1D" w:rsidRPr="0016032A" w:rsidRDefault="007F0C1D" w:rsidP="007F0C1D">
            <w:pPr>
              <w:spacing w:after="0"/>
              <w:rPr>
                <w:color w:val="000000"/>
                <w:sz w:val="18"/>
                <w:szCs w:val="18"/>
                <w:lang w:eastAsia="en-GB"/>
              </w:rPr>
            </w:pPr>
            <w:r>
              <w:rPr>
                <w:color w:val="000000"/>
                <w:sz w:val="18"/>
                <w:szCs w:val="18"/>
                <w:lang w:eastAsia="en-GB"/>
              </w:rPr>
              <w:t>SOFE</w:t>
            </w:r>
          </w:p>
        </w:tc>
        <w:tc>
          <w:tcPr>
            <w:tcW w:w="987" w:type="pct"/>
            <w:shd w:val="clear" w:color="auto" w:fill="FFFFFF"/>
            <w:hideMark/>
          </w:tcPr>
          <w:p w:rsidR="007F0C1D" w:rsidRPr="0016032A" w:rsidRDefault="007F0C1D" w:rsidP="007F0C1D">
            <w:pPr>
              <w:spacing w:after="0"/>
              <w:rPr>
                <w:color w:val="000000"/>
                <w:sz w:val="18"/>
                <w:szCs w:val="18"/>
                <w:lang w:eastAsia="en-GB"/>
              </w:rPr>
            </w:pPr>
            <w:r w:rsidRPr="00875C2E">
              <w:rPr>
                <w:strike/>
                <w:color w:val="FF0000"/>
                <w:sz w:val="18"/>
                <w:szCs w:val="18"/>
                <w:lang w:eastAsia="en-GB"/>
              </w:rPr>
              <w:t>Cash Incentive</w:t>
            </w:r>
            <w:r>
              <w:rPr>
                <w:color w:val="000000"/>
                <w:sz w:val="18"/>
                <w:szCs w:val="18"/>
                <w:lang w:eastAsia="en-GB"/>
              </w:rPr>
              <w:t xml:space="preserve"> </w:t>
            </w:r>
            <w:r w:rsidRPr="00875C2E">
              <w:rPr>
                <w:color w:val="0000FF"/>
                <w:sz w:val="18"/>
                <w:szCs w:val="18"/>
                <w:u w:val="single"/>
                <w:lang w:eastAsia="en-GB"/>
              </w:rPr>
              <w:t>Solicitation Fee</w:t>
            </w:r>
          </w:p>
        </w:tc>
        <w:tc>
          <w:tcPr>
            <w:tcW w:w="3305" w:type="pct"/>
            <w:shd w:val="clear" w:color="auto" w:fill="FFFFFF"/>
            <w:hideMark/>
          </w:tcPr>
          <w:p w:rsidR="007F0C1D" w:rsidRPr="0016032A" w:rsidRDefault="007F0C1D" w:rsidP="007F0C1D">
            <w:pPr>
              <w:spacing w:after="0"/>
              <w:rPr>
                <w:color w:val="000000"/>
                <w:sz w:val="18"/>
                <w:szCs w:val="18"/>
                <w:lang w:eastAsia="en-GB"/>
              </w:rPr>
            </w:pPr>
            <w:r w:rsidRPr="0016032A">
              <w:rPr>
                <w:color w:val="000000"/>
                <w:sz w:val="18"/>
                <w:szCs w:val="18"/>
                <w:lang w:eastAsia="en-GB"/>
              </w:rPr>
              <w:t>Cash premium made available if the securities holder consents or participates to an event, for example consent fees or solicitation fees.</w:t>
            </w:r>
          </w:p>
        </w:tc>
      </w:tr>
      <w:tr w:rsidR="007F0C1D" w:rsidRPr="00665D03" w:rsidTr="007F0C1D">
        <w:trPr>
          <w:tblCellSpacing w:w="15" w:type="dxa"/>
        </w:trPr>
        <w:tc>
          <w:tcPr>
            <w:tcW w:w="642" w:type="pct"/>
            <w:shd w:val="clear" w:color="auto" w:fill="FFFFFF"/>
            <w:hideMark/>
          </w:tcPr>
          <w:p w:rsidR="007F0C1D" w:rsidRDefault="007F0C1D" w:rsidP="007F0C1D">
            <w:pPr>
              <w:spacing w:after="0"/>
              <w:rPr>
                <w:strike/>
                <w:color w:val="FF0000"/>
                <w:sz w:val="18"/>
                <w:szCs w:val="18"/>
                <w:lang w:eastAsia="en-GB"/>
              </w:rPr>
            </w:pPr>
            <w:r w:rsidRPr="0016032A">
              <w:rPr>
                <w:strike/>
                <w:color w:val="FF0000"/>
                <w:sz w:val="18"/>
                <w:szCs w:val="18"/>
                <w:lang w:eastAsia="en-GB"/>
              </w:rPr>
              <w:t>SOFE</w:t>
            </w:r>
            <w:r>
              <w:rPr>
                <w:strike/>
                <w:color w:val="FF0000"/>
                <w:sz w:val="18"/>
                <w:szCs w:val="18"/>
                <w:lang w:eastAsia="en-GB"/>
              </w:rPr>
              <w:t xml:space="preserve"> </w:t>
            </w:r>
          </w:p>
          <w:p w:rsidR="007F0C1D" w:rsidRPr="00C339D4" w:rsidRDefault="007F0C1D" w:rsidP="007F0C1D">
            <w:pPr>
              <w:spacing w:after="0"/>
              <w:rPr>
                <w:b/>
                <w:strike/>
                <w:color w:val="FF0000"/>
                <w:sz w:val="18"/>
                <w:szCs w:val="18"/>
                <w:u w:val="single"/>
                <w:lang w:eastAsia="en-GB"/>
              </w:rPr>
            </w:pPr>
            <w:r w:rsidRPr="00C339D4">
              <w:rPr>
                <w:b/>
                <w:color w:val="000000" w:themeColor="text1"/>
                <w:sz w:val="18"/>
                <w:szCs w:val="18"/>
                <w:u w:val="single"/>
                <w:lang w:eastAsia="en-GB"/>
              </w:rPr>
              <w:t>To be deleted</w:t>
            </w:r>
          </w:p>
        </w:tc>
        <w:tc>
          <w:tcPr>
            <w:tcW w:w="987" w:type="pct"/>
            <w:shd w:val="clear" w:color="auto" w:fill="FFFFFF"/>
            <w:hideMark/>
          </w:tcPr>
          <w:p w:rsidR="007F0C1D" w:rsidRPr="0016032A" w:rsidRDefault="007F0C1D" w:rsidP="007F0C1D">
            <w:pPr>
              <w:spacing w:after="0"/>
              <w:rPr>
                <w:strike/>
                <w:noProof/>
                <w:color w:val="FF0000"/>
                <w:sz w:val="18"/>
                <w:szCs w:val="18"/>
                <w:lang w:eastAsia="en-GB"/>
              </w:rPr>
            </w:pPr>
            <w:r w:rsidRPr="0016032A">
              <w:rPr>
                <w:strike/>
                <w:noProof/>
                <w:color w:val="FF0000"/>
                <w:sz w:val="18"/>
                <w:szCs w:val="18"/>
                <w:lang w:eastAsia="en-GB"/>
              </w:rPr>
              <w:t>Solicitation Fee</w:t>
            </w:r>
          </w:p>
        </w:tc>
        <w:tc>
          <w:tcPr>
            <w:tcW w:w="3305" w:type="pct"/>
            <w:shd w:val="clear" w:color="auto" w:fill="FFFFFF"/>
            <w:hideMark/>
          </w:tcPr>
          <w:p w:rsidR="007F0C1D" w:rsidRPr="0016032A" w:rsidRDefault="007F0C1D" w:rsidP="007F0C1D">
            <w:pPr>
              <w:spacing w:after="0"/>
              <w:rPr>
                <w:strike/>
                <w:noProof/>
                <w:color w:val="FF0000"/>
                <w:sz w:val="18"/>
                <w:szCs w:val="18"/>
                <w:lang w:eastAsia="en-GB"/>
              </w:rPr>
            </w:pPr>
            <w:r w:rsidRPr="0016032A">
              <w:rPr>
                <w:strike/>
                <w:noProof/>
                <w:color w:val="FF0000"/>
                <w:sz w:val="18"/>
                <w:szCs w:val="18"/>
                <w:lang w:eastAsia="en-GB"/>
              </w:rPr>
              <w:t>Amount of cash premium made available in order to encourage participation in the offer. Payment is made to a third party who has solicited an entity to take part in the offer.</w:t>
            </w:r>
          </w:p>
        </w:tc>
      </w:tr>
    </w:tbl>
    <w:p w:rsidR="00665D03" w:rsidRDefault="00665D03" w:rsidP="00665D03">
      <w:pPr>
        <w:rPr>
          <w:sz w:val="18"/>
          <w:szCs w:val="18"/>
          <w:lang w:val="fr-BE"/>
        </w:rPr>
      </w:pPr>
    </w:p>
    <w:p w:rsidR="007F0C1D" w:rsidRPr="00665D03" w:rsidRDefault="007F0C1D" w:rsidP="007F0C1D">
      <w:pPr>
        <w:pStyle w:val="Actions"/>
      </w:pPr>
      <w:r w:rsidRPr="007F0C1D">
        <w:rPr>
          <w:b/>
          <w:u w:val="single"/>
        </w:rPr>
        <w:t>Action</w:t>
      </w:r>
      <w:r>
        <w:t xml:space="preserve"> : </w:t>
      </w:r>
      <w:r w:rsidRPr="001E44C0">
        <w:rPr>
          <w:u w:val="single"/>
        </w:rPr>
        <w:t>Jacques</w:t>
      </w:r>
      <w:r>
        <w:t xml:space="preserve"> to create the related SR2013 CR.</w:t>
      </w:r>
    </w:p>
    <w:p w:rsidR="00F109E9" w:rsidRDefault="004B2F86" w:rsidP="00F109E9">
      <w:pPr>
        <w:pStyle w:val="Heading1"/>
      </w:pPr>
      <w:bookmarkStart w:id="18" w:name="_Toc324436900"/>
      <w:r>
        <w:t>CA 231</w:t>
      </w:r>
      <w:r w:rsidR="00F109E9">
        <w:t xml:space="preserve"> - Interim and Final Dividend</w:t>
      </w:r>
      <w:bookmarkEnd w:id="18"/>
    </w:p>
    <w:p w:rsidR="004B2F86" w:rsidRDefault="004B2F86" w:rsidP="00BD3224">
      <w:r>
        <w:t>Not discussed as such, since US has responded that they use two separate events for interim and final DVCAs</w:t>
      </w:r>
      <w:r w:rsidR="009A56CE">
        <w:t xml:space="preserve"> and t</w:t>
      </w:r>
      <w:r w:rsidR="00BD3224">
        <w:t>his open Item had already been closed</w:t>
      </w:r>
      <w:r w:rsidR="009A56CE">
        <w:t xml:space="preserve"> before</w:t>
      </w:r>
      <w:r w:rsidR="00BD3224">
        <w:t>.</w:t>
      </w:r>
    </w:p>
    <w:p w:rsidR="004B2F86" w:rsidRDefault="004B2F86" w:rsidP="00BD3224">
      <w:pPr>
        <w:pStyle w:val="Actions"/>
      </w:pPr>
      <w:r w:rsidRPr="00BD3224">
        <w:rPr>
          <w:u w:val="single"/>
        </w:rPr>
        <w:t>Action</w:t>
      </w:r>
      <w:r>
        <w:t xml:space="preserve">: </w:t>
      </w:r>
      <w:r w:rsidR="00BD3224" w:rsidRPr="001E44C0">
        <w:rPr>
          <w:u w:val="single"/>
        </w:rPr>
        <w:t>Jacques</w:t>
      </w:r>
      <w:r w:rsidR="00BD3224">
        <w:t xml:space="preserve"> to a</w:t>
      </w:r>
      <w:r>
        <w:t xml:space="preserve">dd to </w:t>
      </w:r>
      <w:smartTag w:uri="urn:schemas-microsoft-com:office:smarttags" w:element="stockticker">
        <w:r>
          <w:t>GMP</w:t>
        </w:r>
      </w:smartTag>
      <w:r>
        <w:t xml:space="preserve">1 </w:t>
      </w:r>
      <w:r w:rsidR="00BD3224">
        <w:t xml:space="preserve">the </w:t>
      </w:r>
      <w:r>
        <w:t>use of the interim/final indicator for LIQU</w:t>
      </w:r>
    </w:p>
    <w:p w:rsidR="004B2F86" w:rsidRDefault="004B2F86" w:rsidP="00F109E9">
      <w:pPr>
        <w:pStyle w:val="Heading1"/>
      </w:pPr>
      <w:bookmarkStart w:id="19" w:name="_Toc324436901"/>
      <w:r>
        <w:t>CA 210</w:t>
      </w:r>
      <w:r w:rsidR="00F109E9">
        <w:t xml:space="preserve"> - Overelection/subcription market practice review</w:t>
      </w:r>
      <w:bookmarkEnd w:id="19"/>
    </w:p>
    <w:p w:rsidR="004B2F86" w:rsidRDefault="004B2F86" w:rsidP="00BD3224">
      <w:r>
        <w:t>Postponed to the May conf</w:t>
      </w:r>
      <w:r w:rsidR="00BD3224">
        <w:t>erence call.</w:t>
      </w:r>
    </w:p>
    <w:p w:rsidR="004B2F86" w:rsidRDefault="004B2F86" w:rsidP="00BD3224">
      <w:pPr>
        <w:pStyle w:val="Actions"/>
      </w:pPr>
      <w:r w:rsidRPr="00BD3224">
        <w:rPr>
          <w:u w:val="single"/>
        </w:rPr>
        <w:t>Action</w:t>
      </w:r>
      <w:r>
        <w:t xml:space="preserve">: </w:t>
      </w:r>
      <w:r w:rsidRPr="00BD3224">
        <w:rPr>
          <w:u w:val="single"/>
        </w:rPr>
        <w:t>Veronique</w:t>
      </w:r>
      <w:r>
        <w:t xml:space="preserve"> to document the discussion in the </w:t>
      </w:r>
      <w:smartTag w:uri="urn:schemas-microsoft-com:office:smarttags" w:element="stockticker">
        <w:r>
          <w:t>GMP</w:t>
        </w:r>
      </w:smartTag>
      <w:r>
        <w:t>1 sub-group and send it to the WG before the conf call</w:t>
      </w:r>
    </w:p>
    <w:p w:rsidR="004B2F86" w:rsidRDefault="004B2F86" w:rsidP="00F109E9">
      <w:pPr>
        <w:pStyle w:val="Heading1"/>
      </w:pPr>
      <w:bookmarkStart w:id="20" w:name="_Toc324436902"/>
      <w:r>
        <w:t>CA 232</w:t>
      </w:r>
      <w:r w:rsidR="00F109E9">
        <w:t xml:space="preserve"> - Pagination MP</w:t>
      </w:r>
      <w:bookmarkEnd w:id="20"/>
    </w:p>
    <w:p w:rsidR="00BD3224" w:rsidRPr="00BD3224" w:rsidRDefault="00BD3224" w:rsidP="00BD3224">
      <w:r>
        <w:t xml:space="preserve">There has been several support questions </w:t>
      </w:r>
      <w:r w:rsidR="00076786">
        <w:t xml:space="preserve">addressed to SWIFT </w:t>
      </w:r>
      <w:r>
        <w:t>lately relative to the usage of the new pagination function for the MT564/568 as to when and how to split the messages.</w:t>
      </w:r>
      <w:r w:rsidR="00076786">
        <w:t xml:space="preserve"> Some guidelines are indeed necessary when there are long list of accounts or long list of options or both. </w:t>
      </w:r>
    </w:p>
    <w:p w:rsidR="004B2F86" w:rsidRDefault="004B2F86" w:rsidP="00BD3224">
      <w:r>
        <w:t>The WG discussed what to do when breaking an MT564 for size reasons</w:t>
      </w:r>
      <w:r w:rsidR="00610D81">
        <w:t>:</w:t>
      </w:r>
    </w:p>
    <w:p w:rsidR="004B2F86" w:rsidRDefault="004B2F86" w:rsidP="00561EF5">
      <w:pPr>
        <w:numPr>
          <w:ilvl w:val="0"/>
          <w:numId w:val="9"/>
        </w:numPr>
        <w:spacing w:after="0"/>
      </w:pPr>
      <w:r>
        <w:t>If sequence B has too many repetitions</w:t>
      </w:r>
      <w:r w:rsidR="00076786">
        <w:t xml:space="preserve"> (Accounts)</w:t>
      </w:r>
    </w:p>
    <w:p w:rsidR="004B2F86" w:rsidRDefault="004B2F86" w:rsidP="00561EF5">
      <w:pPr>
        <w:numPr>
          <w:ilvl w:val="1"/>
          <w:numId w:val="9"/>
        </w:numPr>
        <w:spacing w:after="0"/>
      </w:pPr>
      <w:r>
        <w:lastRenderedPageBreak/>
        <w:t>fill the MT564 with all A, D, E and F sequences and add as many B sequences that can fit, and</w:t>
      </w:r>
      <w:r w:rsidR="00610D81">
        <w:t xml:space="preserve"> (i.e. </w:t>
      </w:r>
      <w:r w:rsidR="004B376B">
        <w:t xml:space="preserve">sequences </w:t>
      </w:r>
      <w:r w:rsidR="00610D81">
        <w:t>A+B1+D+E+F)</w:t>
      </w:r>
    </w:p>
    <w:p w:rsidR="004B2F86" w:rsidRDefault="004B2F86" w:rsidP="00561EF5">
      <w:pPr>
        <w:numPr>
          <w:ilvl w:val="1"/>
          <w:numId w:val="9"/>
        </w:numPr>
        <w:spacing w:after="0"/>
      </w:pPr>
      <w:r>
        <w:t>send all A, D, E and F sequences as in the first MT564 plus the additional B sequences in the next MT564(s)</w:t>
      </w:r>
      <w:r w:rsidR="00610D81">
        <w:t xml:space="preserve"> (i.e. </w:t>
      </w:r>
      <w:r w:rsidR="004B376B">
        <w:t xml:space="preserve">seq. </w:t>
      </w:r>
      <w:r w:rsidR="00610D81">
        <w:t>A+B2+D+E+F followed by A+B3+D+E+F etc…)</w:t>
      </w:r>
    </w:p>
    <w:p w:rsidR="00610D81" w:rsidRDefault="00610D81" w:rsidP="00610D81">
      <w:pPr>
        <w:spacing w:after="0"/>
        <w:ind w:left="720"/>
      </w:pPr>
    </w:p>
    <w:p w:rsidR="004B2F86" w:rsidRDefault="004B2F86" w:rsidP="00561EF5">
      <w:pPr>
        <w:numPr>
          <w:ilvl w:val="0"/>
          <w:numId w:val="9"/>
        </w:numPr>
        <w:spacing w:after="0"/>
      </w:pPr>
      <w:r>
        <w:t>If there are too many E sequences</w:t>
      </w:r>
      <w:r w:rsidR="00076786">
        <w:t xml:space="preserve"> (Options)</w:t>
      </w:r>
    </w:p>
    <w:p w:rsidR="004B2F86" w:rsidRDefault="004B2F86" w:rsidP="00561EF5">
      <w:pPr>
        <w:numPr>
          <w:ilvl w:val="1"/>
          <w:numId w:val="9"/>
        </w:numPr>
        <w:spacing w:after="0"/>
      </w:pPr>
      <w:r>
        <w:t>fill the MT564 with all A, B, D and F sequences and add as many E sequences that can fit, and</w:t>
      </w:r>
      <w:r w:rsidR="00610D81">
        <w:t xml:space="preserve"> (i.e. </w:t>
      </w:r>
      <w:r w:rsidR="004B376B">
        <w:t xml:space="preserve">seq. </w:t>
      </w:r>
      <w:r w:rsidR="00610D81">
        <w:t>A+B+D+E1+F)</w:t>
      </w:r>
    </w:p>
    <w:p w:rsidR="004B2F86" w:rsidRDefault="004B2F86" w:rsidP="00561EF5">
      <w:pPr>
        <w:numPr>
          <w:ilvl w:val="1"/>
          <w:numId w:val="9"/>
        </w:numPr>
        <w:spacing w:after="0"/>
      </w:pPr>
      <w:r>
        <w:t>send all A, B, D and F sequences as in the first MT564 plus the additional E sequences in the next MT564(s)</w:t>
      </w:r>
      <w:r w:rsidR="00610D81">
        <w:t xml:space="preserve"> (i.e. </w:t>
      </w:r>
      <w:r w:rsidR="004B376B">
        <w:t xml:space="preserve">seq. </w:t>
      </w:r>
      <w:r w:rsidR="00610D81">
        <w:t>A+B+D+E2+F followed by A+B+D+E3+F etc…).</w:t>
      </w:r>
    </w:p>
    <w:p w:rsidR="00610D81" w:rsidRDefault="00610D81" w:rsidP="00610D81">
      <w:pPr>
        <w:spacing w:after="0"/>
        <w:ind w:left="1440"/>
      </w:pPr>
    </w:p>
    <w:p w:rsidR="004B2F86" w:rsidRDefault="004B2F86" w:rsidP="00561EF5">
      <w:pPr>
        <w:numPr>
          <w:ilvl w:val="0"/>
          <w:numId w:val="9"/>
        </w:numPr>
        <w:spacing w:after="0"/>
      </w:pPr>
      <w:r>
        <w:t>If there are both too many accounts and options, bulking on an account level is not possible – linking can only be done on an option level</w:t>
      </w:r>
      <w:r w:rsidR="00610D81">
        <w:t>.</w:t>
      </w:r>
    </w:p>
    <w:p w:rsidR="00610D81" w:rsidRDefault="00610D81" w:rsidP="00610D81">
      <w:pPr>
        <w:spacing w:after="0"/>
        <w:ind w:left="720"/>
      </w:pPr>
    </w:p>
    <w:p w:rsidR="00610D81" w:rsidRDefault="00610D81" w:rsidP="00610D81">
      <w:pPr>
        <w:pStyle w:val="Actions"/>
      </w:pPr>
      <w:r w:rsidRPr="00610D81">
        <w:rPr>
          <w:b/>
          <w:u w:val="single"/>
        </w:rPr>
        <w:t>Action</w:t>
      </w:r>
      <w:r>
        <w:t xml:space="preserve">: </w:t>
      </w:r>
      <w:r w:rsidRPr="00610D81">
        <w:rPr>
          <w:u w:val="single"/>
        </w:rPr>
        <w:t>NMPG’s</w:t>
      </w:r>
      <w:r>
        <w:t xml:space="preserve"> to provide feedback on the above proposal</w:t>
      </w:r>
    </w:p>
    <w:p w:rsidR="001A62CF" w:rsidRDefault="004B376B" w:rsidP="001A62CF">
      <w:pPr>
        <w:pStyle w:val="Heading1"/>
      </w:pPr>
      <w:bookmarkStart w:id="21" w:name="_Toc324436903"/>
      <w:r>
        <w:t xml:space="preserve">CA 233 - </w:t>
      </w:r>
      <w:r w:rsidR="001A62CF">
        <w:t>Buyer / Broker Protection Deadline</w:t>
      </w:r>
      <w:bookmarkEnd w:id="21"/>
    </w:p>
    <w:p w:rsidR="00610D81" w:rsidRPr="00610D81" w:rsidRDefault="00610D81" w:rsidP="00610D81">
      <w:r>
        <w:t>Not covered at the meeting.</w:t>
      </w:r>
    </w:p>
    <w:p w:rsidR="004B2F86" w:rsidRDefault="004B2F86" w:rsidP="001A62CF">
      <w:pPr>
        <w:pStyle w:val="Heading1"/>
      </w:pPr>
      <w:bookmarkStart w:id="22" w:name="_Toc324436904"/>
      <w:r>
        <w:t>Additional items</w:t>
      </w:r>
      <w:bookmarkEnd w:id="22"/>
    </w:p>
    <w:p w:rsidR="004B2F86" w:rsidRPr="007F0C1D" w:rsidRDefault="00610D81" w:rsidP="007F0C1D">
      <w:pPr>
        <w:spacing w:before="240"/>
        <w:rPr>
          <w:b/>
          <w:u w:val="single"/>
        </w:rPr>
      </w:pPr>
      <w:r w:rsidRPr="007F0C1D">
        <w:rPr>
          <w:b/>
          <w:u w:val="single"/>
        </w:rPr>
        <w:t xml:space="preserve">18.1 </w:t>
      </w:r>
      <w:r w:rsidR="0028014D" w:rsidRPr="007F0C1D">
        <w:rPr>
          <w:b/>
          <w:u w:val="single"/>
        </w:rPr>
        <w:t xml:space="preserve"> </w:t>
      </w:r>
      <w:r w:rsidR="003D57EB" w:rsidRPr="007F0C1D">
        <w:rPr>
          <w:b/>
          <w:u w:val="single"/>
        </w:rPr>
        <w:t xml:space="preserve">New </w:t>
      </w:r>
      <w:r w:rsidR="0028014D" w:rsidRPr="007F0C1D">
        <w:rPr>
          <w:b/>
          <w:u w:val="single"/>
        </w:rPr>
        <w:t>Market P</w:t>
      </w:r>
      <w:r w:rsidR="004B2F86" w:rsidRPr="007F0C1D">
        <w:rPr>
          <w:b/>
          <w:u w:val="single"/>
        </w:rPr>
        <w:t xml:space="preserve">ractice for </w:t>
      </w:r>
      <w:r w:rsidR="0028014D" w:rsidRPr="007F0C1D">
        <w:rPr>
          <w:b/>
          <w:u w:val="single"/>
        </w:rPr>
        <w:t>the N</w:t>
      </w:r>
      <w:r w:rsidR="003D57EB" w:rsidRPr="007F0C1D">
        <w:rPr>
          <w:b/>
          <w:u w:val="single"/>
        </w:rPr>
        <w:t>ew :22F:CAOP//</w:t>
      </w:r>
      <w:r w:rsidR="004B2F86" w:rsidRPr="007F0C1D">
        <w:rPr>
          <w:b/>
          <w:u w:val="single"/>
        </w:rPr>
        <w:t>PRUN</w:t>
      </w:r>
      <w:r w:rsidR="003D57EB" w:rsidRPr="007F0C1D">
        <w:rPr>
          <w:b/>
          <w:u w:val="single"/>
        </w:rPr>
        <w:t xml:space="preserve"> (“Unknown Proceeds” code) and CAOS</w:t>
      </w:r>
    </w:p>
    <w:p w:rsidR="001E44C0" w:rsidRDefault="0028014D" w:rsidP="0028014D">
      <w:r>
        <w:t>A</w:t>
      </w:r>
      <w:r w:rsidR="003D57EB">
        <w:t xml:space="preserve"> new MP </w:t>
      </w:r>
      <w:r>
        <w:t xml:space="preserve">for PRUN </w:t>
      </w:r>
      <w:r w:rsidR="003D57EB">
        <w:t xml:space="preserve">should be based </w:t>
      </w:r>
      <w:r w:rsidR="004B2F86">
        <w:t xml:space="preserve">on the </w:t>
      </w:r>
      <w:r w:rsidR="003D57EB">
        <w:t xml:space="preserve">new SR2012 UHB </w:t>
      </w:r>
      <w:r w:rsidR="004B2F86">
        <w:t>usage rule:</w:t>
      </w:r>
    </w:p>
    <w:p w:rsidR="004B2F86" w:rsidRDefault="004B2F86" w:rsidP="0028014D">
      <w:r>
        <w:t xml:space="preserve"> ‘</w:t>
      </w:r>
      <w:r w:rsidRPr="001E44C0">
        <w:rPr>
          <w:i/>
        </w:rPr>
        <w:t>When used, the corporate action option code PRUN should be maintained throughout the full lifecycle of the event.’</w:t>
      </w:r>
    </w:p>
    <w:p w:rsidR="004B2F86" w:rsidRDefault="004B2F86" w:rsidP="0028014D">
      <w:r>
        <w:t xml:space="preserve">The MP should clearly state that PRUN is not to be used if the nature of an option will be made known before market deadline; </w:t>
      </w:r>
      <w:r w:rsidR="003D57EB">
        <w:t xml:space="preserve">it should be used </w:t>
      </w:r>
      <w:r>
        <w:t>only in the case where the holder must choose to accept or not without any knowledge of the proceeds.</w:t>
      </w:r>
    </w:p>
    <w:p w:rsidR="00A6356E" w:rsidRDefault="003D57EB" w:rsidP="0028014D">
      <w:r>
        <w:t>A new MP for the use of :22F:OPTF//CAOS is also necessary to mark clearly the difference with “PRUN”. CAOS is for mandatory event with more than one possible option, but</w:t>
      </w:r>
      <w:r w:rsidR="00A6356E">
        <w:t xml:space="preserve"> holder cannot choose which one.</w:t>
      </w:r>
      <w:r>
        <w:t xml:space="preserve"> </w:t>
      </w:r>
    </w:p>
    <w:p w:rsidR="004B2F86" w:rsidRDefault="004B2F86" w:rsidP="00A6356E">
      <w:pPr>
        <w:pStyle w:val="Actions"/>
      </w:pPr>
      <w:r w:rsidRPr="003D57EB">
        <w:rPr>
          <w:u w:val="single"/>
        </w:rPr>
        <w:t>Action</w:t>
      </w:r>
      <w:r w:rsidR="003D57EB">
        <w:t>s</w:t>
      </w:r>
      <w:r>
        <w:t xml:space="preserve">: </w:t>
      </w:r>
      <w:r w:rsidRPr="001E44C0">
        <w:rPr>
          <w:u w:val="single"/>
        </w:rPr>
        <w:t>Christine</w:t>
      </w:r>
      <w:r>
        <w:t xml:space="preserve"> to </w:t>
      </w:r>
      <w:r w:rsidR="003D57EB">
        <w:t>finalise</w:t>
      </w:r>
      <w:r>
        <w:t xml:space="preserve"> the above</w:t>
      </w:r>
      <w:r w:rsidR="003D57EB">
        <w:t xml:space="preserve"> MP proposal</w:t>
      </w:r>
      <w:r w:rsidR="00A6356E">
        <w:t xml:space="preserve"> for PRUN and CAOS</w:t>
      </w:r>
    </w:p>
    <w:p w:rsidR="004B2F86" w:rsidRPr="007F0C1D" w:rsidRDefault="004F24AC" w:rsidP="007F0C1D">
      <w:pPr>
        <w:spacing w:before="240"/>
        <w:rPr>
          <w:b/>
          <w:u w:val="single"/>
        </w:rPr>
      </w:pPr>
      <w:r w:rsidRPr="007F0C1D">
        <w:rPr>
          <w:b/>
          <w:u w:val="single"/>
        </w:rPr>
        <w:t xml:space="preserve">18.2 </w:t>
      </w:r>
      <w:r w:rsidR="0028014D" w:rsidRPr="007F0C1D">
        <w:rPr>
          <w:b/>
          <w:u w:val="single"/>
        </w:rPr>
        <w:t xml:space="preserve"> Third Party O</w:t>
      </w:r>
      <w:r w:rsidR="004B2F86" w:rsidRPr="007F0C1D">
        <w:rPr>
          <w:b/>
          <w:u w:val="single"/>
        </w:rPr>
        <w:t xml:space="preserve">ffer </w:t>
      </w:r>
      <w:r w:rsidRPr="007F0C1D">
        <w:rPr>
          <w:b/>
          <w:u w:val="single"/>
        </w:rPr>
        <w:t xml:space="preserve">(“Junk offers”) </w:t>
      </w:r>
      <w:r w:rsidR="004B2F86" w:rsidRPr="007F0C1D">
        <w:rPr>
          <w:b/>
          <w:u w:val="single"/>
        </w:rPr>
        <w:t xml:space="preserve">vs. a </w:t>
      </w:r>
      <w:r w:rsidR="0028014D" w:rsidRPr="007F0C1D">
        <w:rPr>
          <w:b/>
          <w:u w:val="single"/>
        </w:rPr>
        <w:t>Regular Tender O</w:t>
      </w:r>
      <w:r w:rsidR="004B2F86" w:rsidRPr="007F0C1D">
        <w:rPr>
          <w:b/>
          <w:u w:val="single"/>
        </w:rPr>
        <w:t>ffer</w:t>
      </w:r>
    </w:p>
    <w:p w:rsidR="004B2F86" w:rsidRDefault="004B2F86" w:rsidP="0028014D">
      <w:r w:rsidRPr="0028014D">
        <w:t>A third part offer is an “offer” from a broker to purchase shares from holders, without making it a</w:t>
      </w:r>
      <w:r w:rsidR="0008767E">
        <w:t>n actual</w:t>
      </w:r>
      <w:r>
        <w:t xml:space="preserve"> tender offer</w:t>
      </w:r>
      <w:r w:rsidR="0008767E">
        <w:t>.</w:t>
      </w:r>
    </w:p>
    <w:p w:rsidR="0008767E" w:rsidRDefault="0008767E" w:rsidP="0028014D">
      <w:r>
        <w:t>These 2 kind of tenders cannot be easily distinguished in the flow of TEND events whilst there is a need to make the difference between the “real” TEND and those “faked” ones. Sometime the indicator :22F:OFFE//MINI is used for the “faked” tenders but ideally the difference should be made at the higher level of the message so as to filter them out more easily.</w:t>
      </w:r>
    </w:p>
    <w:p w:rsidR="004B2F86" w:rsidRDefault="004B2F86" w:rsidP="0028014D">
      <w:pPr>
        <w:pStyle w:val="Actions"/>
      </w:pPr>
      <w:r w:rsidRPr="0028014D">
        <w:rPr>
          <w:u w:val="single"/>
        </w:rPr>
        <w:t>Action</w:t>
      </w:r>
      <w:r>
        <w:t>: NMPGs requested to investigate if this is applicable in t</w:t>
      </w:r>
      <w:r w:rsidR="0008767E">
        <w:t xml:space="preserve">heir markets and if so, how those actual and </w:t>
      </w:r>
      <w:r w:rsidR="001E44C0">
        <w:t>“</w:t>
      </w:r>
      <w:r w:rsidR="0008767E">
        <w:t>faked</w:t>
      </w:r>
      <w:r w:rsidR="001E44C0">
        <w:t>”</w:t>
      </w:r>
      <w:r w:rsidR="0008767E">
        <w:t xml:space="preserve"> TEND</w:t>
      </w:r>
      <w:r>
        <w:t xml:space="preserve"> are processed</w:t>
      </w:r>
      <w:r w:rsidR="0008767E">
        <w:t xml:space="preserve"> ? How do they detect the difference between both ?</w:t>
      </w:r>
    </w:p>
    <w:p w:rsidR="004B2F86" w:rsidRPr="007F0C1D" w:rsidRDefault="006E5FAB" w:rsidP="007F0C1D">
      <w:pPr>
        <w:spacing w:before="240"/>
        <w:rPr>
          <w:b/>
          <w:u w:val="single"/>
        </w:rPr>
      </w:pPr>
      <w:r w:rsidRPr="007F0C1D">
        <w:rPr>
          <w:b/>
          <w:u w:val="single"/>
        </w:rPr>
        <w:t xml:space="preserve">18.3  </w:t>
      </w:r>
      <w:r w:rsidR="004B2F86" w:rsidRPr="007F0C1D">
        <w:rPr>
          <w:b/>
          <w:u w:val="single"/>
        </w:rPr>
        <w:t xml:space="preserve">MQSO and QTSO </w:t>
      </w:r>
      <w:r w:rsidR="004C09AB" w:rsidRPr="007F0C1D">
        <w:rPr>
          <w:b/>
          <w:u w:val="single"/>
        </w:rPr>
        <w:t xml:space="preserve">Seq D. New Usage Rule Clarification Request </w:t>
      </w:r>
      <w:r w:rsidR="004B2F86" w:rsidRPr="007F0C1D">
        <w:rPr>
          <w:b/>
          <w:u w:val="single"/>
        </w:rPr>
        <w:t xml:space="preserve">from </w:t>
      </w:r>
      <w:r w:rsidR="004C09AB" w:rsidRPr="007F0C1D">
        <w:rPr>
          <w:b/>
          <w:u w:val="single"/>
        </w:rPr>
        <w:t>ISITC</w:t>
      </w:r>
    </w:p>
    <w:p w:rsidR="00155A05" w:rsidRPr="00155A05" w:rsidRDefault="00155A05" w:rsidP="00155A05">
      <w:r>
        <w:t>Question from ISITC about the following usage rule:</w:t>
      </w:r>
    </w:p>
    <w:p w:rsidR="00155A05" w:rsidRPr="00155A05" w:rsidRDefault="00155A05" w:rsidP="00155A05">
      <w:pPr>
        <w:pStyle w:val="BlockText"/>
        <w:jc w:val="left"/>
        <w:rPr>
          <w:sz w:val="20"/>
          <w:u w:val="single"/>
        </w:rPr>
      </w:pPr>
      <w:r w:rsidRPr="00155A05">
        <w:rPr>
          <w:sz w:val="20"/>
          <w:u w:val="single"/>
        </w:rPr>
        <w:t>Usage Rule in SRG 2012 for Seq. D :36a: Quantity of Financial Instrument</w:t>
      </w:r>
    </w:p>
    <w:p w:rsidR="00155A05" w:rsidRDefault="00155A05" w:rsidP="00097370">
      <w:r w:rsidRPr="00097370">
        <w:t>When MQSO is present, QTSO must be present too. When QTSO is present, MQSO must be</w:t>
      </w:r>
      <w:r w:rsidRPr="004C09AB">
        <w:t xml:space="preserve"> present too. When MQSO is used with option </w:t>
      </w:r>
      <w:r w:rsidRPr="00155A05">
        <w:rPr>
          <w:strike/>
          <w:color w:val="FF0000"/>
        </w:rPr>
        <w:t>B</w:t>
      </w:r>
      <w:r w:rsidRPr="00155A05">
        <w:t>C</w:t>
      </w:r>
      <w:r w:rsidRPr="004C09AB">
        <w:t xml:space="preserve"> with the value ANYA (Any and all), then QTSO must not be </w:t>
      </w:r>
      <w:r w:rsidRPr="004C09AB">
        <w:lastRenderedPageBreak/>
        <w:t xml:space="preserve">used with the value ANYA. When QTSO is used with option </w:t>
      </w:r>
      <w:r w:rsidRPr="00155A05">
        <w:rPr>
          <w:strike/>
          <w:color w:val="FF0000"/>
        </w:rPr>
        <w:t>B</w:t>
      </w:r>
      <w:r w:rsidRPr="00155A05">
        <w:t>C</w:t>
      </w:r>
      <w:r>
        <w:t xml:space="preserve"> </w:t>
      </w:r>
      <w:r w:rsidRPr="004C09AB">
        <w:t>with the value ANYA, MQSO must not be used with the value ANYA.</w:t>
      </w:r>
    </w:p>
    <w:p w:rsidR="004C09AB" w:rsidRDefault="004C09AB" w:rsidP="004C09AB">
      <w:pPr>
        <w:pStyle w:val="BlockText"/>
        <w:jc w:val="left"/>
        <w:rPr>
          <w:sz w:val="20"/>
        </w:rPr>
      </w:pPr>
      <w:r w:rsidRPr="00155A05">
        <w:rPr>
          <w:sz w:val="20"/>
          <w:u w:val="single"/>
        </w:rPr>
        <w:t>Question from ISITC</w:t>
      </w:r>
      <w:r>
        <w:rPr>
          <w:sz w:val="20"/>
        </w:rPr>
        <w:t xml:space="preserve">: </w:t>
      </w:r>
    </w:p>
    <w:p w:rsidR="004C09AB" w:rsidRDefault="004C09AB" w:rsidP="004C09AB">
      <w:pPr>
        <w:pStyle w:val="BlockText"/>
        <w:jc w:val="left"/>
        <w:rPr>
          <w:i/>
        </w:rPr>
      </w:pPr>
      <w:r w:rsidRPr="004C09AB">
        <w:rPr>
          <w:i/>
          <w:sz w:val="20"/>
        </w:rPr>
        <w:t>ISITC understands that minimum and maximum have to be used together. When the minimum quantity is set but there is no limit on the maximum quantity it is recommended to show both. For example QTSO//500000, with MQSO//ANYA (same is true for the reverse i</w:t>
      </w:r>
      <w:r w:rsidR="0023157A">
        <w:rPr>
          <w:i/>
          <w:sz w:val="20"/>
        </w:rPr>
        <w:t>f no minimum set, but have a max</w:t>
      </w:r>
      <w:r w:rsidRPr="004C09AB">
        <w:rPr>
          <w:i/>
          <w:sz w:val="20"/>
        </w:rPr>
        <w:t xml:space="preserve"> quantity).</w:t>
      </w:r>
      <w:r w:rsidRPr="004C09AB">
        <w:rPr>
          <w:i/>
        </w:rPr>
        <w:t xml:space="preserve"> </w:t>
      </w:r>
      <w:r w:rsidRPr="004C09AB">
        <w:rPr>
          <w:i/>
        </w:rPr>
        <w:br/>
      </w:r>
      <w:r w:rsidRPr="004C09AB">
        <w:rPr>
          <w:i/>
          <w:sz w:val="20"/>
        </w:rPr>
        <w:t xml:space="preserve">If the scenario exists where there is no minimum or maximum quantity, the fields would not be present on the message since the usage rule status that ANYA </w:t>
      </w:r>
      <w:r w:rsidR="0023157A" w:rsidRPr="004C09AB">
        <w:rPr>
          <w:i/>
          <w:sz w:val="20"/>
        </w:rPr>
        <w:t>cannot</w:t>
      </w:r>
      <w:r w:rsidRPr="004C09AB">
        <w:rPr>
          <w:i/>
          <w:sz w:val="20"/>
        </w:rPr>
        <w:t xml:space="preserve"> be used with both min and max. Is that correct? Or could just one be reported as ANYA?</w:t>
      </w:r>
      <w:r w:rsidRPr="004C09AB">
        <w:rPr>
          <w:i/>
        </w:rPr>
        <w:t xml:space="preserve"> </w:t>
      </w:r>
    </w:p>
    <w:p w:rsidR="004C09AB" w:rsidRPr="00155A05" w:rsidRDefault="004C09AB" w:rsidP="004C09AB">
      <w:pPr>
        <w:pStyle w:val="BlockText"/>
        <w:rPr>
          <w:sz w:val="20"/>
          <w:u w:val="single"/>
        </w:rPr>
      </w:pPr>
      <w:r w:rsidRPr="00155A05">
        <w:rPr>
          <w:sz w:val="20"/>
          <w:u w:val="single"/>
        </w:rPr>
        <w:t>Answer:</w:t>
      </w:r>
    </w:p>
    <w:p w:rsidR="004C09AB" w:rsidRDefault="004C09AB" w:rsidP="004C09AB">
      <w:pPr>
        <w:pStyle w:val="BlockText"/>
        <w:rPr>
          <w:sz w:val="20"/>
        </w:rPr>
      </w:pPr>
      <w:r w:rsidRPr="00155A05">
        <w:rPr>
          <w:sz w:val="20"/>
        </w:rPr>
        <w:t>If there is no minimum or maximum quantity, the fields are not to be included indeed.</w:t>
      </w:r>
    </w:p>
    <w:p w:rsidR="00155A05" w:rsidRPr="00155A05" w:rsidRDefault="00155A05" w:rsidP="00155A05">
      <w:pPr>
        <w:rPr>
          <w:b/>
          <w:u w:val="single"/>
        </w:rPr>
      </w:pPr>
      <w:r w:rsidRPr="00155A05">
        <w:rPr>
          <w:b/>
          <w:u w:val="single"/>
        </w:rPr>
        <w:t xml:space="preserve">Note that </w:t>
      </w:r>
      <w:r>
        <w:rPr>
          <w:b/>
          <w:u w:val="single"/>
        </w:rPr>
        <w:t>the current rule in the SRG 20012 has a typo concerning “Option B” which must be replaced by “Option C” (as illustrated above) in 2 occurrences.</w:t>
      </w:r>
    </w:p>
    <w:p w:rsidR="006E5FAB" w:rsidRPr="007F0C1D" w:rsidRDefault="00B47358" w:rsidP="007F0C1D">
      <w:pPr>
        <w:spacing w:before="240"/>
        <w:rPr>
          <w:b/>
          <w:u w:val="single"/>
        </w:rPr>
      </w:pPr>
      <w:r w:rsidRPr="007F0C1D">
        <w:rPr>
          <w:b/>
          <w:u w:val="single"/>
        </w:rPr>
        <w:t>18.4 Clarification on the use of NEWM</w:t>
      </w:r>
    </w:p>
    <w:p w:rsidR="004B2F86" w:rsidRDefault="004B2F86" w:rsidP="00B47358">
      <w:r>
        <w:t xml:space="preserve">Sonda requested a clarification in </w:t>
      </w:r>
      <w:smartTag w:uri="urn:schemas-microsoft-com:office:smarttags" w:element="stockticker">
        <w:r>
          <w:t>GMP</w:t>
        </w:r>
      </w:smartTag>
      <w:r>
        <w:t xml:space="preserve">1 on </w:t>
      </w:r>
      <w:r w:rsidR="001E44C0">
        <w:t xml:space="preserve">the </w:t>
      </w:r>
      <w:r>
        <w:t xml:space="preserve">use of </w:t>
      </w:r>
      <w:r w:rsidR="001E44C0">
        <w:t>“</w:t>
      </w:r>
      <w:r>
        <w:t>NEWM</w:t>
      </w:r>
      <w:r w:rsidR="001E44C0">
        <w:t>”</w:t>
      </w:r>
      <w:r>
        <w:t xml:space="preserve"> when a new recipient/account </w:t>
      </w:r>
      <w:r w:rsidRPr="00B47358">
        <w:t>buys the underlying security of an ongoing event at REPL stage</w:t>
      </w:r>
      <w:r w:rsidR="001E44C0">
        <w:t xml:space="preserve">. </w:t>
      </w:r>
    </w:p>
    <w:p w:rsidR="001E44C0" w:rsidRPr="00B47358" w:rsidRDefault="00F20BB9" w:rsidP="00B47358">
      <w:r>
        <w:t xml:space="preserve">It is confirmed that the REPL message must be sent as a NEWM for these new recipients. </w:t>
      </w:r>
    </w:p>
    <w:p w:rsidR="00B47358" w:rsidRPr="007F0C1D" w:rsidRDefault="00B47358" w:rsidP="007F0C1D">
      <w:pPr>
        <w:spacing w:before="240"/>
        <w:rPr>
          <w:b/>
          <w:u w:val="single"/>
        </w:rPr>
      </w:pPr>
      <w:r w:rsidRPr="007F0C1D">
        <w:rPr>
          <w:b/>
          <w:u w:val="single"/>
        </w:rPr>
        <w:t>18.5 COAF</w:t>
      </w:r>
    </w:p>
    <w:p w:rsidR="004B2F86" w:rsidRDefault="004B2F86" w:rsidP="00B47358">
      <w:r>
        <w:t xml:space="preserve">Andreana raised the issue of COAF in </w:t>
      </w:r>
      <w:smartTag w:uri="urn:schemas-microsoft-com:office:smarttags" w:element="stockticker">
        <w:r>
          <w:t>ISO</w:t>
        </w:r>
      </w:smartTag>
      <w:r>
        <w:t xml:space="preserve"> 20022, where the field length is 35x. The same rule as for CORP should be applied, i.e. 16x</w:t>
      </w:r>
      <w:r w:rsidR="00F20BB9">
        <w:t xml:space="preserve"> only.</w:t>
      </w:r>
    </w:p>
    <w:p w:rsidR="004B2F86" w:rsidRDefault="004B2F86" w:rsidP="00B47358">
      <w:r>
        <w:t xml:space="preserve">Sonda raised a question regarding use of COAF from account servicers in markets where there is no official source; is there anything we should clarify in </w:t>
      </w:r>
      <w:smartTag w:uri="urn:schemas-microsoft-com:office:smarttags" w:element="stockticker">
        <w:r>
          <w:t>GMP</w:t>
        </w:r>
      </w:smartTag>
      <w:r>
        <w:t>1?</w:t>
      </w:r>
      <w:r w:rsidR="00F20BB9">
        <w:t xml:space="preserve"> Answer: </w:t>
      </w:r>
      <w:r>
        <w:t>No, the MP seems quite clear.</w:t>
      </w:r>
    </w:p>
    <w:p w:rsidR="00B47358" w:rsidRPr="007F0C1D" w:rsidRDefault="00B47358" w:rsidP="007F0C1D">
      <w:pPr>
        <w:spacing w:before="240"/>
        <w:rPr>
          <w:b/>
          <w:u w:val="single"/>
        </w:rPr>
      </w:pPr>
      <w:r w:rsidRPr="007F0C1D">
        <w:rPr>
          <w:b/>
          <w:u w:val="single"/>
        </w:rPr>
        <w:t>18.6 Last Trading Date</w:t>
      </w:r>
    </w:p>
    <w:p w:rsidR="004B2F86" w:rsidRDefault="004B2F86" w:rsidP="00B47358">
      <w:r>
        <w:t xml:space="preserve">Question from Michael/CH regarding </w:t>
      </w:r>
      <w:r w:rsidR="00B47358">
        <w:t>“</w:t>
      </w:r>
      <w:r>
        <w:t>last trading date</w:t>
      </w:r>
      <w:r w:rsidR="00B47358">
        <w:t>”</w:t>
      </w:r>
      <w:r>
        <w:t xml:space="preserve"> of a</w:t>
      </w:r>
      <w:r w:rsidR="00B47358">
        <w:t xml:space="preserve">n underlying </w:t>
      </w:r>
      <w:r>
        <w:t>security that will be replaced (with cash and/or securities)</w:t>
      </w:r>
    </w:p>
    <w:p w:rsidR="004B2F86" w:rsidRDefault="004B2F86" w:rsidP="00B47358">
      <w:pPr>
        <w:pStyle w:val="Actions"/>
      </w:pPr>
      <w:r w:rsidRPr="00B47358">
        <w:rPr>
          <w:u w:val="single"/>
        </w:rPr>
        <w:t>Action</w:t>
      </w:r>
      <w:r>
        <w:t xml:space="preserve">: </w:t>
      </w:r>
      <w:r w:rsidRPr="00B47358">
        <w:rPr>
          <w:u w:val="single"/>
        </w:rPr>
        <w:t>Christine</w:t>
      </w:r>
      <w:r>
        <w:t xml:space="preserve"> to write a CR on behalf of the CAJWG and the SMPG</w:t>
      </w:r>
      <w:r w:rsidR="00B6248B">
        <w:t xml:space="preserve"> on this issue.</w:t>
      </w:r>
    </w:p>
    <w:p w:rsidR="00B47358" w:rsidRPr="007F0C1D" w:rsidRDefault="00B47358" w:rsidP="007F0C1D">
      <w:pPr>
        <w:spacing w:before="240"/>
        <w:rPr>
          <w:b/>
          <w:u w:val="single"/>
        </w:rPr>
      </w:pPr>
      <w:r w:rsidRPr="007F0C1D">
        <w:rPr>
          <w:b/>
          <w:u w:val="single"/>
        </w:rPr>
        <w:t>18.7 Buyer Protection Deadline in UK</w:t>
      </w:r>
    </w:p>
    <w:p w:rsidR="004B2F86" w:rsidRDefault="004B2F86" w:rsidP="00B47358">
      <w:r>
        <w:t xml:space="preserve">Question from Mari regarding buyer protection deadline in </w:t>
      </w:r>
      <w:smartTag w:uri="urn:schemas-microsoft-com:office:smarttags" w:element="country-region">
        <w:smartTag w:uri="urn:schemas-microsoft-com:office:smarttags" w:element="place">
          <w:r>
            <w:t>UK</w:t>
          </w:r>
        </w:smartTag>
      </w:smartTag>
    </w:p>
    <w:p w:rsidR="004B2F86" w:rsidRDefault="004B2F86" w:rsidP="00B47358">
      <w:r>
        <w:t>Response from Christine: The current rules in the UK is against the CAJWG standards, so Christine will not write a CR for this. The UK market can do this if they choose</w:t>
      </w:r>
      <w:r w:rsidR="00B47358">
        <w:t xml:space="preserve"> to do so.</w:t>
      </w:r>
    </w:p>
    <w:p w:rsidR="004B2F86" w:rsidRDefault="004B2F86" w:rsidP="001A62CF">
      <w:pPr>
        <w:pStyle w:val="Heading1"/>
      </w:pPr>
      <w:bookmarkStart w:id="23" w:name="_Toc324436905"/>
      <w:r>
        <w:t>GMP1</w:t>
      </w:r>
      <w:r w:rsidR="00B6248B">
        <w:t xml:space="preserve"> Subgroup Status Report (</w:t>
      </w:r>
      <w:r w:rsidRPr="004A4929">
        <w:t>Veronique</w:t>
      </w:r>
      <w:r w:rsidR="00B6248B">
        <w:t>)</w:t>
      </w:r>
      <w:bookmarkEnd w:id="23"/>
    </w:p>
    <w:p w:rsidR="004B2F86" w:rsidRDefault="004B2F86" w:rsidP="00B47358">
      <w:r>
        <w:t>The group has been inactive</w:t>
      </w:r>
      <w:r w:rsidR="00B47358">
        <w:t xml:space="preserve"> after the </w:t>
      </w:r>
      <w:r w:rsidR="0023157A">
        <w:t>finalization</w:t>
      </w:r>
      <w:r w:rsidR="00B47358">
        <w:t xml:space="preserve"> of the GMP Part 1 review for SR2012.</w:t>
      </w:r>
    </w:p>
    <w:p w:rsidR="004B2F86" w:rsidRDefault="004B2F86" w:rsidP="00B47358">
      <w:r>
        <w:t>See Veronique’s action in CA 210</w:t>
      </w:r>
    </w:p>
    <w:p w:rsidR="004B2F86" w:rsidRDefault="004B2F86" w:rsidP="00B47358">
      <w:r>
        <w:t xml:space="preserve">See Christine’s two new actions for </w:t>
      </w:r>
      <w:smartTag w:uri="urn:schemas-microsoft-com:office:smarttags" w:element="stockticker">
        <w:r>
          <w:t>GMP</w:t>
        </w:r>
      </w:smartTag>
      <w:r>
        <w:t>1 in Additional items</w:t>
      </w:r>
    </w:p>
    <w:p w:rsidR="004B2F86" w:rsidRDefault="00B6248B" w:rsidP="001A62CF">
      <w:pPr>
        <w:pStyle w:val="Heading1"/>
      </w:pPr>
      <w:bookmarkStart w:id="24" w:name="_Toc324436906"/>
      <w:r>
        <w:t>Tax Subgroup Status Report (</w:t>
      </w:r>
      <w:r w:rsidR="004B2F86" w:rsidRPr="004A4929">
        <w:t>Bernard</w:t>
      </w:r>
      <w:r>
        <w:t>)</w:t>
      </w:r>
      <w:bookmarkEnd w:id="24"/>
    </w:p>
    <w:p w:rsidR="004B2F86" w:rsidRDefault="004B2F86" w:rsidP="00B47358">
      <w:r>
        <w:t>In the last call, a matrix was sent but no feedback has been received</w:t>
      </w:r>
    </w:p>
    <w:p w:rsidR="004B2F86" w:rsidRPr="004A4929" w:rsidRDefault="004B2F86" w:rsidP="00B47358">
      <w:r>
        <w:t>A conf call was planned, but has been cancelled. Feedback to be sent to Kim/Jean-Pierre via email</w:t>
      </w:r>
    </w:p>
    <w:p w:rsidR="004B2F86" w:rsidRPr="004A4929" w:rsidRDefault="004B2F86" w:rsidP="001A62CF">
      <w:pPr>
        <w:pStyle w:val="Heading1"/>
      </w:pPr>
      <w:bookmarkStart w:id="25" w:name="_Toc324436907"/>
      <w:r w:rsidRPr="004A4929">
        <w:lastRenderedPageBreak/>
        <w:t>Prox</w:t>
      </w:r>
      <w:r w:rsidR="00B6248B">
        <w:t>y Voting Subgroup Status Report (</w:t>
      </w:r>
      <w:r w:rsidRPr="004A4929">
        <w:t>Christine</w:t>
      </w:r>
      <w:r w:rsidR="00B6248B">
        <w:t>)</w:t>
      </w:r>
      <w:bookmarkEnd w:id="25"/>
    </w:p>
    <w:p w:rsidR="004B2F86" w:rsidRDefault="004B2F86" w:rsidP="00B47358">
      <w:r>
        <w:t>The ISS and Broadridge representatives will likely co-chair the group</w:t>
      </w:r>
    </w:p>
    <w:p w:rsidR="004B2F86" w:rsidRPr="004A4929" w:rsidRDefault="004B2F86" w:rsidP="00B47358">
      <w:r>
        <w:t>This proposal was accepted by the WG</w:t>
      </w:r>
      <w:r w:rsidR="00B47358">
        <w:t>.</w:t>
      </w:r>
    </w:p>
    <w:p w:rsidR="001A62CF" w:rsidRDefault="00B47358" w:rsidP="001A62CF">
      <w:pPr>
        <w:pStyle w:val="Heading1"/>
      </w:pPr>
      <w:bookmarkStart w:id="26" w:name="_Toc324436908"/>
      <w:bookmarkEnd w:id="4"/>
      <w:bookmarkEnd w:id="5"/>
      <w:r>
        <w:t xml:space="preserve">Contribution of the CA WG </w:t>
      </w:r>
      <w:r w:rsidR="001A62CF">
        <w:t xml:space="preserve">to </w:t>
      </w:r>
      <w:r>
        <w:t xml:space="preserve">a new </w:t>
      </w:r>
      <w:r w:rsidR="001A62CF">
        <w:t>SMPG presentation</w:t>
      </w:r>
      <w:bookmarkEnd w:id="26"/>
    </w:p>
    <w:p w:rsidR="007F0C1D" w:rsidRDefault="007F0C1D" w:rsidP="007F0C1D">
      <w:r>
        <w:t>Armin Bor</w:t>
      </w:r>
      <w:r w:rsidR="0023157A">
        <w:t>r</w:t>
      </w:r>
      <w:r>
        <w:t xml:space="preserve">ies presents his proposal to completely </w:t>
      </w:r>
      <w:r w:rsidR="00230BC8">
        <w:t xml:space="preserve">review the official SMPG </w:t>
      </w:r>
      <w:r w:rsidR="0023157A">
        <w:t>PowerPoint</w:t>
      </w:r>
      <w:r w:rsidR="00230BC8">
        <w:t xml:space="preserve"> presentation (posted on the smpg.info site  - which is a bit outdated today in terms of contents and layout) so as to make it also more comprehensive in terms of contents and more appealing. </w:t>
      </w:r>
    </w:p>
    <w:p w:rsidR="00230BC8" w:rsidRDefault="00230BC8" w:rsidP="007F0C1D">
      <w:r>
        <w:t>SWIFT has already proposed that their “communication department” works on a new and refreshed layout.</w:t>
      </w:r>
    </w:p>
    <w:p w:rsidR="007F0C1D" w:rsidRDefault="00230BC8" w:rsidP="00230BC8">
      <w:r>
        <w:t xml:space="preserve">For the contents parts relevant to </w:t>
      </w:r>
      <w:r w:rsidR="0024663A">
        <w:t>each</w:t>
      </w:r>
      <w:r>
        <w:t xml:space="preserve"> WG, Armin asks that each group provides input for the presentation </w:t>
      </w:r>
      <w:r w:rsidR="0024663A">
        <w:t xml:space="preserve">in the form of 1 or 2 slides accompanied preferably by notes providing some more background (instead of simply reading slides). </w:t>
      </w:r>
    </w:p>
    <w:p w:rsidR="0024663A" w:rsidRDefault="0073707E" w:rsidP="00230BC8">
      <w:r>
        <w:t>It is up to each WG to decide what they want to put in the slides eg. highlight the scope of work, past achievements and  what’s ahead etc..</w:t>
      </w:r>
    </w:p>
    <w:p w:rsidR="0024663A" w:rsidRPr="0073707E" w:rsidRDefault="0073707E" w:rsidP="00230BC8">
      <w:pPr>
        <w:rPr>
          <w:color w:val="FF0000"/>
        </w:rPr>
      </w:pPr>
      <w:r w:rsidRPr="0073707E">
        <w:rPr>
          <w:color w:val="FF0000"/>
          <w:u w:val="single"/>
        </w:rPr>
        <w:t>Action</w:t>
      </w:r>
      <w:r>
        <w:rPr>
          <w:color w:val="FF0000"/>
          <w:u w:val="single"/>
        </w:rPr>
        <w:t>s</w:t>
      </w:r>
      <w:r w:rsidRPr="0073707E">
        <w:rPr>
          <w:color w:val="FF0000"/>
        </w:rPr>
        <w:t xml:space="preserve">: </w:t>
      </w:r>
      <w:r>
        <w:rPr>
          <w:color w:val="FF0000"/>
        </w:rPr>
        <w:t>Still to be defined (who and what).</w:t>
      </w:r>
    </w:p>
    <w:p w:rsidR="00650C44" w:rsidRPr="00B47358" w:rsidRDefault="00650C44" w:rsidP="00B47358">
      <w:pPr>
        <w:pStyle w:val="BlockText"/>
        <w:rPr>
          <w:b/>
        </w:rPr>
      </w:pPr>
      <w:r>
        <w:rPr>
          <w:b/>
        </w:rPr>
        <w:t xml:space="preserve">------------------------ </w:t>
      </w:r>
      <w:r w:rsidRPr="003C599B">
        <w:rPr>
          <w:b/>
        </w:rPr>
        <w:t xml:space="preserve">End of the </w:t>
      </w:r>
      <w:r>
        <w:rPr>
          <w:b/>
        </w:rPr>
        <w:t>Meeting Minutes -----------------</w:t>
      </w:r>
    </w:p>
    <w:sectPr w:rsidR="00650C44" w:rsidRPr="00B47358" w:rsidSect="002322DE">
      <w:headerReference w:type="even" r:id="rId25"/>
      <w:headerReference w:type="default" r:id="rId26"/>
      <w:headerReference w:type="first" r:id="rId27"/>
      <w:pgSz w:w="12240" w:h="15840"/>
      <w:pgMar w:top="1296" w:right="1350" w:bottom="72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4C3" w:rsidRDefault="005C54C3" w:rsidP="00592037">
      <w:r>
        <w:separator/>
      </w:r>
    </w:p>
    <w:p w:rsidR="005C54C3" w:rsidRDefault="005C54C3" w:rsidP="00592037"/>
  </w:endnote>
  <w:endnote w:type="continuationSeparator" w:id="0">
    <w:p w:rsidR="005C54C3" w:rsidRDefault="005C54C3" w:rsidP="00592037">
      <w:r>
        <w:continuationSeparator/>
      </w:r>
    </w:p>
    <w:p w:rsidR="005C54C3" w:rsidRDefault="005C54C3" w:rsidP="0059203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3" w:rsidRDefault="00EB51C4" w:rsidP="00592037">
    <w:pPr>
      <w:pStyle w:val="Footer"/>
      <w:rPr>
        <w:rStyle w:val="PageNumber"/>
      </w:rPr>
    </w:pPr>
    <w:r>
      <w:rPr>
        <w:rStyle w:val="PageNumber"/>
      </w:rPr>
      <w:fldChar w:fldCharType="begin"/>
    </w:r>
    <w:r w:rsidR="005C54C3">
      <w:rPr>
        <w:rStyle w:val="PageNumber"/>
      </w:rPr>
      <w:instrText xml:space="preserve">PAGE  </w:instrText>
    </w:r>
    <w:r>
      <w:rPr>
        <w:rStyle w:val="PageNumber"/>
      </w:rPr>
      <w:fldChar w:fldCharType="separate"/>
    </w:r>
    <w:r w:rsidR="005C54C3">
      <w:rPr>
        <w:rStyle w:val="PageNumber"/>
        <w:noProof/>
      </w:rPr>
      <w:t>1</w:t>
    </w:r>
    <w:r>
      <w:rPr>
        <w:rStyle w:val="PageNumber"/>
      </w:rPr>
      <w:fldChar w:fldCharType="end"/>
    </w:r>
  </w:p>
  <w:p w:rsidR="005C54C3" w:rsidRDefault="005C54C3" w:rsidP="005920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3" w:rsidRPr="00F23DA7" w:rsidRDefault="00EB51C4" w:rsidP="00592037">
    <w:pPr>
      <w:pStyle w:val="Footer"/>
      <w:rPr>
        <w:lang w:val="fr-BE"/>
      </w:rPr>
    </w:pPr>
    <w:r w:rsidRPr="008C30B6">
      <w:rPr>
        <w:sz w:val="16"/>
        <w:szCs w:val="16"/>
      </w:rPr>
      <w:fldChar w:fldCharType="begin"/>
    </w:r>
    <w:r w:rsidR="005C54C3" w:rsidRPr="008C30B6">
      <w:rPr>
        <w:sz w:val="16"/>
        <w:szCs w:val="16"/>
        <w:lang w:val="sv-SE"/>
      </w:rPr>
      <w:instrText xml:space="preserve"> FILENAME </w:instrText>
    </w:r>
    <w:r w:rsidRPr="008C30B6">
      <w:rPr>
        <w:sz w:val="16"/>
        <w:szCs w:val="16"/>
      </w:rPr>
      <w:fldChar w:fldCharType="separate"/>
    </w:r>
    <w:r w:rsidR="005C54C3">
      <w:rPr>
        <w:noProof/>
        <w:sz w:val="16"/>
        <w:szCs w:val="16"/>
        <w:lang w:val="sv-SE"/>
      </w:rPr>
      <w:t>Athens_2012_CA_DRAFT_Minutes_v0_1.docx</w:t>
    </w:r>
    <w:r w:rsidRPr="008C30B6">
      <w:rPr>
        <w:sz w:val="16"/>
        <w:szCs w:val="16"/>
      </w:rPr>
      <w:fldChar w:fldCharType="end"/>
    </w:r>
    <w:r w:rsidR="005C54C3" w:rsidRPr="00F23DA7">
      <w:rPr>
        <w:lang w:val="fr-BE"/>
      </w:rPr>
      <w:tab/>
      <w:t xml:space="preserve">Page </w:t>
    </w:r>
    <w:r w:rsidRPr="00D53847">
      <w:rPr>
        <w:lang w:val="fr-BE"/>
      </w:rPr>
      <w:fldChar w:fldCharType="begin"/>
    </w:r>
    <w:r w:rsidR="005C54C3" w:rsidRPr="00D53847">
      <w:rPr>
        <w:lang w:val="fr-BE"/>
      </w:rPr>
      <w:instrText xml:space="preserve"> PAGE   \* MERGEFORMAT </w:instrText>
    </w:r>
    <w:r w:rsidRPr="00D53847">
      <w:rPr>
        <w:lang w:val="fr-BE"/>
      </w:rPr>
      <w:fldChar w:fldCharType="separate"/>
    </w:r>
    <w:r w:rsidR="009A29E6">
      <w:rPr>
        <w:noProof/>
        <w:lang w:val="fr-BE"/>
      </w:rPr>
      <w:t>2</w:t>
    </w:r>
    <w:r w:rsidRPr="00D53847">
      <w:rPr>
        <w:lang w:val="fr-B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4C3" w:rsidRDefault="005C54C3" w:rsidP="00592037">
      <w:r>
        <w:separator/>
      </w:r>
    </w:p>
    <w:p w:rsidR="005C54C3" w:rsidRDefault="005C54C3" w:rsidP="00592037"/>
  </w:footnote>
  <w:footnote w:type="continuationSeparator" w:id="0">
    <w:p w:rsidR="005C54C3" w:rsidRDefault="005C54C3" w:rsidP="00592037">
      <w:r>
        <w:continuationSeparator/>
      </w:r>
    </w:p>
    <w:p w:rsidR="005C54C3" w:rsidRDefault="005C54C3" w:rsidP="0059203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3" w:rsidRDefault="005C54C3" w:rsidP="005920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3" w:rsidRPr="00284B42" w:rsidRDefault="00EB51C4" w:rsidP="00922CCC">
    <w:pPr>
      <w:rPr>
        <w:b/>
      </w:rPr>
    </w:pPr>
    <w:r w:rsidRPr="00EB51C4">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33.8pt;margin-top:-29.5pt;width:171.6pt;height:116.4pt;z-index:251657728;visibility:visible;mso-wrap-edited:f" o:allowincell="f">
          <v:imagedata r:id="rId1" o:title=""/>
        </v:shape>
        <o:OLEObject Type="Embed" ProgID="Word.Picture.8" ShapeID="_x0000_s2056" DrawAspect="Content" ObjectID="_1398179312" r:id="rId2"/>
      </w:pict>
    </w:r>
    <w:r w:rsidR="005C54C3" w:rsidRPr="00284B42">
      <w:rPr>
        <w:b/>
      </w:rPr>
      <w:t xml:space="preserve">CA SMPG </w:t>
    </w:r>
    <w:r w:rsidR="005C54C3">
      <w:rPr>
        <w:b/>
      </w:rPr>
      <w:t xml:space="preserve">Athens </w:t>
    </w:r>
    <w:r w:rsidR="005C54C3" w:rsidRPr="00284B42">
      <w:rPr>
        <w:b/>
      </w:rPr>
      <w:t xml:space="preserve">Meeting Minutes </w:t>
    </w:r>
    <w:r w:rsidR="005C54C3">
      <w:rPr>
        <w:b/>
      </w:rPr>
      <w:t>24-26 April 2012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4C3" w:rsidRDefault="005C54C3" w:rsidP="005920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30922"/>
    <w:multiLevelType w:val="hybridMultilevel"/>
    <w:tmpl w:val="165AC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9218F"/>
    <w:multiLevelType w:val="hybridMultilevel"/>
    <w:tmpl w:val="65B08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47E68"/>
    <w:multiLevelType w:val="hybridMultilevel"/>
    <w:tmpl w:val="73D8A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C23A6E"/>
    <w:multiLevelType w:val="hybridMultilevel"/>
    <w:tmpl w:val="9CDE8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25E9C"/>
    <w:multiLevelType w:val="hybridMultilevel"/>
    <w:tmpl w:val="933E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3F3B18"/>
    <w:multiLevelType w:val="hybridMultilevel"/>
    <w:tmpl w:val="225A435E"/>
    <w:lvl w:ilvl="0" w:tplc="01883A72">
      <w:start w:val="1"/>
      <w:numFmt w:val="decimal"/>
      <w:pStyle w:val="Heading1"/>
      <w:lvlText w:val="%1."/>
      <w:lvlJc w:val="left"/>
      <w:pPr>
        <w:ind w:left="5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1A744E"/>
    <w:multiLevelType w:val="hybridMultilevel"/>
    <w:tmpl w:val="116A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C71F2"/>
    <w:multiLevelType w:val="hybridMultilevel"/>
    <w:tmpl w:val="586E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BD0FEA"/>
    <w:multiLevelType w:val="hybridMultilevel"/>
    <w:tmpl w:val="4FAAA7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A4908"/>
    <w:multiLevelType w:val="hybridMultilevel"/>
    <w:tmpl w:val="E5268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nsid w:val="4BAC4278"/>
    <w:multiLevelType w:val="multilevel"/>
    <w:tmpl w:val="0186E310"/>
    <w:numStyleLink w:val="CurrentList1"/>
  </w:abstractNum>
  <w:abstractNum w:abstractNumId="14">
    <w:nsid w:val="53CC0670"/>
    <w:multiLevelType w:val="hybridMultilevel"/>
    <w:tmpl w:val="2B58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5795219"/>
    <w:multiLevelType w:val="hybridMultilevel"/>
    <w:tmpl w:val="C186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FC7BA0"/>
    <w:multiLevelType w:val="hybridMultilevel"/>
    <w:tmpl w:val="1E5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1374124"/>
    <w:multiLevelType w:val="hybridMultilevel"/>
    <w:tmpl w:val="61AC57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2244218"/>
    <w:multiLevelType w:val="hybridMultilevel"/>
    <w:tmpl w:val="AACAB428"/>
    <w:lvl w:ilvl="0" w:tplc="23FCCE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3A7674"/>
    <w:multiLevelType w:val="hybridMultilevel"/>
    <w:tmpl w:val="68864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6B6373"/>
    <w:multiLevelType w:val="hybridMultilevel"/>
    <w:tmpl w:val="EBB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63093"/>
    <w:multiLevelType w:val="hybridMultilevel"/>
    <w:tmpl w:val="E676C17C"/>
    <w:lvl w:ilvl="0" w:tplc="5860DFC2">
      <w:start w:val="1"/>
      <w:numFmt w:val="decimal"/>
      <w:pStyle w:val="Heading2"/>
      <w:lvlText w:val="4.%1."/>
      <w:lvlJc w:val="right"/>
      <w:pPr>
        <w:ind w:left="648" w:hanging="360"/>
      </w:pPr>
      <w:rPr>
        <w:rFonts w:hint="default"/>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12"/>
  </w:num>
  <w:num w:numId="4">
    <w:abstractNumId w:val="9"/>
  </w:num>
  <w:num w:numId="5">
    <w:abstractNumId w:val="6"/>
  </w:num>
  <w:num w:numId="6">
    <w:abstractNumId w:val="22"/>
  </w:num>
  <w:num w:numId="7">
    <w:abstractNumId w:val="19"/>
  </w:num>
  <w:num w:numId="8">
    <w:abstractNumId w:val="15"/>
  </w:num>
  <w:num w:numId="9">
    <w:abstractNumId w:val="13"/>
  </w:num>
  <w:num w:numId="10">
    <w:abstractNumId w:val="5"/>
  </w:num>
  <w:num w:numId="11">
    <w:abstractNumId w:val="20"/>
  </w:num>
  <w:num w:numId="12">
    <w:abstractNumId w:val="4"/>
  </w:num>
  <w:num w:numId="13">
    <w:abstractNumId w:val="23"/>
  </w:num>
  <w:num w:numId="14">
    <w:abstractNumId w:val="10"/>
  </w:num>
  <w:num w:numId="15">
    <w:abstractNumId w:val="21"/>
  </w:num>
  <w:num w:numId="16">
    <w:abstractNumId w:val="2"/>
  </w:num>
  <w:num w:numId="17">
    <w:abstractNumId w:val="7"/>
  </w:num>
  <w:num w:numId="18">
    <w:abstractNumId w:val="17"/>
  </w:num>
  <w:num w:numId="19">
    <w:abstractNumId w:val="8"/>
  </w:num>
  <w:num w:numId="20">
    <w:abstractNumId w:val="25"/>
  </w:num>
  <w:num w:numId="21">
    <w:abstractNumId w:val="24"/>
  </w:num>
  <w:num w:numId="22">
    <w:abstractNumId w:val="11"/>
  </w:num>
  <w:num w:numId="23">
    <w:abstractNumId w:val="14"/>
  </w:num>
  <w:num w:numId="24">
    <w:abstractNumId w:val="3"/>
  </w:num>
  <w:num w:numId="25">
    <w:abstractNumId w:val="1"/>
  </w:num>
  <w:num w:numId="2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2057">
      <o:colormenu v:ext="edit" fillcolor="none [1300]" strokecolor="none"/>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09B4"/>
    <w:rsid w:val="000003F0"/>
    <w:rsid w:val="0000073F"/>
    <w:rsid w:val="0000241A"/>
    <w:rsid w:val="00002D65"/>
    <w:rsid w:val="000051B3"/>
    <w:rsid w:val="00005A1F"/>
    <w:rsid w:val="00005B96"/>
    <w:rsid w:val="0001004E"/>
    <w:rsid w:val="00010813"/>
    <w:rsid w:val="000152DC"/>
    <w:rsid w:val="000157C2"/>
    <w:rsid w:val="00015AA5"/>
    <w:rsid w:val="00015F15"/>
    <w:rsid w:val="00015FFC"/>
    <w:rsid w:val="0001783E"/>
    <w:rsid w:val="000238B1"/>
    <w:rsid w:val="00023C98"/>
    <w:rsid w:val="000249A5"/>
    <w:rsid w:val="000250CC"/>
    <w:rsid w:val="000265A9"/>
    <w:rsid w:val="00027143"/>
    <w:rsid w:val="00027503"/>
    <w:rsid w:val="00030760"/>
    <w:rsid w:val="00030CC6"/>
    <w:rsid w:val="000357FF"/>
    <w:rsid w:val="00037351"/>
    <w:rsid w:val="00043D75"/>
    <w:rsid w:val="00044AD0"/>
    <w:rsid w:val="00046B58"/>
    <w:rsid w:val="00046E03"/>
    <w:rsid w:val="00047EB2"/>
    <w:rsid w:val="00052FE4"/>
    <w:rsid w:val="0005309A"/>
    <w:rsid w:val="000530AA"/>
    <w:rsid w:val="00056990"/>
    <w:rsid w:val="00057AD3"/>
    <w:rsid w:val="00057B4E"/>
    <w:rsid w:val="000610F8"/>
    <w:rsid w:val="00063494"/>
    <w:rsid w:val="00063E96"/>
    <w:rsid w:val="00066415"/>
    <w:rsid w:val="0006676A"/>
    <w:rsid w:val="000669C7"/>
    <w:rsid w:val="000676D0"/>
    <w:rsid w:val="00067901"/>
    <w:rsid w:val="00071DDE"/>
    <w:rsid w:val="00071ED9"/>
    <w:rsid w:val="000729A3"/>
    <w:rsid w:val="00072DAB"/>
    <w:rsid w:val="000739DF"/>
    <w:rsid w:val="000745EC"/>
    <w:rsid w:val="00075D3E"/>
    <w:rsid w:val="00076786"/>
    <w:rsid w:val="000768FB"/>
    <w:rsid w:val="00081263"/>
    <w:rsid w:val="00087328"/>
    <w:rsid w:val="0008767E"/>
    <w:rsid w:val="0009050D"/>
    <w:rsid w:val="0009483B"/>
    <w:rsid w:val="00095B6F"/>
    <w:rsid w:val="00096171"/>
    <w:rsid w:val="00096CBE"/>
    <w:rsid w:val="000971AD"/>
    <w:rsid w:val="00097370"/>
    <w:rsid w:val="0009749E"/>
    <w:rsid w:val="000A020C"/>
    <w:rsid w:val="000A0465"/>
    <w:rsid w:val="000A07A2"/>
    <w:rsid w:val="000A0FAC"/>
    <w:rsid w:val="000A0FFC"/>
    <w:rsid w:val="000A198A"/>
    <w:rsid w:val="000A2DA8"/>
    <w:rsid w:val="000A4E72"/>
    <w:rsid w:val="000A641E"/>
    <w:rsid w:val="000A785A"/>
    <w:rsid w:val="000A7B3B"/>
    <w:rsid w:val="000B1811"/>
    <w:rsid w:val="000B1929"/>
    <w:rsid w:val="000B4025"/>
    <w:rsid w:val="000B557A"/>
    <w:rsid w:val="000B5831"/>
    <w:rsid w:val="000B5DFD"/>
    <w:rsid w:val="000B7094"/>
    <w:rsid w:val="000B70C1"/>
    <w:rsid w:val="000C0868"/>
    <w:rsid w:val="000C103C"/>
    <w:rsid w:val="000C15E7"/>
    <w:rsid w:val="000C29FB"/>
    <w:rsid w:val="000C5A2C"/>
    <w:rsid w:val="000D0384"/>
    <w:rsid w:val="000D04FB"/>
    <w:rsid w:val="000D1EB3"/>
    <w:rsid w:val="000D3E94"/>
    <w:rsid w:val="000D46A6"/>
    <w:rsid w:val="000D493E"/>
    <w:rsid w:val="000D4C85"/>
    <w:rsid w:val="000D5B98"/>
    <w:rsid w:val="000D7A8E"/>
    <w:rsid w:val="000D7B6D"/>
    <w:rsid w:val="000D7D63"/>
    <w:rsid w:val="000E0ADE"/>
    <w:rsid w:val="000E20CE"/>
    <w:rsid w:val="000E2A55"/>
    <w:rsid w:val="000E2F7A"/>
    <w:rsid w:val="000E4C23"/>
    <w:rsid w:val="000E5ACC"/>
    <w:rsid w:val="000E6687"/>
    <w:rsid w:val="000E7A30"/>
    <w:rsid w:val="000F07A5"/>
    <w:rsid w:val="000F4705"/>
    <w:rsid w:val="001006E9"/>
    <w:rsid w:val="0010148B"/>
    <w:rsid w:val="00104342"/>
    <w:rsid w:val="00104E0B"/>
    <w:rsid w:val="00106021"/>
    <w:rsid w:val="00107248"/>
    <w:rsid w:val="00111422"/>
    <w:rsid w:val="00111B6A"/>
    <w:rsid w:val="00112883"/>
    <w:rsid w:val="00114286"/>
    <w:rsid w:val="001147AD"/>
    <w:rsid w:val="00115141"/>
    <w:rsid w:val="0011553E"/>
    <w:rsid w:val="00116E13"/>
    <w:rsid w:val="001170FE"/>
    <w:rsid w:val="00120B68"/>
    <w:rsid w:val="001210F0"/>
    <w:rsid w:val="001219C5"/>
    <w:rsid w:val="00123412"/>
    <w:rsid w:val="00124456"/>
    <w:rsid w:val="00125819"/>
    <w:rsid w:val="00125C14"/>
    <w:rsid w:val="001278D7"/>
    <w:rsid w:val="0013330E"/>
    <w:rsid w:val="00133F85"/>
    <w:rsid w:val="0013566B"/>
    <w:rsid w:val="001358D5"/>
    <w:rsid w:val="00136796"/>
    <w:rsid w:val="001368E8"/>
    <w:rsid w:val="001379EC"/>
    <w:rsid w:val="00137E29"/>
    <w:rsid w:val="00140D10"/>
    <w:rsid w:val="00141100"/>
    <w:rsid w:val="0014123C"/>
    <w:rsid w:val="001418F7"/>
    <w:rsid w:val="00143146"/>
    <w:rsid w:val="001438E0"/>
    <w:rsid w:val="00143CD5"/>
    <w:rsid w:val="0014506F"/>
    <w:rsid w:val="00147C1D"/>
    <w:rsid w:val="00152168"/>
    <w:rsid w:val="00152AFF"/>
    <w:rsid w:val="00155A05"/>
    <w:rsid w:val="00155B4B"/>
    <w:rsid w:val="00156EF0"/>
    <w:rsid w:val="0015716F"/>
    <w:rsid w:val="00157457"/>
    <w:rsid w:val="001577B5"/>
    <w:rsid w:val="001661A6"/>
    <w:rsid w:val="001676C8"/>
    <w:rsid w:val="0017306F"/>
    <w:rsid w:val="001753F9"/>
    <w:rsid w:val="001803DE"/>
    <w:rsid w:val="0018324D"/>
    <w:rsid w:val="001865D5"/>
    <w:rsid w:val="001868D6"/>
    <w:rsid w:val="001869F3"/>
    <w:rsid w:val="00187EB0"/>
    <w:rsid w:val="00190D5F"/>
    <w:rsid w:val="00191E31"/>
    <w:rsid w:val="00193B1C"/>
    <w:rsid w:val="00193C6C"/>
    <w:rsid w:val="00196DC2"/>
    <w:rsid w:val="001A0FFD"/>
    <w:rsid w:val="001A13AA"/>
    <w:rsid w:val="001A2F9A"/>
    <w:rsid w:val="001A5A33"/>
    <w:rsid w:val="001A62CF"/>
    <w:rsid w:val="001B0406"/>
    <w:rsid w:val="001B1E86"/>
    <w:rsid w:val="001B3103"/>
    <w:rsid w:val="001B5E2D"/>
    <w:rsid w:val="001B65D2"/>
    <w:rsid w:val="001B7D5A"/>
    <w:rsid w:val="001C1436"/>
    <w:rsid w:val="001C16D3"/>
    <w:rsid w:val="001C2AB4"/>
    <w:rsid w:val="001C2F37"/>
    <w:rsid w:val="001C50FA"/>
    <w:rsid w:val="001C5824"/>
    <w:rsid w:val="001C6483"/>
    <w:rsid w:val="001C7F55"/>
    <w:rsid w:val="001D0D2F"/>
    <w:rsid w:val="001D0D7A"/>
    <w:rsid w:val="001D0FDF"/>
    <w:rsid w:val="001D1050"/>
    <w:rsid w:val="001D1633"/>
    <w:rsid w:val="001D2EE1"/>
    <w:rsid w:val="001D7F34"/>
    <w:rsid w:val="001E3E8E"/>
    <w:rsid w:val="001E44C0"/>
    <w:rsid w:val="001E5AAA"/>
    <w:rsid w:val="001E774B"/>
    <w:rsid w:val="001E78CC"/>
    <w:rsid w:val="001F2C65"/>
    <w:rsid w:val="001F3F45"/>
    <w:rsid w:val="001F70B4"/>
    <w:rsid w:val="0020115E"/>
    <w:rsid w:val="00201BDB"/>
    <w:rsid w:val="00202058"/>
    <w:rsid w:val="0020323F"/>
    <w:rsid w:val="0020391C"/>
    <w:rsid w:val="00206DF5"/>
    <w:rsid w:val="00211C67"/>
    <w:rsid w:val="002127BA"/>
    <w:rsid w:val="00212BFF"/>
    <w:rsid w:val="002131AF"/>
    <w:rsid w:val="00215780"/>
    <w:rsid w:val="00216A0C"/>
    <w:rsid w:val="00217002"/>
    <w:rsid w:val="002178B6"/>
    <w:rsid w:val="002200DE"/>
    <w:rsid w:val="002200F0"/>
    <w:rsid w:val="00220F3C"/>
    <w:rsid w:val="00221837"/>
    <w:rsid w:val="00222412"/>
    <w:rsid w:val="002251B0"/>
    <w:rsid w:val="00226A54"/>
    <w:rsid w:val="0022784C"/>
    <w:rsid w:val="00230996"/>
    <w:rsid w:val="00230BC8"/>
    <w:rsid w:val="0023157A"/>
    <w:rsid w:val="002321F8"/>
    <w:rsid w:val="002322DE"/>
    <w:rsid w:val="00236BA7"/>
    <w:rsid w:val="00236F14"/>
    <w:rsid w:val="0023774C"/>
    <w:rsid w:val="00240BD1"/>
    <w:rsid w:val="00240FD7"/>
    <w:rsid w:val="00241C46"/>
    <w:rsid w:val="002454FF"/>
    <w:rsid w:val="002456C7"/>
    <w:rsid w:val="00245BAF"/>
    <w:rsid w:val="0024663A"/>
    <w:rsid w:val="00246A6A"/>
    <w:rsid w:val="00246C2F"/>
    <w:rsid w:val="002508BC"/>
    <w:rsid w:val="00251E0B"/>
    <w:rsid w:val="0025223A"/>
    <w:rsid w:val="002549AE"/>
    <w:rsid w:val="00254E98"/>
    <w:rsid w:val="00257190"/>
    <w:rsid w:val="0025798E"/>
    <w:rsid w:val="00260B07"/>
    <w:rsid w:val="00262E44"/>
    <w:rsid w:val="00262F75"/>
    <w:rsid w:val="00265B60"/>
    <w:rsid w:val="00266341"/>
    <w:rsid w:val="00266950"/>
    <w:rsid w:val="00270080"/>
    <w:rsid w:val="00272B37"/>
    <w:rsid w:val="00275165"/>
    <w:rsid w:val="00276C1F"/>
    <w:rsid w:val="00277BC7"/>
    <w:rsid w:val="0028014D"/>
    <w:rsid w:val="00281FE5"/>
    <w:rsid w:val="00284B42"/>
    <w:rsid w:val="00285001"/>
    <w:rsid w:val="00285165"/>
    <w:rsid w:val="0028574A"/>
    <w:rsid w:val="0028678C"/>
    <w:rsid w:val="0029301A"/>
    <w:rsid w:val="00293BD3"/>
    <w:rsid w:val="0029519D"/>
    <w:rsid w:val="00297D5D"/>
    <w:rsid w:val="002A0A67"/>
    <w:rsid w:val="002A1D00"/>
    <w:rsid w:val="002A22A1"/>
    <w:rsid w:val="002A4CC2"/>
    <w:rsid w:val="002A54C7"/>
    <w:rsid w:val="002A63CB"/>
    <w:rsid w:val="002B0D84"/>
    <w:rsid w:val="002B289A"/>
    <w:rsid w:val="002B3AA8"/>
    <w:rsid w:val="002B5469"/>
    <w:rsid w:val="002B5AA2"/>
    <w:rsid w:val="002B659F"/>
    <w:rsid w:val="002B66CE"/>
    <w:rsid w:val="002C140D"/>
    <w:rsid w:val="002C401C"/>
    <w:rsid w:val="002C666D"/>
    <w:rsid w:val="002D13AB"/>
    <w:rsid w:val="002D15BA"/>
    <w:rsid w:val="002D20A6"/>
    <w:rsid w:val="002D26F6"/>
    <w:rsid w:val="002D33B9"/>
    <w:rsid w:val="002D4171"/>
    <w:rsid w:val="002D5579"/>
    <w:rsid w:val="002D5A70"/>
    <w:rsid w:val="002E08BB"/>
    <w:rsid w:val="002F0EA9"/>
    <w:rsid w:val="002F1879"/>
    <w:rsid w:val="002F18DE"/>
    <w:rsid w:val="002F3775"/>
    <w:rsid w:val="002F7332"/>
    <w:rsid w:val="002F79AF"/>
    <w:rsid w:val="0030375D"/>
    <w:rsid w:val="00304516"/>
    <w:rsid w:val="00305B81"/>
    <w:rsid w:val="00305BD1"/>
    <w:rsid w:val="003119EC"/>
    <w:rsid w:val="00312E97"/>
    <w:rsid w:val="00313942"/>
    <w:rsid w:val="00315877"/>
    <w:rsid w:val="003158F8"/>
    <w:rsid w:val="00315F00"/>
    <w:rsid w:val="0032197A"/>
    <w:rsid w:val="00321F52"/>
    <w:rsid w:val="00322089"/>
    <w:rsid w:val="00322BE1"/>
    <w:rsid w:val="00324805"/>
    <w:rsid w:val="0032483E"/>
    <w:rsid w:val="003261CF"/>
    <w:rsid w:val="00327C15"/>
    <w:rsid w:val="00330A55"/>
    <w:rsid w:val="00330C7E"/>
    <w:rsid w:val="00332F91"/>
    <w:rsid w:val="00333A87"/>
    <w:rsid w:val="003439BE"/>
    <w:rsid w:val="00346AA9"/>
    <w:rsid w:val="003524FD"/>
    <w:rsid w:val="003525AE"/>
    <w:rsid w:val="0035412E"/>
    <w:rsid w:val="003549AC"/>
    <w:rsid w:val="003559F3"/>
    <w:rsid w:val="003562A2"/>
    <w:rsid w:val="003569DA"/>
    <w:rsid w:val="003611AC"/>
    <w:rsid w:val="00361484"/>
    <w:rsid w:val="00363C0E"/>
    <w:rsid w:val="003656AB"/>
    <w:rsid w:val="003657AB"/>
    <w:rsid w:val="0037101D"/>
    <w:rsid w:val="00371B50"/>
    <w:rsid w:val="00371D8F"/>
    <w:rsid w:val="003750EA"/>
    <w:rsid w:val="00375D17"/>
    <w:rsid w:val="00376698"/>
    <w:rsid w:val="0037670C"/>
    <w:rsid w:val="00376A6D"/>
    <w:rsid w:val="00381A23"/>
    <w:rsid w:val="00383BD5"/>
    <w:rsid w:val="00384B04"/>
    <w:rsid w:val="00385E1E"/>
    <w:rsid w:val="0039065D"/>
    <w:rsid w:val="0039109C"/>
    <w:rsid w:val="00392112"/>
    <w:rsid w:val="00393230"/>
    <w:rsid w:val="0039522C"/>
    <w:rsid w:val="0039626C"/>
    <w:rsid w:val="003979EC"/>
    <w:rsid w:val="003A0493"/>
    <w:rsid w:val="003A3863"/>
    <w:rsid w:val="003A4FB7"/>
    <w:rsid w:val="003A50DC"/>
    <w:rsid w:val="003A548A"/>
    <w:rsid w:val="003A630B"/>
    <w:rsid w:val="003A66B0"/>
    <w:rsid w:val="003A694B"/>
    <w:rsid w:val="003B0CD2"/>
    <w:rsid w:val="003B0CEF"/>
    <w:rsid w:val="003B1348"/>
    <w:rsid w:val="003B250E"/>
    <w:rsid w:val="003B28EF"/>
    <w:rsid w:val="003B43BF"/>
    <w:rsid w:val="003B46C6"/>
    <w:rsid w:val="003B4992"/>
    <w:rsid w:val="003B54B2"/>
    <w:rsid w:val="003B5D70"/>
    <w:rsid w:val="003B7A76"/>
    <w:rsid w:val="003C292A"/>
    <w:rsid w:val="003C3076"/>
    <w:rsid w:val="003C3419"/>
    <w:rsid w:val="003C44DF"/>
    <w:rsid w:val="003C4F1E"/>
    <w:rsid w:val="003C599B"/>
    <w:rsid w:val="003C762F"/>
    <w:rsid w:val="003D01B3"/>
    <w:rsid w:val="003D0D90"/>
    <w:rsid w:val="003D0F10"/>
    <w:rsid w:val="003D1B5C"/>
    <w:rsid w:val="003D2B29"/>
    <w:rsid w:val="003D2B4D"/>
    <w:rsid w:val="003D3B56"/>
    <w:rsid w:val="003D4D85"/>
    <w:rsid w:val="003D56C9"/>
    <w:rsid w:val="003D57EB"/>
    <w:rsid w:val="003E05AF"/>
    <w:rsid w:val="003E0A22"/>
    <w:rsid w:val="003E0ABF"/>
    <w:rsid w:val="003E458D"/>
    <w:rsid w:val="003E58A3"/>
    <w:rsid w:val="003E5EFD"/>
    <w:rsid w:val="003E6B0C"/>
    <w:rsid w:val="003F0EE4"/>
    <w:rsid w:val="003F1217"/>
    <w:rsid w:val="003F1787"/>
    <w:rsid w:val="003F5926"/>
    <w:rsid w:val="003F5CD3"/>
    <w:rsid w:val="003F79E6"/>
    <w:rsid w:val="0040048C"/>
    <w:rsid w:val="0040244E"/>
    <w:rsid w:val="00403047"/>
    <w:rsid w:val="00403D4A"/>
    <w:rsid w:val="00404C0C"/>
    <w:rsid w:val="00404FF3"/>
    <w:rsid w:val="004059D7"/>
    <w:rsid w:val="0040717B"/>
    <w:rsid w:val="0040750A"/>
    <w:rsid w:val="004078BD"/>
    <w:rsid w:val="00410935"/>
    <w:rsid w:val="00410D38"/>
    <w:rsid w:val="0041398D"/>
    <w:rsid w:val="00413A6E"/>
    <w:rsid w:val="00413DCF"/>
    <w:rsid w:val="0041445A"/>
    <w:rsid w:val="0041468C"/>
    <w:rsid w:val="00415DB0"/>
    <w:rsid w:val="004168D8"/>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610D"/>
    <w:rsid w:val="004466C3"/>
    <w:rsid w:val="00450EBE"/>
    <w:rsid w:val="00451AAA"/>
    <w:rsid w:val="00454A63"/>
    <w:rsid w:val="00456BBD"/>
    <w:rsid w:val="00456E82"/>
    <w:rsid w:val="00457BF4"/>
    <w:rsid w:val="00465F68"/>
    <w:rsid w:val="0046643B"/>
    <w:rsid w:val="0046661C"/>
    <w:rsid w:val="004672F5"/>
    <w:rsid w:val="00467DC3"/>
    <w:rsid w:val="00467FE4"/>
    <w:rsid w:val="004738C4"/>
    <w:rsid w:val="00475B64"/>
    <w:rsid w:val="0047788F"/>
    <w:rsid w:val="004809B4"/>
    <w:rsid w:val="00480BDE"/>
    <w:rsid w:val="00480DE4"/>
    <w:rsid w:val="00480F54"/>
    <w:rsid w:val="004812E8"/>
    <w:rsid w:val="00481582"/>
    <w:rsid w:val="00482E4C"/>
    <w:rsid w:val="00483126"/>
    <w:rsid w:val="00483131"/>
    <w:rsid w:val="00484021"/>
    <w:rsid w:val="00486DD6"/>
    <w:rsid w:val="00490FC6"/>
    <w:rsid w:val="00494C4C"/>
    <w:rsid w:val="00496351"/>
    <w:rsid w:val="00497810"/>
    <w:rsid w:val="004A0F2B"/>
    <w:rsid w:val="004A17C2"/>
    <w:rsid w:val="004A3256"/>
    <w:rsid w:val="004A355B"/>
    <w:rsid w:val="004A37EF"/>
    <w:rsid w:val="004A3833"/>
    <w:rsid w:val="004A56C8"/>
    <w:rsid w:val="004A7FD4"/>
    <w:rsid w:val="004B070C"/>
    <w:rsid w:val="004B12EF"/>
    <w:rsid w:val="004B1735"/>
    <w:rsid w:val="004B1DE9"/>
    <w:rsid w:val="004B2026"/>
    <w:rsid w:val="004B2F86"/>
    <w:rsid w:val="004B376B"/>
    <w:rsid w:val="004B410C"/>
    <w:rsid w:val="004B449F"/>
    <w:rsid w:val="004B5DE4"/>
    <w:rsid w:val="004B68CC"/>
    <w:rsid w:val="004B7DFC"/>
    <w:rsid w:val="004B7E5A"/>
    <w:rsid w:val="004C09AB"/>
    <w:rsid w:val="004C1D25"/>
    <w:rsid w:val="004C2926"/>
    <w:rsid w:val="004C4A2E"/>
    <w:rsid w:val="004C4CE2"/>
    <w:rsid w:val="004C4DB3"/>
    <w:rsid w:val="004C4DFA"/>
    <w:rsid w:val="004D04FF"/>
    <w:rsid w:val="004D0EDD"/>
    <w:rsid w:val="004D26FC"/>
    <w:rsid w:val="004D2C5C"/>
    <w:rsid w:val="004D2E16"/>
    <w:rsid w:val="004D4937"/>
    <w:rsid w:val="004E0F76"/>
    <w:rsid w:val="004E1DAE"/>
    <w:rsid w:val="004E210B"/>
    <w:rsid w:val="004E4BA3"/>
    <w:rsid w:val="004E62F4"/>
    <w:rsid w:val="004E646D"/>
    <w:rsid w:val="004E7310"/>
    <w:rsid w:val="004F0F26"/>
    <w:rsid w:val="004F1F1E"/>
    <w:rsid w:val="004F24AC"/>
    <w:rsid w:val="004F4B63"/>
    <w:rsid w:val="004F4DA3"/>
    <w:rsid w:val="004F506B"/>
    <w:rsid w:val="004F6152"/>
    <w:rsid w:val="004F76FA"/>
    <w:rsid w:val="005023A2"/>
    <w:rsid w:val="005028FD"/>
    <w:rsid w:val="00506869"/>
    <w:rsid w:val="00510058"/>
    <w:rsid w:val="00510BCA"/>
    <w:rsid w:val="00512424"/>
    <w:rsid w:val="00513624"/>
    <w:rsid w:val="00514138"/>
    <w:rsid w:val="00514C3A"/>
    <w:rsid w:val="00514E75"/>
    <w:rsid w:val="00515DFE"/>
    <w:rsid w:val="00515E18"/>
    <w:rsid w:val="00516819"/>
    <w:rsid w:val="00520473"/>
    <w:rsid w:val="0052413A"/>
    <w:rsid w:val="0052689B"/>
    <w:rsid w:val="0052715F"/>
    <w:rsid w:val="00534622"/>
    <w:rsid w:val="00534F9F"/>
    <w:rsid w:val="00536C9B"/>
    <w:rsid w:val="0054022C"/>
    <w:rsid w:val="005405BF"/>
    <w:rsid w:val="0054102E"/>
    <w:rsid w:val="00543A08"/>
    <w:rsid w:val="00544027"/>
    <w:rsid w:val="005453F8"/>
    <w:rsid w:val="005467BF"/>
    <w:rsid w:val="00547137"/>
    <w:rsid w:val="00547E78"/>
    <w:rsid w:val="0055015B"/>
    <w:rsid w:val="00550DDB"/>
    <w:rsid w:val="0055138B"/>
    <w:rsid w:val="00551882"/>
    <w:rsid w:val="00551C03"/>
    <w:rsid w:val="00552A54"/>
    <w:rsid w:val="005549B2"/>
    <w:rsid w:val="00555748"/>
    <w:rsid w:val="005558D8"/>
    <w:rsid w:val="00561321"/>
    <w:rsid w:val="00561EF5"/>
    <w:rsid w:val="00562084"/>
    <w:rsid w:val="00562151"/>
    <w:rsid w:val="0056364D"/>
    <w:rsid w:val="00563E5D"/>
    <w:rsid w:val="005645A7"/>
    <w:rsid w:val="005649EE"/>
    <w:rsid w:val="00565C71"/>
    <w:rsid w:val="005664EC"/>
    <w:rsid w:val="005666C7"/>
    <w:rsid w:val="00566C2D"/>
    <w:rsid w:val="005675F2"/>
    <w:rsid w:val="00567F34"/>
    <w:rsid w:val="00570FF5"/>
    <w:rsid w:val="00571D18"/>
    <w:rsid w:val="005729B0"/>
    <w:rsid w:val="0057492E"/>
    <w:rsid w:val="00574E2C"/>
    <w:rsid w:val="0057519C"/>
    <w:rsid w:val="0057620D"/>
    <w:rsid w:val="005764E6"/>
    <w:rsid w:val="005764ED"/>
    <w:rsid w:val="00577A1B"/>
    <w:rsid w:val="00577DA2"/>
    <w:rsid w:val="00581D77"/>
    <w:rsid w:val="00583B21"/>
    <w:rsid w:val="005850FF"/>
    <w:rsid w:val="00585DE9"/>
    <w:rsid w:val="00590E39"/>
    <w:rsid w:val="00591424"/>
    <w:rsid w:val="005917B7"/>
    <w:rsid w:val="00592037"/>
    <w:rsid w:val="00592B90"/>
    <w:rsid w:val="00595174"/>
    <w:rsid w:val="00595EA8"/>
    <w:rsid w:val="005973B7"/>
    <w:rsid w:val="0059742E"/>
    <w:rsid w:val="00597D5A"/>
    <w:rsid w:val="005A076E"/>
    <w:rsid w:val="005A1A6C"/>
    <w:rsid w:val="005A29B7"/>
    <w:rsid w:val="005A3C11"/>
    <w:rsid w:val="005A3FA1"/>
    <w:rsid w:val="005A4507"/>
    <w:rsid w:val="005A46BD"/>
    <w:rsid w:val="005A4948"/>
    <w:rsid w:val="005A5198"/>
    <w:rsid w:val="005B0264"/>
    <w:rsid w:val="005C033A"/>
    <w:rsid w:val="005C066C"/>
    <w:rsid w:val="005C0760"/>
    <w:rsid w:val="005C2A8B"/>
    <w:rsid w:val="005C39DE"/>
    <w:rsid w:val="005C3E37"/>
    <w:rsid w:val="005C3FCB"/>
    <w:rsid w:val="005C410F"/>
    <w:rsid w:val="005C54C3"/>
    <w:rsid w:val="005C7169"/>
    <w:rsid w:val="005D082A"/>
    <w:rsid w:val="005D1D53"/>
    <w:rsid w:val="005D495D"/>
    <w:rsid w:val="005E0B6F"/>
    <w:rsid w:val="005E2A81"/>
    <w:rsid w:val="005E337F"/>
    <w:rsid w:val="005E4A0B"/>
    <w:rsid w:val="005E64E7"/>
    <w:rsid w:val="005E6846"/>
    <w:rsid w:val="005E6B80"/>
    <w:rsid w:val="005E74B2"/>
    <w:rsid w:val="005E7C94"/>
    <w:rsid w:val="005F1349"/>
    <w:rsid w:val="005F4089"/>
    <w:rsid w:val="005F4BB5"/>
    <w:rsid w:val="005F76A1"/>
    <w:rsid w:val="00601B63"/>
    <w:rsid w:val="006047A2"/>
    <w:rsid w:val="00604BBF"/>
    <w:rsid w:val="00604CE5"/>
    <w:rsid w:val="006100A7"/>
    <w:rsid w:val="00610609"/>
    <w:rsid w:val="00610AC0"/>
    <w:rsid w:val="00610D81"/>
    <w:rsid w:val="00612A33"/>
    <w:rsid w:val="00612C6C"/>
    <w:rsid w:val="006136A6"/>
    <w:rsid w:val="00613994"/>
    <w:rsid w:val="00613B4F"/>
    <w:rsid w:val="0061750F"/>
    <w:rsid w:val="00622B75"/>
    <w:rsid w:val="00625958"/>
    <w:rsid w:val="00631595"/>
    <w:rsid w:val="00634CFC"/>
    <w:rsid w:val="0063519F"/>
    <w:rsid w:val="00635ECA"/>
    <w:rsid w:val="006366E2"/>
    <w:rsid w:val="00636A0D"/>
    <w:rsid w:val="0064140F"/>
    <w:rsid w:val="00645735"/>
    <w:rsid w:val="006477E1"/>
    <w:rsid w:val="00650969"/>
    <w:rsid w:val="00650C44"/>
    <w:rsid w:val="00652BDD"/>
    <w:rsid w:val="00653B37"/>
    <w:rsid w:val="006547EA"/>
    <w:rsid w:val="006559FF"/>
    <w:rsid w:val="00656EEB"/>
    <w:rsid w:val="0065719E"/>
    <w:rsid w:val="0065757D"/>
    <w:rsid w:val="00657EA2"/>
    <w:rsid w:val="006631D6"/>
    <w:rsid w:val="00663C8B"/>
    <w:rsid w:val="00665A6E"/>
    <w:rsid w:val="00665D03"/>
    <w:rsid w:val="00667717"/>
    <w:rsid w:val="0066790E"/>
    <w:rsid w:val="00667989"/>
    <w:rsid w:val="00671693"/>
    <w:rsid w:val="0067632B"/>
    <w:rsid w:val="00676435"/>
    <w:rsid w:val="00676523"/>
    <w:rsid w:val="00676727"/>
    <w:rsid w:val="00676EF9"/>
    <w:rsid w:val="00677719"/>
    <w:rsid w:val="00681363"/>
    <w:rsid w:val="006830D0"/>
    <w:rsid w:val="006831EF"/>
    <w:rsid w:val="0068361F"/>
    <w:rsid w:val="0068464B"/>
    <w:rsid w:val="006846A1"/>
    <w:rsid w:val="006863FE"/>
    <w:rsid w:val="006877D0"/>
    <w:rsid w:val="006904E8"/>
    <w:rsid w:val="0069103E"/>
    <w:rsid w:val="0069126A"/>
    <w:rsid w:val="0069148C"/>
    <w:rsid w:val="0069319A"/>
    <w:rsid w:val="00693638"/>
    <w:rsid w:val="00693DB0"/>
    <w:rsid w:val="00694DC4"/>
    <w:rsid w:val="0069503C"/>
    <w:rsid w:val="006952D9"/>
    <w:rsid w:val="006953FC"/>
    <w:rsid w:val="006969B5"/>
    <w:rsid w:val="0069722F"/>
    <w:rsid w:val="006A0B98"/>
    <w:rsid w:val="006A19D2"/>
    <w:rsid w:val="006A1E17"/>
    <w:rsid w:val="006A2185"/>
    <w:rsid w:val="006A442B"/>
    <w:rsid w:val="006A4887"/>
    <w:rsid w:val="006A73DE"/>
    <w:rsid w:val="006B13A7"/>
    <w:rsid w:val="006B2D15"/>
    <w:rsid w:val="006B5372"/>
    <w:rsid w:val="006B60FA"/>
    <w:rsid w:val="006C1A33"/>
    <w:rsid w:val="006C216A"/>
    <w:rsid w:val="006C2ADA"/>
    <w:rsid w:val="006C4331"/>
    <w:rsid w:val="006C5C86"/>
    <w:rsid w:val="006C7749"/>
    <w:rsid w:val="006D1DE0"/>
    <w:rsid w:val="006D290F"/>
    <w:rsid w:val="006D3A23"/>
    <w:rsid w:val="006D4E80"/>
    <w:rsid w:val="006D7688"/>
    <w:rsid w:val="006E1767"/>
    <w:rsid w:val="006E1BB8"/>
    <w:rsid w:val="006E5FAB"/>
    <w:rsid w:val="006E6E56"/>
    <w:rsid w:val="006F1F52"/>
    <w:rsid w:val="006F1F8A"/>
    <w:rsid w:val="006F2337"/>
    <w:rsid w:val="006F3139"/>
    <w:rsid w:val="006F3B70"/>
    <w:rsid w:val="006F41C4"/>
    <w:rsid w:val="006F5EB8"/>
    <w:rsid w:val="006F680E"/>
    <w:rsid w:val="006F7DC5"/>
    <w:rsid w:val="00700C78"/>
    <w:rsid w:val="0070379B"/>
    <w:rsid w:val="0070770C"/>
    <w:rsid w:val="007107F2"/>
    <w:rsid w:val="007114CE"/>
    <w:rsid w:val="00713AC9"/>
    <w:rsid w:val="00715D9E"/>
    <w:rsid w:val="0071665F"/>
    <w:rsid w:val="00722447"/>
    <w:rsid w:val="00724382"/>
    <w:rsid w:val="00725070"/>
    <w:rsid w:val="00725EDA"/>
    <w:rsid w:val="00726F6D"/>
    <w:rsid w:val="00727100"/>
    <w:rsid w:val="00730F3D"/>
    <w:rsid w:val="00730F5D"/>
    <w:rsid w:val="0073105B"/>
    <w:rsid w:val="007311A0"/>
    <w:rsid w:val="0073240B"/>
    <w:rsid w:val="00732F53"/>
    <w:rsid w:val="00733125"/>
    <w:rsid w:val="00734DE6"/>
    <w:rsid w:val="007359F5"/>
    <w:rsid w:val="0073707E"/>
    <w:rsid w:val="0073772C"/>
    <w:rsid w:val="00737BF1"/>
    <w:rsid w:val="0074191F"/>
    <w:rsid w:val="007444CA"/>
    <w:rsid w:val="00746488"/>
    <w:rsid w:val="00746C2E"/>
    <w:rsid w:val="0075032C"/>
    <w:rsid w:val="0075046F"/>
    <w:rsid w:val="007530F5"/>
    <w:rsid w:val="00754448"/>
    <w:rsid w:val="0075589B"/>
    <w:rsid w:val="00756700"/>
    <w:rsid w:val="00756959"/>
    <w:rsid w:val="00757308"/>
    <w:rsid w:val="007647F8"/>
    <w:rsid w:val="00764C15"/>
    <w:rsid w:val="0076568D"/>
    <w:rsid w:val="00766046"/>
    <w:rsid w:val="0076639E"/>
    <w:rsid w:val="00766510"/>
    <w:rsid w:val="0077339B"/>
    <w:rsid w:val="00774BF3"/>
    <w:rsid w:val="00775A74"/>
    <w:rsid w:val="00776E2D"/>
    <w:rsid w:val="0078177E"/>
    <w:rsid w:val="007817DB"/>
    <w:rsid w:val="0078318E"/>
    <w:rsid w:val="007862E3"/>
    <w:rsid w:val="00787ECD"/>
    <w:rsid w:val="00791DDD"/>
    <w:rsid w:val="00793A2D"/>
    <w:rsid w:val="007943BE"/>
    <w:rsid w:val="00795A51"/>
    <w:rsid w:val="00797286"/>
    <w:rsid w:val="007972D3"/>
    <w:rsid w:val="0079798E"/>
    <w:rsid w:val="00797D9A"/>
    <w:rsid w:val="00797FD5"/>
    <w:rsid w:val="007A08A5"/>
    <w:rsid w:val="007A26AC"/>
    <w:rsid w:val="007A3D8D"/>
    <w:rsid w:val="007A3E2D"/>
    <w:rsid w:val="007A507A"/>
    <w:rsid w:val="007A509A"/>
    <w:rsid w:val="007A53C5"/>
    <w:rsid w:val="007A558E"/>
    <w:rsid w:val="007A69C8"/>
    <w:rsid w:val="007A7D84"/>
    <w:rsid w:val="007B01F8"/>
    <w:rsid w:val="007B02CB"/>
    <w:rsid w:val="007B090B"/>
    <w:rsid w:val="007B3BE6"/>
    <w:rsid w:val="007B4336"/>
    <w:rsid w:val="007B5AB3"/>
    <w:rsid w:val="007B6EDE"/>
    <w:rsid w:val="007B7BBA"/>
    <w:rsid w:val="007C0797"/>
    <w:rsid w:val="007C092F"/>
    <w:rsid w:val="007C2A2E"/>
    <w:rsid w:val="007C30D3"/>
    <w:rsid w:val="007C4752"/>
    <w:rsid w:val="007C5359"/>
    <w:rsid w:val="007D0957"/>
    <w:rsid w:val="007D1E41"/>
    <w:rsid w:val="007D31BF"/>
    <w:rsid w:val="007D3AE3"/>
    <w:rsid w:val="007D42AD"/>
    <w:rsid w:val="007D629A"/>
    <w:rsid w:val="007D7448"/>
    <w:rsid w:val="007E104F"/>
    <w:rsid w:val="007E15A6"/>
    <w:rsid w:val="007E1EDC"/>
    <w:rsid w:val="007E1FD3"/>
    <w:rsid w:val="007E2082"/>
    <w:rsid w:val="007E2A46"/>
    <w:rsid w:val="007E3DD9"/>
    <w:rsid w:val="007E3F24"/>
    <w:rsid w:val="007E4DA1"/>
    <w:rsid w:val="007F0338"/>
    <w:rsid w:val="007F0AA6"/>
    <w:rsid w:val="007F0C1D"/>
    <w:rsid w:val="007F328A"/>
    <w:rsid w:val="007F73FB"/>
    <w:rsid w:val="007F7D7A"/>
    <w:rsid w:val="008000C6"/>
    <w:rsid w:val="00800138"/>
    <w:rsid w:val="0080314A"/>
    <w:rsid w:val="008045BD"/>
    <w:rsid w:val="00805EC4"/>
    <w:rsid w:val="00806EB5"/>
    <w:rsid w:val="008120D1"/>
    <w:rsid w:val="00812EAF"/>
    <w:rsid w:val="0081358D"/>
    <w:rsid w:val="00813DB8"/>
    <w:rsid w:val="0081429D"/>
    <w:rsid w:val="00815369"/>
    <w:rsid w:val="00815724"/>
    <w:rsid w:val="0081662E"/>
    <w:rsid w:val="0081704F"/>
    <w:rsid w:val="008179FB"/>
    <w:rsid w:val="00820300"/>
    <w:rsid w:val="00822653"/>
    <w:rsid w:val="0082601B"/>
    <w:rsid w:val="00826A29"/>
    <w:rsid w:val="00827AC4"/>
    <w:rsid w:val="00830077"/>
    <w:rsid w:val="00830D90"/>
    <w:rsid w:val="00831676"/>
    <w:rsid w:val="008330D8"/>
    <w:rsid w:val="00834A4D"/>
    <w:rsid w:val="008354AD"/>
    <w:rsid w:val="008365E2"/>
    <w:rsid w:val="008410A0"/>
    <w:rsid w:val="00841BEC"/>
    <w:rsid w:val="00842022"/>
    <w:rsid w:val="00842E6E"/>
    <w:rsid w:val="0084372E"/>
    <w:rsid w:val="008458A6"/>
    <w:rsid w:val="00845AB7"/>
    <w:rsid w:val="0085019F"/>
    <w:rsid w:val="00850250"/>
    <w:rsid w:val="0085065A"/>
    <w:rsid w:val="008527D7"/>
    <w:rsid w:val="00853B0A"/>
    <w:rsid w:val="008545D1"/>
    <w:rsid w:val="0085557C"/>
    <w:rsid w:val="00856069"/>
    <w:rsid w:val="008568A0"/>
    <w:rsid w:val="00857B69"/>
    <w:rsid w:val="008604BA"/>
    <w:rsid w:val="0086577B"/>
    <w:rsid w:val="00866279"/>
    <w:rsid w:val="008666D8"/>
    <w:rsid w:val="008676D0"/>
    <w:rsid w:val="008708D6"/>
    <w:rsid w:val="00870ACC"/>
    <w:rsid w:val="00870D88"/>
    <w:rsid w:val="00873E0F"/>
    <w:rsid w:val="00875C2E"/>
    <w:rsid w:val="00875E99"/>
    <w:rsid w:val="0088093C"/>
    <w:rsid w:val="00880977"/>
    <w:rsid w:val="00881F16"/>
    <w:rsid w:val="00882CA0"/>
    <w:rsid w:val="00882FB3"/>
    <w:rsid w:val="00882FBE"/>
    <w:rsid w:val="00883904"/>
    <w:rsid w:val="0088496F"/>
    <w:rsid w:val="008860F3"/>
    <w:rsid w:val="00886677"/>
    <w:rsid w:val="00890F1B"/>
    <w:rsid w:val="00891F36"/>
    <w:rsid w:val="008932C0"/>
    <w:rsid w:val="008958B0"/>
    <w:rsid w:val="00895F7D"/>
    <w:rsid w:val="008A00D6"/>
    <w:rsid w:val="008A0E84"/>
    <w:rsid w:val="008A2391"/>
    <w:rsid w:val="008A2D39"/>
    <w:rsid w:val="008A355C"/>
    <w:rsid w:val="008A6521"/>
    <w:rsid w:val="008A6ACE"/>
    <w:rsid w:val="008B014F"/>
    <w:rsid w:val="008B0FD7"/>
    <w:rsid w:val="008B1ADB"/>
    <w:rsid w:val="008B1C4C"/>
    <w:rsid w:val="008B2018"/>
    <w:rsid w:val="008B2480"/>
    <w:rsid w:val="008B566B"/>
    <w:rsid w:val="008B5B2B"/>
    <w:rsid w:val="008B656D"/>
    <w:rsid w:val="008B7113"/>
    <w:rsid w:val="008C30B6"/>
    <w:rsid w:val="008C3632"/>
    <w:rsid w:val="008C5CD0"/>
    <w:rsid w:val="008C69F4"/>
    <w:rsid w:val="008C6AA1"/>
    <w:rsid w:val="008C6AEA"/>
    <w:rsid w:val="008C7D05"/>
    <w:rsid w:val="008D0E2B"/>
    <w:rsid w:val="008D2310"/>
    <w:rsid w:val="008D3B3E"/>
    <w:rsid w:val="008D3D9E"/>
    <w:rsid w:val="008D4920"/>
    <w:rsid w:val="008D53D2"/>
    <w:rsid w:val="008D5D5C"/>
    <w:rsid w:val="008D6973"/>
    <w:rsid w:val="008D7983"/>
    <w:rsid w:val="008E0464"/>
    <w:rsid w:val="008E19E4"/>
    <w:rsid w:val="008E28E4"/>
    <w:rsid w:val="008E56BD"/>
    <w:rsid w:val="008E75F5"/>
    <w:rsid w:val="008E7B70"/>
    <w:rsid w:val="008F290C"/>
    <w:rsid w:val="008F36BC"/>
    <w:rsid w:val="008F3C1E"/>
    <w:rsid w:val="008F41D6"/>
    <w:rsid w:val="008F5AA8"/>
    <w:rsid w:val="008F5ACE"/>
    <w:rsid w:val="008F5B0A"/>
    <w:rsid w:val="008F62F4"/>
    <w:rsid w:val="008F66A7"/>
    <w:rsid w:val="008F6B18"/>
    <w:rsid w:val="00900196"/>
    <w:rsid w:val="0090062B"/>
    <w:rsid w:val="00900D25"/>
    <w:rsid w:val="00901438"/>
    <w:rsid w:val="009041CF"/>
    <w:rsid w:val="009064AF"/>
    <w:rsid w:val="0091181A"/>
    <w:rsid w:val="009122A6"/>
    <w:rsid w:val="009168ED"/>
    <w:rsid w:val="0092242F"/>
    <w:rsid w:val="00922496"/>
    <w:rsid w:val="009226E9"/>
    <w:rsid w:val="00922CCC"/>
    <w:rsid w:val="00922E14"/>
    <w:rsid w:val="009233A3"/>
    <w:rsid w:val="00923DAB"/>
    <w:rsid w:val="009241B1"/>
    <w:rsid w:val="00924B99"/>
    <w:rsid w:val="009250D6"/>
    <w:rsid w:val="009276D6"/>
    <w:rsid w:val="00927AB1"/>
    <w:rsid w:val="0093143C"/>
    <w:rsid w:val="00932DA3"/>
    <w:rsid w:val="0093345E"/>
    <w:rsid w:val="009370FE"/>
    <w:rsid w:val="00941E29"/>
    <w:rsid w:val="009427AE"/>
    <w:rsid w:val="009441F5"/>
    <w:rsid w:val="00945F80"/>
    <w:rsid w:val="009471C6"/>
    <w:rsid w:val="00951975"/>
    <w:rsid w:val="00951AE1"/>
    <w:rsid w:val="0095244B"/>
    <w:rsid w:val="0095397C"/>
    <w:rsid w:val="009552B5"/>
    <w:rsid w:val="00956E2E"/>
    <w:rsid w:val="00956FC1"/>
    <w:rsid w:val="00957449"/>
    <w:rsid w:val="00961CB4"/>
    <w:rsid w:val="0096213C"/>
    <w:rsid w:val="00964834"/>
    <w:rsid w:val="009660AE"/>
    <w:rsid w:val="00966710"/>
    <w:rsid w:val="00970323"/>
    <w:rsid w:val="00973196"/>
    <w:rsid w:val="00975399"/>
    <w:rsid w:val="009756BB"/>
    <w:rsid w:val="00976C40"/>
    <w:rsid w:val="009809A7"/>
    <w:rsid w:val="00980BD1"/>
    <w:rsid w:val="0098101C"/>
    <w:rsid w:val="009834C7"/>
    <w:rsid w:val="00984A9D"/>
    <w:rsid w:val="0098511E"/>
    <w:rsid w:val="00985475"/>
    <w:rsid w:val="00985D1F"/>
    <w:rsid w:val="009877EF"/>
    <w:rsid w:val="00987877"/>
    <w:rsid w:val="00990EA3"/>
    <w:rsid w:val="009919CC"/>
    <w:rsid w:val="00991DD7"/>
    <w:rsid w:val="0099255F"/>
    <w:rsid w:val="00993839"/>
    <w:rsid w:val="00997182"/>
    <w:rsid w:val="0099768F"/>
    <w:rsid w:val="009A29E6"/>
    <w:rsid w:val="009A2AF6"/>
    <w:rsid w:val="009A3539"/>
    <w:rsid w:val="009A3AB3"/>
    <w:rsid w:val="009A4375"/>
    <w:rsid w:val="009A5647"/>
    <w:rsid w:val="009A56CE"/>
    <w:rsid w:val="009A5877"/>
    <w:rsid w:val="009A667B"/>
    <w:rsid w:val="009B05F4"/>
    <w:rsid w:val="009B34B5"/>
    <w:rsid w:val="009B38E8"/>
    <w:rsid w:val="009B54E3"/>
    <w:rsid w:val="009B552C"/>
    <w:rsid w:val="009B75D7"/>
    <w:rsid w:val="009B7AD7"/>
    <w:rsid w:val="009C056F"/>
    <w:rsid w:val="009C08E7"/>
    <w:rsid w:val="009C1599"/>
    <w:rsid w:val="009C61EE"/>
    <w:rsid w:val="009D14D0"/>
    <w:rsid w:val="009D3AA0"/>
    <w:rsid w:val="009D3B68"/>
    <w:rsid w:val="009D4249"/>
    <w:rsid w:val="009D4BFD"/>
    <w:rsid w:val="009D55F5"/>
    <w:rsid w:val="009D5D20"/>
    <w:rsid w:val="009E074F"/>
    <w:rsid w:val="009E1F2B"/>
    <w:rsid w:val="009E4332"/>
    <w:rsid w:val="009E464C"/>
    <w:rsid w:val="009E7051"/>
    <w:rsid w:val="009E73E7"/>
    <w:rsid w:val="009E76A5"/>
    <w:rsid w:val="009E7703"/>
    <w:rsid w:val="009E786F"/>
    <w:rsid w:val="009E7B6E"/>
    <w:rsid w:val="009F156D"/>
    <w:rsid w:val="009F26B9"/>
    <w:rsid w:val="009F415C"/>
    <w:rsid w:val="009F5040"/>
    <w:rsid w:val="009F533D"/>
    <w:rsid w:val="009F68F2"/>
    <w:rsid w:val="009F6E7E"/>
    <w:rsid w:val="00A0635A"/>
    <w:rsid w:val="00A06939"/>
    <w:rsid w:val="00A06EE5"/>
    <w:rsid w:val="00A11D42"/>
    <w:rsid w:val="00A129A4"/>
    <w:rsid w:val="00A13549"/>
    <w:rsid w:val="00A2179F"/>
    <w:rsid w:val="00A22B3A"/>
    <w:rsid w:val="00A232E0"/>
    <w:rsid w:val="00A25A07"/>
    <w:rsid w:val="00A2628E"/>
    <w:rsid w:val="00A26E9B"/>
    <w:rsid w:val="00A27D39"/>
    <w:rsid w:val="00A27D75"/>
    <w:rsid w:val="00A27E5E"/>
    <w:rsid w:val="00A31D13"/>
    <w:rsid w:val="00A32526"/>
    <w:rsid w:val="00A332BC"/>
    <w:rsid w:val="00A3342F"/>
    <w:rsid w:val="00A35DE2"/>
    <w:rsid w:val="00A4048E"/>
    <w:rsid w:val="00A40575"/>
    <w:rsid w:val="00A42D4E"/>
    <w:rsid w:val="00A43511"/>
    <w:rsid w:val="00A46158"/>
    <w:rsid w:val="00A50D47"/>
    <w:rsid w:val="00A51A7F"/>
    <w:rsid w:val="00A54ED5"/>
    <w:rsid w:val="00A55A24"/>
    <w:rsid w:val="00A57665"/>
    <w:rsid w:val="00A6271E"/>
    <w:rsid w:val="00A62AFB"/>
    <w:rsid w:val="00A6356E"/>
    <w:rsid w:val="00A646EE"/>
    <w:rsid w:val="00A66A0F"/>
    <w:rsid w:val="00A66B44"/>
    <w:rsid w:val="00A710AA"/>
    <w:rsid w:val="00A718E5"/>
    <w:rsid w:val="00A71F9F"/>
    <w:rsid w:val="00A726EC"/>
    <w:rsid w:val="00A73404"/>
    <w:rsid w:val="00A76B2B"/>
    <w:rsid w:val="00A84A31"/>
    <w:rsid w:val="00A861D2"/>
    <w:rsid w:val="00A876AD"/>
    <w:rsid w:val="00A90BE6"/>
    <w:rsid w:val="00A91CE4"/>
    <w:rsid w:val="00A91F68"/>
    <w:rsid w:val="00A96743"/>
    <w:rsid w:val="00AA117C"/>
    <w:rsid w:val="00AA1C41"/>
    <w:rsid w:val="00AA2BF4"/>
    <w:rsid w:val="00AA53B9"/>
    <w:rsid w:val="00AA581D"/>
    <w:rsid w:val="00AA6CFD"/>
    <w:rsid w:val="00AB0264"/>
    <w:rsid w:val="00AB5229"/>
    <w:rsid w:val="00AB5D12"/>
    <w:rsid w:val="00AB6103"/>
    <w:rsid w:val="00AB6283"/>
    <w:rsid w:val="00AB7794"/>
    <w:rsid w:val="00AC03B4"/>
    <w:rsid w:val="00AC0752"/>
    <w:rsid w:val="00AC1347"/>
    <w:rsid w:val="00AC1EC3"/>
    <w:rsid w:val="00AC27D4"/>
    <w:rsid w:val="00AC33D2"/>
    <w:rsid w:val="00AC3B87"/>
    <w:rsid w:val="00AC51B8"/>
    <w:rsid w:val="00AC564B"/>
    <w:rsid w:val="00AC639A"/>
    <w:rsid w:val="00AD0A2E"/>
    <w:rsid w:val="00AD28BB"/>
    <w:rsid w:val="00AD4824"/>
    <w:rsid w:val="00AD6414"/>
    <w:rsid w:val="00AD7FAD"/>
    <w:rsid w:val="00AE045E"/>
    <w:rsid w:val="00AE053C"/>
    <w:rsid w:val="00AE295B"/>
    <w:rsid w:val="00AE5261"/>
    <w:rsid w:val="00AE679C"/>
    <w:rsid w:val="00AF0815"/>
    <w:rsid w:val="00AF2227"/>
    <w:rsid w:val="00AF4BD8"/>
    <w:rsid w:val="00AF4C0B"/>
    <w:rsid w:val="00AF6404"/>
    <w:rsid w:val="00B0227F"/>
    <w:rsid w:val="00B02FFF"/>
    <w:rsid w:val="00B03B5C"/>
    <w:rsid w:val="00B04CD7"/>
    <w:rsid w:val="00B0526E"/>
    <w:rsid w:val="00B1091C"/>
    <w:rsid w:val="00B10A9C"/>
    <w:rsid w:val="00B11B60"/>
    <w:rsid w:val="00B125DF"/>
    <w:rsid w:val="00B15953"/>
    <w:rsid w:val="00B161D0"/>
    <w:rsid w:val="00B1654C"/>
    <w:rsid w:val="00B17E30"/>
    <w:rsid w:val="00B20795"/>
    <w:rsid w:val="00B21C7B"/>
    <w:rsid w:val="00B225E7"/>
    <w:rsid w:val="00B22916"/>
    <w:rsid w:val="00B23997"/>
    <w:rsid w:val="00B24A50"/>
    <w:rsid w:val="00B25428"/>
    <w:rsid w:val="00B2719B"/>
    <w:rsid w:val="00B31430"/>
    <w:rsid w:val="00B322DA"/>
    <w:rsid w:val="00B3301A"/>
    <w:rsid w:val="00B3425D"/>
    <w:rsid w:val="00B3578C"/>
    <w:rsid w:val="00B40C8B"/>
    <w:rsid w:val="00B41238"/>
    <w:rsid w:val="00B416F4"/>
    <w:rsid w:val="00B417B4"/>
    <w:rsid w:val="00B4281A"/>
    <w:rsid w:val="00B443EF"/>
    <w:rsid w:val="00B44667"/>
    <w:rsid w:val="00B4667C"/>
    <w:rsid w:val="00B47358"/>
    <w:rsid w:val="00B50E51"/>
    <w:rsid w:val="00B51AF6"/>
    <w:rsid w:val="00B5246F"/>
    <w:rsid w:val="00B524CD"/>
    <w:rsid w:val="00B579A1"/>
    <w:rsid w:val="00B61679"/>
    <w:rsid w:val="00B61AA7"/>
    <w:rsid w:val="00B61F76"/>
    <w:rsid w:val="00B6248B"/>
    <w:rsid w:val="00B62B81"/>
    <w:rsid w:val="00B64798"/>
    <w:rsid w:val="00B674D6"/>
    <w:rsid w:val="00B67AAF"/>
    <w:rsid w:val="00B7066F"/>
    <w:rsid w:val="00B70C91"/>
    <w:rsid w:val="00B72DBD"/>
    <w:rsid w:val="00B72FEB"/>
    <w:rsid w:val="00B73257"/>
    <w:rsid w:val="00B7493D"/>
    <w:rsid w:val="00B7498F"/>
    <w:rsid w:val="00B74A77"/>
    <w:rsid w:val="00B74BFA"/>
    <w:rsid w:val="00B7717D"/>
    <w:rsid w:val="00B80712"/>
    <w:rsid w:val="00B80D6D"/>
    <w:rsid w:val="00B819D8"/>
    <w:rsid w:val="00B833F1"/>
    <w:rsid w:val="00B83851"/>
    <w:rsid w:val="00B8655C"/>
    <w:rsid w:val="00B9125A"/>
    <w:rsid w:val="00B91AC1"/>
    <w:rsid w:val="00B9308F"/>
    <w:rsid w:val="00B9329E"/>
    <w:rsid w:val="00B9361F"/>
    <w:rsid w:val="00B93A7E"/>
    <w:rsid w:val="00BA2779"/>
    <w:rsid w:val="00BA4818"/>
    <w:rsid w:val="00BB1E11"/>
    <w:rsid w:val="00BB2BAF"/>
    <w:rsid w:val="00BB3601"/>
    <w:rsid w:val="00BB376E"/>
    <w:rsid w:val="00BB3A09"/>
    <w:rsid w:val="00BB4508"/>
    <w:rsid w:val="00BB5EFD"/>
    <w:rsid w:val="00BB6349"/>
    <w:rsid w:val="00BB670F"/>
    <w:rsid w:val="00BB7156"/>
    <w:rsid w:val="00BC1BB6"/>
    <w:rsid w:val="00BC26E2"/>
    <w:rsid w:val="00BC3B99"/>
    <w:rsid w:val="00BC3DC0"/>
    <w:rsid w:val="00BC4434"/>
    <w:rsid w:val="00BC599F"/>
    <w:rsid w:val="00BC5B0E"/>
    <w:rsid w:val="00BC669F"/>
    <w:rsid w:val="00BC713B"/>
    <w:rsid w:val="00BC7210"/>
    <w:rsid w:val="00BD034B"/>
    <w:rsid w:val="00BD0391"/>
    <w:rsid w:val="00BD0BFB"/>
    <w:rsid w:val="00BD19FD"/>
    <w:rsid w:val="00BD28DE"/>
    <w:rsid w:val="00BD2DFA"/>
    <w:rsid w:val="00BD3224"/>
    <w:rsid w:val="00BD32B9"/>
    <w:rsid w:val="00BD3A65"/>
    <w:rsid w:val="00BD600E"/>
    <w:rsid w:val="00BD7966"/>
    <w:rsid w:val="00BD7A1E"/>
    <w:rsid w:val="00BD7F20"/>
    <w:rsid w:val="00BE0210"/>
    <w:rsid w:val="00BE07EB"/>
    <w:rsid w:val="00BE199C"/>
    <w:rsid w:val="00BE28FF"/>
    <w:rsid w:val="00BE412F"/>
    <w:rsid w:val="00BE6B8A"/>
    <w:rsid w:val="00BF0462"/>
    <w:rsid w:val="00BF0D72"/>
    <w:rsid w:val="00BF3939"/>
    <w:rsid w:val="00BF6C43"/>
    <w:rsid w:val="00C0057E"/>
    <w:rsid w:val="00C01FCF"/>
    <w:rsid w:val="00C02036"/>
    <w:rsid w:val="00C032FD"/>
    <w:rsid w:val="00C050EC"/>
    <w:rsid w:val="00C06B13"/>
    <w:rsid w:val="00C06EFA"/>
    <w:rsid w:val="00C11FA9"/>
    <w:rsid w:val="00C17ED7"/>
    <w:rsid w:val="00C2132B"/>
    <w:rsid w:val="00C21F32"/>
    <w:rsid w:val="00C230F9"/>
    <w:rsid w:val="00C252BD"/>
    <w:rsid w:val="00C26716"/>
    <w:rsid w:val="00C26857"/>
    <w:rsid w:val="00C3024F"/>
    <w:rsid w:val="00C323B6"/>
    <w:rsid w:val="00C337C5"/>
    <w:rsid w:val="00C339D4"/>
    <w:rsid w:val="00C34956"/>
    <w:rsid w:val="00C34962"/>
    <w:rsid w:val="00C40250"/>
    <w:rsid w:val="00C406D9"/>
    <w:rsid w:val="00C41889"/>
    <w:rsid w:val="00C43199"/>
    <w:rsid w:val="00C44808"/>
    <w:rsid w:val="00C46006"/>
    <w:rsid w:val="00C50009"/>
    <w:rsid w:val="00C5015F"/>
    <w:rsid w:val="00C50C30"/>
    <w:rsid w:val="00C524E7"/>
    <w:rsid w:val="00C5298F"/>
    <w:rsid w:val="00C52D77"/>
    <w:rsid w:val="00C53023"/>
    <w:rsid w:val="00C55C9D"/>
    <w:rsid w:val="00C57624"/>
    <w:rsid w:val="00C61167"/>
    <w:rsid w:val="00C615ED"/>
    <w:rsid w:val="00C667DC"/>
    <w:rsid w:val="00C6697D"/>
    <w:rsid w:val="00C675A5"/>
    <w:rsid w:val="00C67D2C"/>
    <w:rsid w:val="00C70CF3"/>
    <w:rsid w:val="00C72082"/>
    <w:rsid w:val="00C7276D"/>
    <w:rsid w:val="00C733E2"/>
    <w:rsid w:val="00C74054"/>
    <w:rsid w:val="00C75D8D"/>
    <w:rsid w:val="00C7630D"/>
    <w:rsid w:val="00C7660C"/>
    <w:rsid w:val="00C77060"/>
    <w:rsid w:val="00C80CB9"/>
    <w:rsid w:val="00C81103"/>
    <w:rsid w:val="00C825D5"/>
    <w:rsid w:val="00C825FB"/>
    <w:rsid w:val="00C8662D"/>
    <w:rsid w:val="00C92B71"/>
    <w:rsid w:val="00C956D5"/>
    <w:rsid w:val="00C958E1"/>
    <w:rsid w:val="00CA002C"/>
    <w:rsid w:val="00CA0C4D"/>
    <w:rsid w:val="00CA182B"/>
    <w:rsid w:val="00CA1917"/>
    <w:rsid w:val="00CA1CF7"/>
    <w:rsid w:val="00CA43E2"/>
    <w:rsid w:val="00CA58A2"/>
    <w:rsid w:val="00CA58E8"/>
    <w:rsid w:val="00CA7E4F"/>
    <w:rsid w:val="00CB2316"/>
    <w:rsid w:val="00CB3613"/>
    <w:rsid w:val="00CB43B0"/>
    <w:rsid w:val="00CC01AE"/>
    <w:rsid w:val="00CC1238"/>
    <w:rsid w:val="00CC18E1"/>
    <w:rsid w:val="00CC231A"/>
    <w:rsid w:val="00CC2989"/>
    <w:rsid w:val="00CC363D"/>
    <w:rsid w:val="00CC59EA"/>
    <w:rsid w:val="00CC60B6"/>
    <w:rsid w:val="00CC647E"/>
    <w:rsid w:val="00CC6678"/>
    <w:rsid w:val="00CC6ACE"/>
    <w:rsid w:val="00CC7B13"/>
    <w:rsid w:val="00CC7DDD"/>
    <w:rsid w:val="00CD4CAD"/>
    <w:rsid w:val="00CD5021"/>
    <w:rsid w:val="00CD6DF1"/>
    <w:rsid w:val="00CE078B"/>
    <w:rsid w:val="00CE2177"/>
    <w:rsid w:val="00CE2B3D"/>
    <w:rsid w:val="00CE3C8B"/>
    <w:rsid w:val="00CE4500"/>
    <w:rsid w:val="00CE7EFD"/>
    <w:rsid w:val="00CF08B4"/>
    <w:rsid w:val="00CF0A4F"/>
    <w:rsid w:val="00CF1B8D"/>
    <w:rsid w:val="00CF3D5E"/>
    <w:rsid w:val="00D0031E"/>
    <w:rsid w:val="00D021DA"/>
    <w:rsid w:val="00D02CE4"/>
    <w:rsid w:val="00D051DE"/>
    <w:rsid w:val="00D056D6"/>
    <w:rsid w:val="00D07072"/>
    <w:rsid w:val="00D075AB"/>
    <w:rsid w:val="00D10EC8"/>
    <w:rsid w:val="00D130A4"/>
    <w:rsid w:val="00D1455A"/>
    <w:rsid w:val="00D14680"/>
    <w:rsid w:val="00D14AB7"/>
    <w:rsid w:val="00D223C8"/>
    <w:rsid w:val="00D225BD"/>
    <w:rsid w:val="00D25E7E"/>
    <w:rsid w:val="00D26521"/>
    <w:rsid w:val="00D269D1"/>
    <w:rsid w:val="00D26FEA"/>
    <w:rsid w:val="00D271A6"/>
    <w:rsid w:val="00D27410"/>
    <w:rsid w:val="00D27715"/>
    <w:rsid w:val="00D31BC8"/>
    <w:rsid w:val="00D32277"/>
    <w:rsid w:val="00D32471"/>
    <w:rsid w:val="00D35353"/>
    <w:rsid w:val="00D357EC"/>
    <w:rsid w:val="00D3589C"/>
    <w:rsid w:val="00D35C28"/>
    <w:rsid w:val="00D35E2D"/>
    <w:rsid w:val="00D35FA2"/>
    <w:rsid w:val="00D37F4C"/>
    <w:rsid w:val="00D410EB"/>
    <w:rsid w:val="00D41A77"/>
    <w:rsid w:val="00D42C55"/>
    <w:rsid w:val="00D44D0B"/>
    <w:rsid w:val="00D46E82"/>
    <w:rsid w:val="00D50AA7"/>
    <w:rsid w:val="00D52833"/>
    <w:rsid w:val="00D53847"/>
    <w:rsid w:val="00D5465F"/>
    <w:rsid w:val="00D57315"/>
    <w:rsid w:val="00D6145B"/>
    <w:rsid w:val="00D61B38"/>
    <w:rsid w:val="00D61B83"/>
    <w:rsid w:val="00D6252F"/>
    <w:rsid w:val="00D626D9"/>
    <w:rsid w:val="00D6388E"/>
    <w:rsid w:val="00D63D10"/>
    <w:rsid w:val="00D63EC3"/>
    <w:rsid w:val="00D64624"/>
    <w:rsid w:val="00D65DA3"/>
    <w:rsid w:val="00D662A8"/>
    <w:rsid w:val="00D6754E"/>
    <w:rsid w:val="00D7076A"/>
    <w:rsid w:val="00D72173"/>
    <w:rsid w:val="00D747F6"/>
    <w:rsid w:val="00D75CB5"/>
    <w:rsid w:val="00D76F5E"/>
    <w:rsid w:val="00D81E0E"/>
    <w:rsid w:val="00D83D31"/>
    <w:rsid w:val="00D86196"/>
    <w:rsid w:val="00D86B65"/>
    <w:rsid w:val="00D8725F"/>
    <w:rsid w:val="00D87F0D"/>
    <w:rsid w:val="00D91336"/>
    <w:rsid w:val="00D938FC"/>
    <w:rsid w:val="00D940B0"/>
    <w:rsid w:val="00D94FAA"/>
    <w:rsid w:val="00DA059A"/>
    <w:rsid w:val="00DA06B7"/>
    <w:rsid w:val="00DA1312"/>
    <w:rsid w:val="00DA1629"/>
    <w:rsid w:val="00DA206B"/>
    <w:rsid w:val="00DA3F50"/>
    <w:rsid w:val="00DA662E"/>
    <w:rsid w:val="00DA7CED"/>
    <w:rsid w:val="00DB1325"/>
    <w:rsid w:val="00DB1963"/>
    <w:rsid w:val="00DB1F54"/>
    <w:rsid w:val="00DB25AA"/>
    <w:rsid w:val="00DB2F02"/>
    <w:rsid w:val="00DB32F6"/>
    <w:rsid w:val="00DB6416"/>
    <w:rsid w:val="00DB7FAD"/>
    <w:rsid w:val="00DC23B9"/>
    <w:rsid w:val="00DC2B7F"/>
    <w:rsid w:val="00DC3831"/>
    <w:rsid w:val="00DC57E4"/>
    <w:rsid w:val="00DC6614"/>
    <w:rsid w:val="00DD0404"/>
    <w:rsid w:val="00DD08AD"/>
    <w:rsid w:val="00DD137B"/>
    <w:rsid w:val="00DD1568"/>
    <w:rsid w:val="00DD15DF"/>
    <w:rsid w:val="00DD36DE"/>
    <w:rsid w:val="00DD3DB9"/>
    <w:rsid w:val="00DD6244"/>
    <w:rsid w:val="00DE631F"/>
    <w:rsid w:val="00DE706A"/>
    <w:rsid w:val="00DF0644"/>
    <w:rsid w:val="00DF3878"/>
    <w:rsid w:val="00DF3E97"/>
    <w:rsid w:val="00DF7A95"/>
    <w:rsid w:val="00E00C01"/>
    <w:rsid w:val="00E01386"/>
    <w:rsid w:val="00E01E13"/>
    <w:rsid w:val="00E01F24"/>
    <w:rsid w:val="00E05479"/>
    <w:rsid w:val="00E07780"/>
    <w:rsid w:val="00E07A86"/>
    <w:rsid w:val="00E07E9C"/>
    <w:rsid w:val="00E109D2"/>
    <w:rsid w:val="00E12934"/>
    <w:rsid w:val="00E14015"/>
    <w:rsid w:val="00E14873"/>
    <w:rsid w:val="00E148D8"/>
    <w:rsid w:val="00E14BD4"/>
    <w:rsid w:val="00E16EA5"/>
    <w:rsid w:val="00E1730E"/>
    <w:rsid w:val="00E235E2"/>
    <w:rsid w:val="00E241BE"/>
    <w:rsid w:val="00E2633D"/>
    <w:rsid w:val="00E26F96"/>
    <w:rsid w:val="00E30F1F"/>
    <w:rsid w:val="00E32023"/>
    <w:rsid w:val="00E33DAB"/>
    <w:rsid w:val="00E342D1"/>
    <w:rsid w:val="00E3672C"/>
    <w:rsid w:val="00E4042B"/>
    <w:rsid w:val="00E43EE6"/>
    <w:rsid w:val="00E4455A"/>
    <w:rsid w:val="00E472D9"/>
    <w:rsid w:val="00E47BFA"/>
    <w:rsid w:val="00E47EAE"/>
    <w:rsid w:val="00E51CF6"/>
    <w:rsid w:val="00E53F33"/>
    <w:rsid w:val="00E561B8"/>
    <w:rsid w:val="00E606F9"/>
    <w:rsid w:val="00E63496"/>
    <w:rsid w:val="00E6740D"/>
    <w:rsid w:val="00E80485"/>
    <w:rsid w:val="00E81D81"/>
    <w:rsid w:val="00E82007"/>
    <w:rsid w:val="00E82056"/>
    <w:rsid w:val="00E82181"/>
    <w:rsid w:val="00E83286"/>
    <w:rsid w:val="00E8461C"/>
    <w:rsid w:val="00E85094"/>
    <w:rsid w:val="00E85593"/>
    <w:rsid w:val="00E86556"/>
    <w:rsid w:val="00E878D9"/>
    <w:rsid w:val="00E901D4"/>
    <w:rsid w:val="00E91225"/>
    <w:rsid w:val="00E9136D"/>
    <w:rsid w:val="00E92AA9"/>
    <w:rsid w:val="00E92F26"/>
    <w:rsid w:val="00E935C4"/>
    <w:rsid w:val="00E93ABC"/>
    <w:rsid w:val="00E9790D"/>
    <w:rsid w:val="00EA1A12"/>
    <w:rsid w:val="00EA20CA"/>
    <w:rsid w:val="00EA399D"/>
    <w:rsid w:val="00EA5AAA"/>
    <w:rsid w:val="00EA7601"/>
    <w:rsid w:val="00EA7C39"/>
    <w:rsid w:val="00EA7D8C"/>
    <w:rsid w:val="00EB34FD"/>
    <w:rsid w:val="00EB4378"/>
    <w:rsid w:val="00EB44E7"/>
    <w:rsid w:val="00EB4797"/>
    <w:rsid w:val="00EB51C4"/>
    <w:rsid w:val="00EB63D3"/>
    <w:rsid w:val="00EC15E6"/>
    <w:rsid w:val="00EC23D0"/>
    <w:rsid w:val="00EC2D10"/>
    <w:rsid w:val="00EC2F4A"/>
    <w:rsid w:val="00EC3DAA"/>
    <w:rsid w:val="00EC5E73"/>
    <w:rsid w:val="00EC6C1F"/>
    <w:rsid w:val="00EC7D34"/>
    <w:rsid w:val="00ED3466"/>
    <w:rsid w:val="00ED35A1"/>
    <w:rsid w:val="00ED7C2B"/>
    <w:rsid w:val="00EE005E"/>
    <w:rsid w:val="00EE0AC8"/>
    <w:rsid w:val="00EE16B7"/>
    <w:rsid w:val="00EE2914"/>
    <w:rsid w:val="00EE3180"/>
    <w:rsid w:val="00EE7143"/>
    <w:rsid w:val="00EE78FB"/>
    <w:rsid w:val="00EE7D21"/>
    <w:rsid w:val="00EF0E1E"/>
    <w:rsid w:val="00EF214B"/>
    <w:rsid w:val="00EF5101"/>
    <w:rsid w:val="00EF5D5E"/>
    <w:rsid w:val="00EF627A"/>
    <w:rsid w:val="00EF7F4C"/>
    <w:rsid w:val="00F00515"/>
    <w:rsid w:val="00F01E63"/>
    <w:rsid w:val="00F042EE"/>
    <w:rsid w:val="00F048F8"/>
    <w:rsid w:val="00F055BA"/>
    <w:rsid w:val="00F066D1"/>
    <w:rsid w:val="00F067F4"/>
    <w:rsid w:val="00F06C5C"/>
    <w:rsid w:val="00F06D4A"/>
    <w:rsid w:val="00F07E3C"/>
    <w:rsid w:val="00F109E9"/>
    <w:rsid w:val="00F135E1"/>
    <w:rsid w:val="00F14CB6"/>
    <w:rsid w:val="00F167E2"/>
    <w:rsid w:val="00F20BB9"/>
    <w:rsid w:val="00F223B8"/>
    <w:rsid w:val="00F22EFA"/>
    <w:rsid w:val="00F237C3"/>
    <w:rsid w:val="00F23DA7"/>
    <w:rsid w:val="00F24FB4"/>
    <w:rsid w:val="00F25E46"/>
    <w:rsid w:val="00F25E4D"/>
    <w:rsid w:val="00F26635"/>
    <w:rsid w:val="00F27589"/>
    <w:rsid w:val="00F27D2A"/>
    <w:rsid w:val="00F3131F"/>
    <w:rsid w:val="00F32CC6"/>
    <w:rsid w:val="00F32FF6"/>
    <w:rsid w:val="00F334EA"/>
    <w:rsid w:val="00F348F5"/>
    <w:rsid w:val="00F4133C"/>
    <w:rsid w:val="00F413AB"/>
    <w:rsid w:val="00F42AEB"/>
    <w:rsid w:val="00F42F2A"/>
    <w:rsid w:val="00F44F8D"/>
    <w:rsid w:val="00F46651"/>
    <w:rsid w:val="00F4793F"/>
    <w:rsid w:val="00F47BEC"/>
    <w:rsid w:val="00F47E59"/>
    <w:rsid w:val="00F50375"/>
    <w:rsid w:val="00F5056F"/>
    <w:rsid w:val="00F51E15"/>
    <w:rsid w:val="00F5219B"/>
    <w:rsid w:val="00F53971"/>
    <w:rsid w:val="00F547A6"/>
    <w:rsid w:val="00F56280"/>
    <w:rsid w:val="00F56DB8"/>
    <w:rsid w:val="00F57226"/>
    <w:rsid w:val="00F6196D"/>
    <w:rsid w:val="00F619DF"/>
    <w:rsid w:val="00F627D2"/>
    <w:rsid w:val="00F6334C"/>
    <w:rsid w:val="00F63C91"/>
    <w:rsid w:val="00F66436"/>
    <w:rsid w:val="00F671DF"/>
    <w:rsid w:val="00F733D4"/>
    <w:rsid w:val="00F76537"/>
    <w:rsid w:val="00F76A92"/>
    <w:rsid w:val="00F80AA8"/>
    <w:rsid w:val="00F80FF6"/>
    <w:rsid w:val="00F81EA1"/>
    <w:rsid w:val="00F822C3"/>
    <w:rsid w:val="00F84714"/>
    <w:rsid w:val="00F86477"/>
    <w:rsid w:val="00F86902"/>
    <w:rsid w:val="00F86CD8"/>
    <w:rsid w:val="00F87360"/>
    <w:rsid w:val="00F87C7D"/>
    <w:rsid w:val="00F87D49"/>
    <w:rsid w:val="00F91BF9"/>
    <w:rsid w:val="00F9413E"/>
    <w:rsid w:val="00F958BE"/>
    <w:rsid w:val="00F960AE"/>
    <w:rsid w:val="00F96A82"/>
    <w:rsid w:val="00FA0802"/>
    <w:rsid w:val="00FA2C90"/>
    <w:rsid w:val="00FA39DA"/>
    <w:rsid w:val="00FA3B6B"/>
    <w:rsid w:val="00FA4211"/>
    <w:rsid w:val="00FA446E"/>
    <w:rsid w:val="00FA4EA2"/>
    <w:rsid w:val="00FA5127"/>
    <w:rsid w:val="00FA5AF9"/>
    <w:rsid w:val="00FA5CDB"/>
    <w:rsid w:val="00FA5E8B"/>
    <w:rsid w:val="00FA6ABD"/>
    <w:rsid w:val="00FB2254"/>
    <w:rsid w:val="00FB5506"/>
    <w:rsid w:val="00FC07A8"/>
    <w:rsid w:val="00FC1070"/>
    <w:rsid w:val="00FC3358"/>
    <w:rsid w:val="00FC5AFB"/>
    <w:rsid w:val="00FC6E03"/>
    <w:rsid w:val="00FC7695"/>
    <w:rsid w:val="00FD0083"/>
    <w:rsid w:val="00FD00B4"/>
    <w:rsid w:val="00FD01D5"/>
    <w:rsid w:val="00FD04B9"/>
    <w:rsid w:val="00FD06EE"/>
    <w:rsid w:val="00FD0943"/>
    <w:rsid w:val="00FD1599"/>
    <w:rsid w:val="00FD2972"/>
    <w:rsid w:val="00FD2A87"/>
    <w:rsid w:val="00FD415B"/>
    <w:rsid w:val="00FD4673"/>
    <w:rsid w:val="00FE14AF"/>
    <w:rsid w:val="00FE2A44"/>
    <w:rsid w:val="00FE2CBE"/>
    <w:rsid w:val="00FE3AB7"/>
    <w:rsid w:val="00FE55CF"/>
    <w:rsid w:val="00FE5F32"/>
    <w:rsid w:val="00FE7BF6"/>
    <w:rsid w:val="00FF0069"/>
    <w:rsid w:val="00FF0B77"/>
    <w:rsid w:val="00FF1B67"/>
    <w:rsid w:val="00FF232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7">
      <o:colormenu v:ext="edit" fillcolor="none [1300]" strokecolor="none"/>
    </o:shapedefaults>
    <o:shapelayout v:ext="edit">
      <o:idmap v:ext="edit" data="1"/>
      <o:rules v:ext="edit">
        <o:r id="V:Rule9" type="connector" idref="#_x0000_s1047"/>
        <o:r id="V:Rule10" type="connector" idref="#_x0000_s1044"/>
        <o:r id="V:Rule11" type="connector" idref="#_x0000_s1041"/>
        <o:r id="V:Rule12" type="connector" idref="#_x0000_s1057"/>
        <o:r id="V:Rule13" type="connector" idref="#_x0000_s1059"/>
        <o:r id="V:Rule14" type="connector" idref="#_x0000_s1062"/>
        <o:r id="V:Rule15" type="connector" idref="#_x0000_s1050"/>
        <o:r id="V:Rule16" type="connector" idref="#_x0000_s1052"/>
        <o:r id="V:Rule18" type="connector" idref="#_x0000_s1075"/>
        <o:r id="V:Rule19" type="connector" idref="#_x0000_s1076"/>
        <o:r id="V:Rule20"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037"/>
    <w:pPr>
      <w:spacing w:after="120"/>
    </w:pPr>
    <w:rPr>
      <w:rFonts w:ascii="Arial" w:hAnsi="Arial" w:cs="Arial"/>
      <w:lang w:val="en-US" w:eastAsia="en-US"/>
    </w:rPr>
  </w:style>
  <w:style w:type="paragraph" w:styleId="Heading1">
    <w:name w:val="heading 1"/>
    <w:basedOn w:val="Normal"/>
    <w:next w:val="Normal"/>
    <w:link w:val="Heading1Char"/>
    <w:qFormat/>
    <w:rsid w:val="007F0C1D"/>
    <w:pPr>
      <w:keepNext/>
      <w:numPr>
        <w:numId w:val="5"/>
      </w:numPr>
      <w:tabs>
        <w:tab w:val="left" w:pos="450"/>
      </w:tabs>
      <w:spacing w:before="360"/>
      <w:outlineLvl w:val="0"/>
    </w:pPr>
    <w:rPr>
      <w:b/>
      <w:kern w:val="28"/>
      <w:sz w:val="24"/>
      <w:u w:val="single"/>
    </w:rPr>
  </w:style>
  <w:style w:type="paragraph" w:styleId="Heading2">
    <w:name w:val="heading 2"/>
    <w:aliases w:val="TSBTWO"/>
    <w:basedOn w:val="Normal"/>
    <w:next w:val="BlockText"/>
    <w:qFormat/>
    <w:rsid w:val="00097370"/>
    <w:pPr>
      <w:keepNext/>
      <w:numPr>
        <w:numId w:val="20"/>
      </w:numPr>
      <w:spacing w:before="24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before="120"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rsid w:val="002B6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0A0FAC"/>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0A0FAC"/>
    <w:rPr>
      <w:color w:val="008000"/>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0A0FAC"/>
    <w:rPr>
      <w:color w:val="FF0000"/>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7F0C1D"/>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s>
</file>

<file path=word/webSettings.xml><?xml version="1.0" encoding="utf-8"?>
<w:webSettings xmlns:r="http://schemas.openxmlformats.org/officeDocument/2006/relationships" xmlns:w="http://schemas.openxmlformats.org/wordprocessingml/2006/main">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package" Target="embeddings/Microsoft_Office_Excel_Worksheet3.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Office_Word_Document2.docx"/><Relationship Id="rId20" Type="http://schemas.openxmlformats.org/officeDocument/2006/relationships/oleObject" Target="embeddings/Microsoft_Office_Word_97_-_2003_Document1.doc"/><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Office_Excel_Worksheet4.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Microsoft_Office_Word_97_-_2003_Document2.doc"/><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032F-2200-4DC3-8E47-959ADD9A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16</Pages>
  <Words>5708</Words>
  <Characters>27650</Characters>
  <Application>Microsoft Office Word</Application>
  <DocSecurity>0</DocSecurity>
  <Lines>230</Lines>
  <Paragraphs>66</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 </Company>
  <LinksUpToDate>false</LinksUpToDate>
  <CharactersWithSpaces>33292</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subject/>
  <dc:creator>Christine Strandberg</dc:creator>
  <cp:keywords/>
  <dc:description/>
  <cp:lastModifiedBy>Jacques Littré</cp:lastModifiedBy>
  <cp:revision>93</cp:revision>
  <cp:lastPrinted>2012-05-10T13:07:00Z</cp:lastPrinted>
  <dcterms:created xsi:type="dcterms:W3CDTF">2012-05-07T13:48:00Z</dcterms:created>
  <dcterms:modified xsi:type="dcterms:W3CDTF">2012-05-10T16:12:00Z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