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Minutes</w:t>
      </w:r>
      <w:r w:rsidR="0076781C">
        <w:rPr>
          <w:lang w:val="en-GB"/>
        </w:rPr>
        <w:t xml:space="preserve"> of Sydney Meeting</w:t>
      </w:r>
    </w:p>
    <w:p w:rsidR="00AB6103" w:rsidRPr="00C10F02" w:rsidRDefault="0076781C" w:rsidP="00592037">
      <w:pPr>
        <w:pStyle w:val="Header"/>
        <w:rPr>
          <w:lang w:val="en-GB"/>
        </w:rPr>
      </w:pPr>
      <w:r>
        <w:rPr>
          <w:lang w:val="en-GB"/>
        </w:rPr>
        <w:t xml:space="preserve">17 to 19 </w:t>
      </w:r>
      <w:r w:rsidR="006D6051">
        <w:rPr>
          <w:lang w:val="en-GB"/>
        </w:rPr>
        <w:t>October</w:t>
      </w:r>
      <w:r w:rsidR="00646B65">
        <w:rPr>
          <w:lang w:val="en-GB"/>
        </w:rPr>
        <w:t>,</w:t>
      </w:r>
      <w:r w:rsidR="005E4302">
        <w:rPr>
          <w:lang w:val="en-GB"/>
        </w:rPr>
        <w:t xml:space="preserve"> </w:t>
      </w:r>
      <w:r w:rsidR="00B20795" w:rsidRPr="00C10F02">
        <w:rPr>
          <w:lang w:val="en-GB"/>
        </w:rPr>
        <w:t>201</w:t>
      </w:r>
      <w:r w:rsidR="003C52B1">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5E4302" w:rsidP="00141100">
      <w:pPr>
        <w:tabs>
          <w:tab w:val="left" w:pos="3690"/>
        </w:tabs>
        <w:rPr>
          <w:lang w:val="en-GB"/>
        </w:rPr>
        <w:sectPr w:rsidR="00AB6103" w:rsidRPr="00C10F02">
          <w:headerReference w:type="default" r:id="rId10"/>
          <w:footerReference w:type="even" r:id="rId11"/>
          <w:footerReference w:type="default" r:id="rId12"/>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1B1B9D">
        <w:rPr>
          <w:lang w:val="en-GB"/>
        </w:rPr>
        <w:t>0</w:t>
      </w:r>
      <w:r w:rsidR="00E17A68">
        <w:rPr>
          <w:lang w:val="en-GB"/>
        </w:rPr>
        <w:t>.1</w:t>
      </w:r>
      <w:r w:rsidR="005B2C4D">
        <w:rPr>
          <w:lang w:val="en-GB"/>
        </w:rPr>
        <w:t xml:space="preserve"> –</w:t>
      </w:r>
      <w:r w:rsidR="002D2DC4">
        <w:rPr>
          <w:lang w:val="en-GB"/>
        </w:rPr>
        <w:t xml:space="preserve"> </w:t>
      </w:r>
      <w:r w:rsidR="0076781C">
        <w:rPr>
          <w:lang w:val="en-GB"/>
        </w:rPr>
        <w:t>November 6</w:t>
      </w:r>
      <w:r w:rsidR="00906C70">
        <w:rPr>
          <w:lang w:val="en-GB"/>
        </w:rPr>
        <w:t>,</w:t>
      </w:r>
      <w:r w:rsidR="003C52B1">
        <w:rPr>
          <w:lang w:val="en-GB"/>
        </w:rPr>
        <w:t xml:space="preserve"> 2018</w:t>
      </w:r>
    </w:p>
    <w:p w:rsidR="00AB6103" w:rsidRDefault="00E81D81" w:rsidP="00592037">
      <w:pPr>
        <w:pStyle w:val="Title1"/>
      </w:pPr>
      <w:r>
        <w:lastRenderedPageBreak/>
        <w:t>Table of Contents</w:t>
      </w:r>
    </w:p>
    <w:bookmarkStart w:id="1" w:name="_GoBack"/>
    <w:bookmarkEnd w:id="1"/>
    <w:p w:rsidR="00A20550"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29286621" w:history="1">
        <w:r w:rsidR="00A20550" w:rsidRPr="00F25DAA">
          <w:rPr>
            <w:rStyle w:val="Hyperlink"/>
            <w:lang w:val="en-GB"/>
          </w:rPr>
          <w:t>1.</w:t>
        </w:r>
        <w:r w:rsidR="00A20550">
          <w:rPr>
            <w:rFonts w:asciiTheme="minorHAnsi" w:eastAsiaTheme="minorEastAsia" w:hAnsiTheme="minorHAnsi" w:cstheme="minorBidi"/>
            <w:b w:val="0"/>
            <w:bCs w:val="0"/>
            <w:sz w:val="22"/>
            <w:szCs w:val="22"/>
            <w:lang w:val="en-GB" w:eastAsia="en-GB"/>
          </w:rPr>
          <w:tab/>
        </w:r>
        <w:r w:rsidR="00A20550" w:rsidRPr="00F25DAA">
          <w:rPr>
            <w:rStyle w:val="Hyperlink"/>
          </w:rPr>
          <w:t>Meeting Agenda</w:t>
        </w:r>
        <w:r w:rsidR="00A20550">
          <w:rPr>
            <w:webHidden/>
          </w:rPr>
          <w:tab/>
        </w:r>
        <w:r w:rsidR="00A20550">
          <w:rPr>
            <w:webHidden/>
          </w:rPr>
          <w:fldChar w:fldCharType="begin"/>
        </w:r>
        <w:r w:rsidR="00A20550">
          <w:rPr>
            <w:webHidden/>
          </w:rPr>
          <w:instrText xml:space="preserve"> PAGEREF _Toc529286621 \h </w:instrText>
        </w:r>
        <w:r w:rsidR="00A20550">
          <w:rPr>
            <w:webHidden/>
          </w:rPr>
        </w:r>
        <w:r w:rsidR="00A20550">
          <w:rPr>
            <w:webHidden/>
          </w:rPr>
          <w:fldChar w:fldCharType="separate"/>
        </w:r>
        <w:r w:rsidR="00A20550">
          <w:rPr>
            <w:webHidden/>
          </w:rPr>
          <w:t>4</w:t>
        </w:r>
        <w:r w:rsidR="00A20550">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2" w:history="1">
        <w:r w:rsidRPr="00F25DAA">
          <w:rPr>
            <w:rStyle w:val="Hyperlink"/>
            <w:lang w:val="en-GB"/>
          </w:rPr>
          <w:t>2.</w:t>
        </w:r>
        <w:r>
          <w:rPr>
            <w:rFonts w:asciiTheme="minorHAnsi" w:eastAsiaTheme="minorEastAsia" w:hAnsiTheme="minorHAnsi" w:cstheme="minorBidi"/>
            <w:b w:val="0"/>
            <w:bCs w:val="0"/>
            <w:sz w:val="22"/>
            <w:szCs w:val="22"/>
            <w:lang w:val="en-GB" w:eastAsia="en-GB"/>
          </w:rPr>
          <w:tab/>
        </w:r>
        <w:r w:rsidRPr="00F25DAA">
          <w:rPr>
            <w:rStyle w:val="Hyperlink"/>
          </w:rPr>
          <w:t>Notes Taking</w:t>
        </w:r>
        <w:r>
          <w:rPr>
            <w:webHidden/>
          </w:rPr>
          <w:tab/>
        </w:r>
        <w:r>
          <w:rPr>
            <w:webHidden/>
          </w:rPr>
          <w:fldChar w:fldCharType="begin"/>
        </w:r>
        <w:r>
          <w:rPr>
            <w:webHidden/>
          </w:rPr>
          <w:instrText xml:space="preserve"> PAGEREF _Toc529286622 \h </w:instrText>
        </w:r>
        <w:r>
          <w:rPr>
            <w:webHidden/>
          </w:rPr>
        </w:r>
        <w:r>
          <w:rPr>
            <w:webHidden/>
          </w:rPr>
          <w:fldChar w:fldCharType="separate"/>
        </w:r>
        <w:r>
          <w:rPr>
            <w:webHidden/>
          </w:rPr>
          <w:t>4</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3" w:history="1">
        <w:r w:rsidRPr="00F25DAA">
          <w:rPr>
            <w:rStyle w:val="Hyperlink"/>
            <w:lang w:val="en-GB"/>
          </w:rPr>
          <w:t>3.</w:t>
        </w:r>
        <w:r>
          <w:rPr>
            <w:rFonts w:asciiTheme="minorHAnsi" w:eastAsiaTheme="minorEastAsia" w:hAnsiTheme="minorHAnsi" w:cstheme="minorBidi"/>
            <w:b w:val="0"/>
            <w:bCs w:val="0"/>
            <w:sz w:val="22"/>
            <w:szCs w:val="22"/>
            <w:lang w:val="en-GB" w:eastAsia="en-GB"/>
          </w:rPr>
          <w:tab/>
        </w:r>
        <w:r w:rsidRPr="00F25DAA">
          <w:rPr>
            <w:rStyle w:val="Hyperlink"/>
          </w:rPr>
          <w:t>Next Conference calls Schedule for 2019 Q1 / Q2</w:t>
        </w:r>
        <w:r>
          <w:rPr>
            <w:webHidden/>
          </w:rPr>
          <w:tab/>
        </w:r>
        <w:r>
          <w:rPr>
            <w:webHidden/>
          </w:rPr>
          <w:fldChar w:fldCharType="begin"/>
        </w:r>
        <w:r>
          <w:rPr>
            <w:webHidden/>
          </w:rPr>
          <w:instrText xml:space="preserve"> PAGEREF _Toc529286623 \h </w:instrText>
        </w:r>
        <w:r>
          <w:rPr>
            <w:webHidden/>
          </w:rPr>
        </w:r>
        <w:r>
          <w:rPr>
            <w:webHidden/>
          </w:rPr>
          <w:fldChar w:fldCharType="separate"/>
        </w:r>
        <w:r>
          <w:rPr>
            <w:webHidden/>
          </w:rPr>
          <w:t>4</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4" w:history="1">
        <w:r w:rsidRPr="00F25DAA">
          <w:rPr>
            <w:rStyle w:val="Hyperlink"/>
            <w:lang w:val="en-GB" w:eastAsia="en-GB"/>
          </w:rPr>
          <w:t>4.</w:t>
        </w:r>
        <w:r>
          <w:rPr>
            <w:rFonts w:asciiTheme="minorHAnsi" w:eastAsiaTheme="minorEastAsia" w:hAnsiTheme="minorHAnsi" w:cstheme="minorBidi"/>
            <w:b w:val="0"/>
            <w:bCs w:val="0"/>
            <w:sz w:val="22"/>
            <w:szCs w:val="22"/>
            <w:lang w:val="en-GB" w:eastAsia="en-GB"/>
          </w:rPr>
          <w:tab/>
        </w:r>
        <w:r w:rsidRPr="00F25DAA">
          <w:rPr>
            <w:rStyle w:val="Hyperlink"/>
            <w:lang w:eastAsia="en-GB"/>
          </w:rPr>
          <w:t>Approval of September Conf. call Meeting Minutes</w:t>
        </w:r>
        <w:r>
          <w:rPr>
            <w:webHidden/>
          </w:rPr>
          <w:tab/>
        </w:r>
        <w:r>
          <w:rPr>
            <w:webHidden/>
          </w:rPr>
          <w:fldChar w:fldCharType="begin"/>
        </w:r>
        <w:r>
          <w:rPr>
            <w:webHidden/>
          </w:rPr>
          <w:instrText xml:space="preserve"> PAGEREF _Toc529286624 \h </w:instrText>
        </w:r>
        <w:r>
          <w:rPr>
            <w:webHidden/>
          </w:rPr>
        </w:r>
        <w:r>
          <w:rPr>
            <w:webHidden/>
          </w:rPr>
          <w:fldChar w:fldCharType="separate"/>
        </w:r>
        <w:r>
          <w:rPr>
            <w:webHidden/>
          </w:rPr>
          <w:t>4</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5" w:history="1">
        <w:r w:rsidRPr="00F25DAA">
          <w:rPr>
            <w:rStyle w:val="Hyperlink"/>
            <w:lang w:val="en-GB"/>
          </w:rPr>
          <w:t>5.</w:t>
        </w:r>
        <w:r>
          <w:rPr>
            <w:rFonts w:asciiTheme="minorHAnsi" w:eastAsiaTheme="minorEastAsia" w:hAnsiTheme="minorHAnsi" w:cstheme="minorBidi"/>
            <w:b w:val="0"/>
            <w:bCs w:val="0"/>
            <w:sz w:val="22"/>
            <w:szCs w:val="22"/>
            <w:lang w:val="en-GB" w:eastAsia="en-GB"/>
          </w:rPr>
          <w:tab/>
        </w:r>
        <w:r w:rsidRPr="00F25DAA">
          <w:rPr>
            <w:rStyle w:val="Hyperlink"/>
          </w:rPr>
          <w:t>CA378 TNDP MP and TNDP Indicator DSS Usage</w:t>
        </w:r>
        <w:r>
          <w:rPr>
            <w:webHidden/>
          </w:rPr>
          <w:tab/>
        </w:r>
        <w:r>
          <w:rPr>
            <w:webHidden/>
          </w:rPr>
          <w:fldChar w:fldCharType="begin"/>
        </w:r>
        <w:r>
          <w:rPr>
            <w:webHidden/>
          </w:rPr>
          <w:instrText xml:space="preserve"> PAGEREF _Toc529286625 \h </w:instrText>
        </w:r>
        <w:r>
          <w:rPr>
            <w:webHidden/>
          </w:rPr>
        </w:r>
        <w:r>
          <w:rPr>
            <w:webHidden/>
          </w:rPr>
          <w:fldChar w:fldCharType="separate"/>
        </w:r>
        <w:r>
          <w:rPr>
            <w:webHidden/>
          </w:rPr>
          <w:t>4</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6" w:history="1">
        <w:r w:rsidRPr="00F25DAA">
          <w:rPr>
            <w:rStyle w:val="Hyperlink"/>
            <w:lang w:val="en-GB"/>
          </w:rPr>
          <w:t>6.</w:t>
        </w:r>
        <w:r>
          <w:rPr>
            <w:rFonts w:asciiTheme="minorHAnsi" w:eastAsiaTheme="minorEastAsia" w:hAnsiTheme="minorHAnsi" w:cstheme="minorBidi"/>
            <w:b w:val="0"/>
            <w:bCs w:val="0"/>
            <w:sz w:val="22"/>
            <w:szCs w:val="22"/>
            <w:lang w:val="en-GB" w:eastAsia="en-GB"/>
          </w:rPr>
          <w:tab/>
        </w:r>
        <w:r w:rsidRPr="00F25DAA">
          <w:rPr>
            <w:rStyle w:val="Hyperlink"/>
          </w:rPr>
          <w:t>CA389 Brazilian Distributions</w:t>
        </w:r>
        <w:r>
          <w:rPr>
            <w:webHidden/>
          </w:rPr>
          <w:tab/>
        </w:r>
        <w:r>
          <w:rPr>
            <w:webHidden/>
          </w:rPr>
          <w:fldChar w:fldCharType="begin"/>
        </w:r>
        <w:r>
          <w:rPr>
            <w:webHidden/>
          </w:rPr>
          <w:instrText xml:space="preserve"> PAGEREF _Toc529286626 \h </w:instrText>
        </w:r>
        <w:r>
          <w:rPr>
            <w:webHidden/>
          </w:rPr>
        </w:r>
        <w:r>
          <w:rPr>
            <w:webHidden/>
          </w:rPr>
          <w:fldChar w:fldCharType="separate"/>
        </w:r>
        <w:r>
          <w:rPr>
            <w:webHidden/>
          </w:rPr>
          <w:t>4</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7" w:history="1">
        <w:r w:rsidRPr="00F25DAA">
          <w:rPr>
            <w:rStyle w:val="Hyperlink"/>
            <w:lang w:val="en-GB"/>
          </w:rPr>
          <w:t>7.</w:t>
        </w:r>
        <w:r>
          <w:rPr>
            <w:rFonts w:asciiTheme="minorHAnsi" w:eastAsiaTheme="minorEastAsia" w:hAnsiTheme="minorHAnsi" w:cstheme="minorBidi"/>
            <w:b w:val="0"/>
            <w:bCs w:val="0"/>
            <w:sz w:val="22"/>
            <w:szCs w:val="22"/>
            <w:lang w:val="en-GB" w:eastAsia="en-GB"/>
          </w:rPr>
          <w:tab/>
        </w:r>
        <w:r w:rsidRPr="00F25DAA">
          <w:rPr>
            <w:rStyle w:val="Hyperlink"/>
          </w:rPr>
          <w:t>CA391 Identify which line of Multi-listed Securities on a Notification</w:t>
        </w:r>
        <w:r>
          <w:rPr>
            <w:webHidden/>
          </w:rPr>
          <w:tab/>
        </w:r>
        <w:r>
          <w:rPr>
            <w:webHidden/>
          </w:rPr>
          <w:fldChar w:fldCharType="begin"/>
        </w:r>
        <w:r>
          <w:rPr>
            <w:webHidden/>
          </w:rPr>
          <w:instrText xml:space="preserve"> PAGEREF _Toc529286627 \h </w:instrText>
        </w:r>
        <w:r>
          <w:rPr>
            <w:webHidden/>
          </w:rPr>
        </w:r>
        <w:r>
          <w:rPr>
            <w:webHidden/>
          </w:rPr>
          <w:fldChar w:fldCharType="separate"/>
        </w:r>
        <w:r>
          <w:rPr>
            <w:webHidden/>
          </w:rPr>
          <w:t>5</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8" w:history="1">
        <w:r w:rsidRPr="00F25DAA">
          <w:rPr>
            <w:rStyle w:val="Hyperlink"/>
            <w:lang w:val="en-GB"/>
          </w:rPr>
          <w:t>8.</w:t>
        </w:r>
        <w:r>
          <w:rPr>
            <w:rFonts w:asciiTheme="minorHAnsi" w:eastAsiaTheme="minorEastAsia" w:hAnsiTheme="minorHAnsi" w:cstheme="minorBidi"/>
            <w:b w:val="0"/>
            <w:bCs w:val="0"/>
            <w:sz w:val="22"/>
            <w:szCs w:val="22"/>
            <w:lang w:val="en-GB" w:eastAsia="en-GB"/>
          </w:rPr>
          <w:tab/>
        </w:r>
        <w:r w:rsidRPr="00F25DAA">
          <w:rPr>
            <w:rStyle w:val="Hyperlink"/>
          </w:rPr>
          <w:t>CA392 Foreign Dividend Indicator in ZA (Sanjeev)</w:t>
        </w:r>
        <w:r>
          <w:rPr>
            <w:webHidden/>
          </w:rPr>
          <w:tab/>
        </w:r>
        <w:r>
          <w:rPr>
            <w:webHidden/>
          </w:rPr>
          <w:fldChar w:fldCharType="begin"/>
        </w:r>
        <w:r>
          <w:rPr>
            <w:webHidden/>
          </w:rPr>
          <w:instrText xml:space="preserve"> PAGEREF _Toc529286628 \h </w:instrText>
        </w:r>
        <w:r>
          <w:rPr>
            <w:webHidden/>
          </w:rPr>
        </w:r>
        <w:r>
          <w:rPr>
            <w:webHidden/>
          </w:rPr>
          <w:fldChar w:fldCharType="separate"/>
        </w:r>
        <w:r>
          <w:rPr>
            <w:webHidden/>
          </w:rPr>
          <w:t>5</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29" w:history="1">
        <w:r w:rsidRPr="00F25DAA">
          <w:rPr>
            <w:rStyle w:val="Hyperlink"/>
            <w:lang w:val="en-GB"/>
          </w:rPr>
          <w:t>9.</w:t>
        </w:r>
        <w:r>
          <w:rPr>
            <w:rFonts w:asciiTheme="minorHAnsi" w:eastAsiaTheme="minorEastAsia" w:hAnsiTheme="minorHAnsi" w:cstheme="minorBidi"/>
            <w:b w:val="0"/>
            <w:bCs w:val="0"/>
            <w:sz w:val="22"/>
            <w:szCs w:val="22"/>
            <w:lang w:val="en-GB" w:eastAsia="en-GB"/>
          </w:rPr>
          <w:tab/>
        </w:r>
        <w:r w:rsidRPr="00F25DAA">
          <w:rPr>
            <w:rStyle w:val="Hyperlink"/>
          </w:rPr>
          <w:t>CA398 GMP1 – Full revamp of section 10 on Market Claim</w:t>
        </w:r>
        <w:r>
          <w:rPr>
            <w:webHidden/>
          </w:rPr>
          <w:tab/>
        </w:r>
        <w:r>
          <w:rPr>
            <w:webHidden/>
          </w:rPr>
          <w:fldChar w:fldCharType="begin"/>
        </w:r>
        <w:r>
          <w:rPr>
            <w:webHidden/>
          </w:rPr>
          <w:instrText xml:space="preserve"> PAGEREF _Toc529286629 \h </w:instrText>
        </w:r>
        <w:r>
          <w:rPr>
            <w:webHidden/>
          </w:rPr>
        </w:r>
        <w:r>
          <w:rPr>
            <w:webHidden/>
          </w:rPr>
          <w:fldChar w:fldCharType="separate"/>
        </w:r>
        <w:r>
          <w:rPr>
            <w:webHidden/>
          </w:rPr>
          <w:t>5</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0" w:history="1">
        <w:r w:rsidRPr="00F25DAA">
          <w:rPr>
            <w:rStyle w:val="Hyperlink"/>
            <w:lang w:val="en-GB"/>
          </w:rPr>
          <w:t>10.</w:t>
        </w:r>
        <w:r>
          <w:rPr>
            <w:rFonts w:asciiTheme="minorHAnsi" w:eastAsiaTheme="minorEastAsia" w:hAnsiTheme="minorHAnsi" w:cstheme="minorBidi"/>
            <w:b w:val="0"/>
            <w:bCs w:val="0"/>
            <w:sz w:val="22"/>
            <w:szCs w:val="22"/>
            <w:lang w:val="en-GB" w:eastAsia="en-GB"/>
          </w:rPr>
          <w:tab/>
        </w:r>
        <w:r w:rsidRPr="00F25DAA">
          <w:rPr>
            <w:rStyle w:val="Hyperlink"/>
          </w:rPr>
          <w:t>CA400 Scheme of Arrangement</w:t>
        </w:r>
        <w:r>
          <w:rPr>
            <w:webHidden/>
          </w:rPr>
          <w:tab/>
        </w:r>
        <w:r>
          <w:rPr>
            <w:webHidden/>
          </w:rPr>
          <w:fldChar w:fldCharType="begin"/>
        </w:r>
        <w:r>
          <w:rPr>
            <w:webHidden/>
          </w:rPr>
          <w:instrText xml:space="preserve"> PAGEREF _Toc529286630 \h </w:instrText>
        </w:r>
        <w:r>
          <w:rPr>
            <w:webHidden/>
          </w:rPr>
        </w:r>
        <w:r>
          <w:rPr>
            <w:webHidden/>
          </w:rPr>
          <w:fldChar w:fldCharType="separate"/>
        </w:r>
        <w:r>
          <w:rPr>
            <w:webHidden/>
          </w:rPr>
          <w:t>6</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1" w:history="1">
        <w:r w:rsidRPr="00F25DAA">
          <w:rPr>
            <w:rStyle w:val="Hyperlink"/>
            <w:lang w:val="en-GB"/>
          </w:rPr>
          <w:t>11.</w:t>
        </w:r>
        <w:r>
          <w:rPr>
            <w:rFonts w:asciiTheme="minorHAnsi" w:eastAsiaTheme="minorEastAsia" w:hAnsiTheme="minorHAnsi" w:cstheme="minorBidi"/>
            <w:b w:val="0"/>
            <w:bCs w:val="0"/>
            <w:sz w:val="22"/>
            <w:szCs w:val="22"/>
            <w:lang w:val="en-GB" w:eastAsia="en-GB"/>
          </w:rPr>
          <w:tab/>
        </w:r>
        <w:r w:rsidRPr="00F25DAA">
          <w:rPr>
            <w:rStyle w:val="Hyperlink"/>
          </w:rPr>
          <w:t>CA401 SHRD2 – Check compliance of Messaging Solutions</w:t>
        </w:r>
        <w:r>
          <w:rPr>
            <w:webHidden/>
          </w:rPr>
          <w:tab/>
        </w:r>
        <w:r>
          <w:rPr>
            <w:webHidden/>
          </w:rPr>
          <w:fldChar w:fldCharType="begin"/>
        </w:r>
        <w:r>
          <w:rPr>
            <w:webHidden/>
          </w:rPr>
          <w:instrText xml:space="preserve"> PAGEREF _Toc529286631 \h </w:instrText>
        </w:r>
        <w:r>
          <w:rPr>
            <w:webHidden/>
          </w:rPr>
        </w:r>
        <w:r>
          <w:rPr>
            <w:webHidden/>
          </w:rPr>
          <w:fldChar w:fldCharType="separate"/>
        </w:r>
        <w:r>
          <w:rPr>
            <w:webHidden/>
          </w:rPr>
          <w:t>6</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2" w:history="1">
        <w:r w:rsidRPr="00F25DAA">
          <w:rPr>
            <w:rStyle w:val="Hyperlink"/>
            <w:lang w:val="en-GB"/>
          </w:rPr>
          <w:t>12.</w:t>
        </w:r>
        <w:r>
          <w:rPr>
            <w:rFonts w:asciiTheme="minorHAnsi" w:eastAsiaTheme="minorEastAsia" w:hAnsiTheme="minorHAnsi" w:cstheme="minorBidi"/>
            <w:b w:val="0"/>
            <w:bCs w:val="0"/>
            <w:sz w:val="22"/>
            <w:szCs w:val="22"/>
            <w:lang w:val="en-GB" w:eastAsia="en-GB"/>
          </w:rPr>
          <w:tab/>
        </w:r>
        <w:r w:rsidRPr="00F25DAA">
          <w:rPr>
            <w:rStyle w:val="Hyperlink"/>
          </w:rPr>
          <w:t>CA403 Multi-Deposited Securities and COAF / CORP / SAFE in the MT565</w:t>
        </w:r>
        <w:r>
          <w:rPr>
            <w:webHidden/>
          </w:rPr>
          <w:tab/>
        </w:r>
        <w:r>
          <w:rPr>
            <w:webHidden/>
          </w:rPr>
          <w:fldChar w:fldCharType="begin"/>
        </w:r>
        <w:r>
          <w:rPr>
            <w:webHidden/>
          </w:rPr>
          <w:instrText xml:space="preserve"> PAGEREF _Toc529286632 \h </w:instrText>
        </w:r>
        <w:r>
          <w:rPr>
            <w:webHidden/>
          </w:rPr>
        </w:r>
        <w:r>
          <w:rPr>
            <w:webHidden/>
          </w:rPr>
          <w:fldChar w:fldCharType="separate"/>
        </w:r>
        <w:r>
          <w:rPr>
            <w:webHidden/>
          </w:rPr>
          <w:t>7</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3" w:history="1">
        <w:r w:rsidRPr="00F25DAA">
          <w:rPr>
            <w:rStyle w:val="Hyperlink"/>
            <w:lang w:val="en-GB"/>
          </w:rPr>
          <w:t>13.</w:t>
        </w:r>
        <w:r>
          <w:rPr>
            <w:rFonts w:asciiTheme="minorHAnsi" w:eastAsiaTheme="minorEastAsia" w:hAnsiTheme="minorHAnsi" w:cstheme="minorBidi"/>
            <w:b w:val="0"/>
            <w:bCs w:val="0"/>
            <w:sz w:val="22"/>
            <w:szCs w:val="22"/>
            <w:lang w:val="en-GB" w:eastAsia="en-GB"/>
          </w:rPr>
          <w:tab/>
        </w:r>
        <w:r w:rsidRPr="00F25DAA">
          <w:rPr>
            <w:rStyle w:val="Hyperlink"/>
          </w:rPr>
          <w:t>CA405 Flag at movement level indicating that securities will be blocked</w:t>
        </w:r>
        <w:r>
          <w:rPr>
            <w:webHidden/>
          </w:rPr>
          <w:tab/>
        </w:r>
        <w:r>
          <w:rPr>
            <w:webHidden/>
          </w:rPr>
          <w:fldChar w:fldCharType="begin"/>
        </w:r>
        <w:r>
          <w:rPr>
            <w:webHidden/>
          </w:rPr>
          <w:instrText xml:space="preserve"> PAGEREF _Toc529286633 \h </w:instrText>
        </w:r>
        <w:r>
          <w:rPr>
            <w:webHidden/>
          </w:rPr>
        </w:r>
        <w:r>
          <w:rPr>
            <w:webHidden/>
          </w:rPr>
          <w:fldChar w:fldCharType="separate"/>
        </w:r>
        <w:r>
          <w:rPr>
            <w:webHidden/>
          </w:rPr>
          <w:t>7</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4" w:history="1">
        <w:r w:rsidRPr="00F25DAA">
          <w:rPr>
            <w:rStyle w:val="Hyperlink"/>
            <w:lang w:val="en-GB"/>
          </w:rPr>
          <w:t>14.</w:t>
        </w:r>
        <w:r>
          <w:rPr>
            <w:rFonts w:asciiTheme="minorHAnsi" w:eastAsiaTheme="minorEastAsia" w:hAnsiTheme="minorHAnsi" w:cstheme="minorBidi"/>
            <w:b w:val="0"/>
            <w:bCs w:val="0"/>
            <w:sz w:val="22"/>
            <w:szCs w:val="22"/>
            <w:lang w:val="en-GB" w:eastAsia="en-GB"/>
          </w:rPr>
          <w:tab/>
        </w:r>
        <w:r w:rsidRPr="00F25DAA">
          <w:rPr>
            <w:rStyle w:val="Hyperlink"/>
          </w:rPr>
          <w:t>CA406 Add MITI to the MT566 ?</w:t>
        </w:r>
        <w:r>
          <w:rPr>
            <w:webHidden/>
          </w:rPr>
          <w:tab/>
        </w:r>
        <w:r>
          <w:rPr>
            <w:webHidden/>
          </w:rPr>
          <w:fldChar w:fldCharType="begin"/>
        </w:r>
        <w:r>
          <w:rPr>
            <w:webHidden/>
          </w:rPr>
          <w:instrText xml:space="preserve"> PAGEREF _Toc529286634 \h </w:instrText>
        </w:r>
        <w:r>
          <w:rPr>
            <w:webHidden/>
          </w:rPr>
        </w:r>
        <w:r>
          <w:rPr>
            <w:webHidden/>
          </w:rPr>
          <w:fldChar w:fldCharType="separate"/>
        </w:r>
        <w:r>
          <w:rPr>
            <w:webHidden/>
          </w:rPr>
          <w:t>7</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5" w:history="1">
        <w:r w:rsidRPr="00F25DAA">
          <w:rPr>
            <w:rStyle w:val="Hyperlink"/>
            <w:lang w:val="en-GB"/>
          </w:rPr>
          <w:t>15.</w:t>
        </w:r>
        <w:r>
          <w:rPr>
            <w:rFonts w:asciiTheme="minorHAnsi" w:eastAsiaTheme="minorEastAsia" w:hAnsiTheme="minorHAnsi" w:cstheme="minorBidi"/>
            <w:b w:val="0"/>
            <w:bCs w:val="0"/>
            <w:sz w:val="22"/>
            <w:szCs w:val="22"/>
            <w:lang w:val="en-GB" w:eastAsia="en-GB"/>
          </w:rPr>
          <w:tab/>
        </w:r>
        <w:r w:rsidRPr="00F25DAA">
          <w:rPr>
            <w:rStyle w:val="Hyperlink"/>
          </w:rPr>
          <w:t>CA408 Corporate Action on sukuk bonds/certificates</w:t>
        </w:r>
        <w:r>
          <w:rPr>
            <w:webHidden/>
          </w:rPr>
          <w:tab/>
        </w:r>
        <w:r>
          <w:rPr>
            <w:webHidden/>
          </w:rPr>
          <w:fldChar w:fldCharType="begin"/>
        </w:r>
        <w:r>
          <w:rPr>
            <w:webHidden/>
          </w:rPr>
          <w:instrText xml:space="preserve"> PAGEREF _Toc529286635 \h </w:instrText>
        </w:r>
        <w:r>
          <w:rPr>
            <w:webHidden/>
          </w:rPr>
        </w:r>
        <w:r>
          <w:rPr>
            <w:webHidden/>
          </w:rPr>
          <w:fldChar w:fldCharType="separate"/>
        </w:r>
        <w:r>
          <w:rPr>
            <w:webHidden/>
          </w:rPr>
          <w:t>7</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6" w:history="1">
        <w:r w:rsidRPr="00F25DAA">
          <w:rPr>
            <w:rStyle w:val="Hyperlink"/>
            <w:lang w:val="en-GB"/>
          </w:rPr>
          <w:t>16.</w:t>
        </w:r>
        <w:r>
          <w:rPr>
            <w:rFonts w:asciiTheme="minorHAnsi" w:eastAsiaTheme="minorEastAsia" w:hAnsiTheme="minorHAnsi" w:cstheme="minorBidi"/>
            <w:b w:val="0"/>
            <w:bCs w:val="0"/>
            <w:sz w:val="22"/>
            <w:szCs w:val="22"/>
            <w:lang w:val="en-GB" w:eastAsia="en-GB"/>
          </w:rPr>
          <w:tab/>
        </w:r>
        <w:r w:rsidRPr="00F25DAA">
          <w:rPr>
            <w:rStyle w:val="Hyperlink"/>
          </w:rPr>
          <w:t>CA409 GMP1 Section 3.8.2 on Place of Safekeeping to be clarified</w:t>
        </w:r>
        <w:r>
          <w:rPr>
            <w:webHidden/>
          </w:rPr>
          <w:tab/>
        </w:r>
        <w:r>
          <w:rPr>
            <w:webHidden/>
          </w:rPr>
          <w:fldChar w:fldCharType="begin"/>
        </w:r>
        <w:r>
          <w:rPr>
            <w:webHidden/>
          </w:rPr>
          <w:instrText xml:space="preserve"> PAGEREF _Toc529286636 \h </w:instrText>
        </w:r>
        <w:r>
          <w:rPr>
            <w:webHidden/>
          </w:rPr>
        </w:r>
        <w:r>
          <w:rPr>
            <w:webHidden/>
          </w:rPr>
          <w:fldChar w:fldCharType="separate"/>
        </w:r>
        <w:r>
          <w:rPr>
            <w:webHidden/>
          </w:rPr>
          <w:t>7</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7" w:history="1">
        <w:r w:rsidRPr="00F25DAA">
          <w:rPr>
            <w:rStyle w:val="Hyperlink"/>
            <w:lang w:val="en-GB"/>
          </w:rPr>
          <w:t>17.</w:t>
        </w:r>
        <w:r>
          <w:rPr>
            <w:rFonts w:asciiTheme="minorHAnsi" w:eastAsiaTheme="minorEastAsia" w:hAnsiTheme="minorHAnsi" w:cstheme="minorBidi"/>
            <w:b w:val="0"/>
            <w:bCs w:val="0"/>
            <w:sz w:val="22"/>
            <w:szCs w:val="22"/>
            <w:lang w:val="en-GB" w:eastAsia="en-GB"/>
          </w:rPr>
          <w:tab/>
        </w:r>
        <w:r w:rsidRPr="00F25DAA">
          <w:rPr>
            <w:rStyle w:val="Hyperlink"/>
          </w:rPr>
          <w:t>CA412 New PCAL Template</w:t>
        </w:r>
        <w:r>
          <w:rPr>
            <w:webHidden/>
          </w:rPr>
          <w:tab/>
        </w:r>
        <w:r>
          <w:rPr>
            <w:webHidden/>
          </w:rPr>
          <w:fldChar w:fldCharType="begin"/>
        </w:r>
        <w:r>
          <w:rPr>
            <w:webHidden/>
          </w:rPr>
          <w:instrText xml:space="preserve"> PAGEREF _Toc529286637 \h </w:instrText>
        </w:r>
        <w:r>
          <w:rPr>
            <w:webHidden/>
          </w:rPr>
        </w:r>
        <w:r>
          <w:rPr>
            <w:webHidden/>
          </w:rPr>
          <w:fldChar w:fldCharType="separate"/>
        </w:r>
        <w:r>
          <w:rPr>
            <w:webHidden/>
          </w:rPr>
          <w:t>8</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8" w:history="1">
        <w:r w:rsidRPr="00F25DAA">
          <w:rPr>
            <w:rStyle w:val="Hyperlink"/>
            <w:lang w:val="en-GB"/>
          </w:rPr>
          <w:t>18.</w:t>
        </w:r>
        <w:r>
          <w:rPr>
            <w:rFonts w:asciiTheme="minorHAnsi" w:eastAsiaTheme="minorEastAsia" w:hAnsiTheme="minorHAnsi" w:cstheme="minorBidi"/>
            <w:b w:val="0"/>
            <w:bCs w:val="0"/>
            <w:sz w:val="22"/>
            <w:szCs w:val="22"/>
            <w:lang w:val="en-GB" w:eastAsia="en-GB"/>
          </w:rPr>
          <w:tab/>
        </w:r>
        <w:r w:rsidRPr="00F25DAA">
          <w:rPr>
            <w:rStyle w:val="Hyperlink"/>
          </w:rPr>
          <w:t>CA413 CMH-TF CA Thread</w:t>
        </w:r>
        <w:r>
          <w:rPr>
            <w:webHidden/>
          </w:rPr>
          <w:tab/>
        </w:r>
        <w:r>
          <w:rPr>
            <w:webHidden/>
          </w:rPr>
          <w:fldChar w:fldCharType="begin"/>
        </w:r>
        <w:r>
          <w:rPr>
            <w:webHidden/>
          </w:rPr>
          <w:instrText xml:space="preserve"> PAGEREF _Toc529286638 \h </w:instrText>
        </w:r>
        <w:r>
          <w:rPr>
            <w:webHidden/>
          </w:rPr>
        </w:r>
        <w:r>
          <w:rPr>
            <w:webHidden/>
          </w:rPr>
          <w:fldChar w:fldCharType="separate"/>
        </w:r>
        <w:r>
          <w:rPr>
            <w:webHidden/>
          </w:rPr>
          <w:t>8</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39" w:history="1">
        <w:r w:rsidRPr="00F25DAA">
          <w:rPr>
            <w:rStyle w:val="Hyperlink"/>
            <w:lang w:val="en-GB"/>
          </w:rPr>
          <w:t>19.</w:t>
        </w:r>
        <w:r>
          <w:rPr>
            <w:rFonts w:asciiTheme="minorHAnsi" w:eastAsiaTheme="minorEastAsia" w:hAnsiTheme="minorHAnsi" w:cstheme="minorBidi"/>
            <w:b w:val="0"/>
            <w:bCs w:val="0"/>
            <w:sz w:val="22"/>
            <w:szCs w:val="22"/>
            <w:lang w:val="en-GB" w:eastAsia="en-GB"/>
          </w:rPr>
          <w:tab/>
        </w:r>
        <w:r w:rsidRPr="00F25DAA">
          <w:rPr>
            <w:rStyle w:val="Hyperlink"/>
          </w:rPr>
          <w:t>CA414 Usage of the Contractual Payment Indicator in MT564 &amp; 566</w:t>
        </w:r>
        <w:r>
          <w:rPr>
            <w:webHidden/>
          </w:rPr>
          <w:tab/>
        </w:r>
        <w:r>
          <w:rPr>
            <w:webHidden/>
          </w:rPr>
          <w:fldChar w:fldCharType="begin"/>
        </w:r>
        <w:r>
          <w:rPr>
            <w:webHidden/>
          </w:rPr>
          <w:instrText xml:space="preserve"> PAGEREF _Toc529286639 \h </w:instrText>
        </w:r>
        <w:r>
          <w:rPr>
            <w:webHidden/>
          </w:rPr>
        </w:r>
        <w:r>
          <w:rPr>
            <w:webHidden/>
          </w:rPr>
          <w:fldChar w:fldCharType="separate"/>
        </w:r>
        <w:r>
          <w:rPr>
            <w:webHidden/>
          </w:rPr>
          <w:t>8</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0" w:history="1">
        <w:r w:rsidRPr="00F25DAA">
          <w:rPr>
            <w:rStyle w:val="Hyperlink"/>
            <w:lang w:val="en-GB"/>
          </w:rPr>
          <w:t>20.</w:t>
        </w:r>
        <w:r>
          <w:rPr>
            <w:rFonts w:asciiTheme="minorHAnsi" w:eastAsiaTheme="minorEastAsia" w:hAnsiTheme="minorHAnsi" w:cstheme="minorBidi"/>
            <w:b w:val="0"/>
            <w:bCs w:val="0"/>
            <w:sz w:val="22"/>
            <w:szCs w:val="22"/>
            <w:lang w:val="en-GB" w:eastAsia="en-GB"/>
          </w:rPr>
          <w:tab/>
        </w:r>
        <w:r w:rsidRPr="00F25DAA">
          <w:rPr>
            <w:rStyle w:val="Hyperlink"/>
          </w:rPr>
          <w:t>CA416 Announcement of DVOP / DRIP on Rights</w:t>
        </w:r>
        <w:r>
          <w:rPr>
            <w:webHidden/>
          </w:rPr>
          <w:tab/>
        </w:r>
        <w:r>
          <w:rPr>
            <w:webHidden/>
          </w:rPr>
          <w:fldChar w:fldCharType="begin"/>
        </w:r>
        <w:r>
          <w:rPr>
            <w:webHidden/>
          </w:rPr>
          <w:instrText xml:space="preserve"> PAGEREF _Toc529286640 \h </w:instrText>
        </w:r>
        <w:r>
          <w:rPr>
            <w:webHidden/>
          </w:rPr>
        </w:r>
        <w:r>
          <w:rPr>
            <w:webHidden/>
          </w:rPr>
          <w:fldChar w:fldCharType="separate"/>
        </w:r>
        <w:r>
          <w:rPr>
            <w:webHidden/>
          </w:rPr>
          <w:t>9</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1" w:history="1">
        <w:r w:rsidRPr="00F25DAA">
          <w:rPr>
            <w:rStyle w:val="Hyperlink"/>
            <w:lang w:val="en-GB"/>
          </w:rPr>
          <w:t>21.</w:t>
        </w:r>
        <w:r>
          <w:rPr>
            <w:rFonts w:asciiTheme="minorHAnsi" w:eastAsiaTheme="minorEastAsia" w:hAnsiTheme="minorHAnsi" w:cstheme="minorBidi"/>
            <w:b w:val="0"/>
            <w:bCs w:val="0"/>
            <w:sz w:val="22"/>
            <w:szCs w:val="22"/>
            <w:lang w:val="en-GB" w:eastAsia="en-GB"/>
          </w:rPr>
          <w:tab/>
        </w:r>
        <w:r w:rsidRPr="00F25DAA">
          <w:rPr>
            <w:rStyle w:val="Hyperlink"/>
          </w:rPr>
          <w:t>CA417  Meaning of PACK Status Vs PEND</w:t>
        </w:r>
        <w:r>
          <w:rPr>
            <w:webHidden/>
          </w:rPr>
          <w:tab/>
        </w:r>
        <w:r>
          <w:rPr>
            <w:webHidden/>
          </w:rPr>
          <w:fldChar w:fldCharType="begin"/>
        </w:r>
        <w:r>
          <w:rPr>
            <w:webHidden/>
          </w:rPr>
          <w:instrText xml:space="preserve"> PAGEREF _Toc529286641 \h </w:instrText>
        </w:r>
        <w:r>
          <w:rPr>
            <w:webHidden/>
          </w:rPr>
        </w:r>
        <w:r>
          <w:rPr>
            <w:webHidden/>
          </w:rPr>
          <w:fldChar w:fldCharType="separate"/>
        </w:r>
        <w:r>
          <w:rPr>
            <w:webHidden/>
          </w:rPr>
          <w:t>9</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2" w:history="1">
        <w:r w:rsidRPr="00F25DAA">
          <w:rPr>
            <w:rStyle w:val="Hyperlink"/>
            <w:lang w:val="en-GB"/>
          </w:rPr>
          <w:t>22.</w:t>
        </w:r>
        <w:r>
          <w:rPr>
            <w:rFonts w:asciiTheme="minorHAnsi" w:eastAsiaTheme="minorEastAsia" w:hAnsiTheme="minorHAnsi" w:cstheme="minorBidi"/>
            <w:b w:val="0"/>
            <w:bCs w:val="0"/>
            <w:sz w:val="22"/>
            <w:szCs w:val="22"/>
            <w:lang w:val="en-GB" w:eastAsia="en-GB"/>
          </w:rPr>
          <w:tab/>
        </w:r>
        <w:r w:rsidRPr="00F25DAA">
          <w:rPr>
            <w:rStyle w:val="Hyperlink"/>
          </w:rPr>
          <w:t>CA418 SR2019 GMP Parts 1-3 &amp; Templates Updates</w:t>
        </w:r>
        <w:r>
          <w:rPr>
            <w:webHidden/>
          </w:rPr>
          <w:tab/>
        </w:r>
        <w:r>
          <w:rPr>
            <w:webHidden/>
          </w:rPr>
          <w:fldChar w:fldCharType="begin"/>
        </w:r>
        <w:r>
          <w:rPr>
            <w:webHidden/>
          </w:rPr>
          <w:instrText xml:space="preserve"> PAGEREF _Toc529286642 \h </w:instrText>
        </w:r>
        <w:r>
          <w:rPr>
            <w:webHidden/>
          </w:rPr>
        </w:r>
        <w:r>
          <w:rPr>
            <w:webHidden/>
          </w:rPr>
          <w:fldChar w:fldCharType="separate"/>
        </w:r>
        <w:r>
          <w:rPr>
            <w:webHidden/>
          </w:rPr>
          <w:t>9</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3" w:history="1">
        <w:r w:rsidRPr="00F25DAA">
          <w:rPr>
            <w:rStyle w:val="Hyperlink"/>
            <w:lang w:val="en-GB"/>
          </w:rPr>
          <w:t>23.</w:t>
        </w:r>
        <w:r>
          <w:rPr>
            <w:rFonts w:asciiTheme="minorHAnsi" w:eastAsiaTheme="minorEastAsia" w:hAnsiTheme="minorHAnsi" w:cstheme="minorBidi"/>
            <w:b w:val="0"/>
            <w:bCs w:val="0"/>
            <w:sz w:val="22"/>
            <w:szCs w:val="22"/>
            <w:lang w:val="en-GB" w:eastAsia="en-GB"/>
          </w:rPr>
          <w:tab/>
        </w:r>
        <w:r w:rsidRPr="00F25DAA">
          <w:rPr>
            <w:rStyle w:val="Hyperlink"/>
          </w:rPr>
          <w:t>CA419 SR2019 MWG actions for the SMPG</w:t>
        </w:r>
        <w:r>
          <w:rPr>
            <w:webHidden/>
          </w:rPr>
          <w:tab/>
        </w:r>
        <w:r>
          <w:rPr>
            <w:webHidden/>
          </w:rPr>
          <w:fldChar w:fldCharType="begin"/>
        </w:r>
        <w:r>
          <w:rPr>
            <w:webHidden/>
          </w:rPr>
          <w:instrText xml:space="preserve"> PAGEREF _Toc529286643 \h </w:instrText>
        </w:r>
        <w:r>
          <w:rPr>
            <w:webHidden/>
          </w:rPr>
        </w:r>
        <w:r>
          <w:rPr>
            <w:webHidden/>
          </w:rPr>
          <w:fldChar w:fldCharType="separate"/>
        </w:r>
        <w:r>
          <w:rPr>
            <w:webHidden/>
          </w:rPr>
          <w:t>11</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4" w:history="1">
        <w:r w:rsidRPr="00F25DAA">
          <w:rPr>
            <w:rStyle w:val="Hyperlink"/>
            <w:lang w:val="en-GB"/>
          </w:rPr>
          <w:t>24.</w:t>
        </w:r>
        <w:r>
          <w:rPr>
            <w:rFonts w:asciiTheme="minorHAnsi" w:eastAsiaTheme="minorEastAsia" w:hAnsiTheme="minorHAnsi" w:cstheme="minorBidi"/>
            <w:b w:val="0"/>
            <w:bCs w:val="0"/>
            <w:sz w:val="22"/>
            <w:szCs w:val="22"/>
            <w:lang w:val="en-GB" w:eastAsia="en-GB"/>
          </w:rPr>
          <w:tab/>
        </w:r>
        <w:r w:rsidRPr="00F25DAA">
          <w:rPr>
            <w:rStyle w:val="Hyperlink"/>
          </w:rPr>
          <w:t>CA420 RMPG / APAC regional update / Local NMPG market News</w:t>
        </w:r>
        <w:r>
          <w:rPr>
            <w:webHidden/>
          </w:rPr>
          <w:tab/>
        </w:r>
        <w:r>
          <w:rPr>
            <w:webHidden/>
          </w:rPr>
          <w:fldChar w:fldCharType="begin"/>
        </w:r>
        <w:r>
          <w:rPr>
            <w:webHidden/>
          </w:rPr>
          <w:instrText xml:space="preserve"> PAGEREF _Toc529286644 \h </w:instrText>
        </w:r>
        <w:r>
          <w:rPr>
            <w:webHidden/>
          </w:rPr>
        </w:r>
        <w:r>
          <w:rPr>
            <w:webHidden/>
          </w:rPr>
          <w:fldChar w:fldCharType="separate"/>
        </w:r>
        <w:r>
          <w:rPr>
            <w:webHidden/>
          </w:rPr>
          <w:t>11</w:t>
        </w:r>
        <w:r>
          <w:rPr>
            <w:webHidden/>
          </w:rPr>
          <w:fldChar w:fldCharType="end"/>
        </w:r>
      </w:hyperlink>
    </w:p>
    <w:p w:rsidR="00A20550" w:rsidRDefault="00A20550">
      <w:pPr>
        <w:pStyle w:val="TOC1"/>
        <w:rPr>
          <w:rFonts w:asciiTheme="minorHAnsi" w:eastAsiaTheme="minorEastAsia" w:hAnsiTheme="minorHAnsi" w:cstheme="minorBidi"/>
          <w:b w:val="0"/>
          <w:bCs w:val="0"/>
          <w:sz w:val="22"/>
          <w:szCs w:val="22"/>
          <w:lang w:val="en-GB" w:eastAsia="en-GB"/>
        </w:rPr>
      </w:pPr>
      <w:hyperlink w:anchor="_Toc529286645" w:history="1">
        <w:r w:rsidRPr="00F25DAA">
          <w:rPr>
            <w:rStyle w:val="Hyperlink"/>
            <w:lang w:val="en-GB"/>
          </w:rPr>
          <w:t>25.</w:t>
        </w:r>
        <w:r>
          <w:rPr>
            <w:rFonts w:asciiTheme="minorHAnsi" w:eastAsiaTheme="minorEastAsia" w:hAnsiTheme="minorHAnsi" w:cstheme="minorBidi"/>
            <w:b w:val="0"/>
            <w:bCs w:val="0"/>
            <w:sz w:val="22"/>
            <w:szCs w:val="22"/>
            <w:lang w:val="en-GB" w:eastAsia="en-GB"/>
          </w:rPr>
          <w:tab/>
        </w:r>
        <w:r w:rsidRPr="00F25DAA">
          <w:rPr>
            <w:rStyle w:val="Hyperlink"/>
          </w:rPr>
          <w:t>AOB</w:t>
        </w:r>
        <w:r>
          <w:rPr>
            <w:webHidden/>
          </w:rPr>
          <w:tab/>
        </w:r>
        <w:r>
          <w:rPr>
            <w:webHidden/>
          </w:rPr>
          <w:fldChar w:fldCharType="begin"/>
        </w:r>
        <w:r>
          <w:rPr>
            <w:webHidden/>
          </w:rPr>
          <w:instrText xml:space="preserve"> PAGEREF _Toc529286645 \h </w:instrText>
        </w:r>
        <w:r>
          <w:rPr>
            <w:webHidden/>
          </w:rPr>
        </w:r>
        <w:r>
          <w:rPr>
            <w:webHidden/>
          </w:rPr>
          <w:fldChar w:fldCharType="separate"/>
        </w:r>
        <w:r>
          <w:rPr>
            <w:webHidden/>
          </w:rPr>
          <w:t>12</w:t>
        </w:r>
        <w:r>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p>
    <w:p w:rsidR="00090C34" w:rsidRDefault="00090C34" w:rsidP="005742F5">
      <w:pPr>
        <w:rPr>
          <w:b/>
          <w:sz w:val="32"/>
          <w:szCs w:val="32"/>
          <w:u w:val="single"/>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60"/>
        <w:gridCol w:w="849"/>
        <w:gridCol w:w="1796"/>
        <w:gridCol w:w="1406"/>
        <w:gridCol w:w="2835"/>
        <w:gridCol w:w="1214"/>
      </w:tblGrid>
      <w:tr w:rsidR="005742F5" w:rsidRPr="00761329" w:rsidTr="00172D93">
        <w:tc>
          <w:tcPr>
            <w:tcW w:w="1560" w:type="dxa"/>
            <w:tcBorders>
              <w:left w:val="single" w:sz="4" w:space="0" w:color="auto"/>
            </w:tcBorders>
            <w:shd w:val="clear" w:color="auto" w:fill="92D050"/>
            <w:vAlign w:val="center"/>
          </w:tcPr>
          <w:p w:rsidR="005742F5" w:rsidRPr="00ED35A1" w:rsidRDefault="005742F5" w:rsidP="00172D93">
            <w:pPr>
              <w:ind w:left="106"/>
              <w:jc w:val="center"/>
              <w:rPr>
                <w:b/>
                <w:lang w:val="en-GB"/>
              </w:rPr>
            </w:pPr>
            <w:bookmarkStart w:id="4" w:name="_Toc482870651"/>
            <w:bookmarkStart w:id="5" w:name="_Toc436145644"/>
            <w:bookmarkStart w:id="6" w:name="_Toc450127687"/>
            <w:bookmarkStart w:id="7" w:name="OLE_LINK5"/>
            <w:bookmarkStart w:id="8" w:name="OLE_LINK8"/>
            <w:bookmarkEnd w:id="2"/>
            <w:bookmarkEnd w:id="3"/>
            <w:r>
              <w:rPr>
                <w:b/>
                <w:lang w:val="en-GB"/>
              </w:rPr>
              <w:t>NMPG</w:t>
            </w:r>
          </w:p>
        </w:tc>
        <w:tc>
          <w:tcPr>
            <w:tcW w:w="849" w:type="dxa"/>
            <w:shd w:val="clear" w:color="auto" w:fill="92D050"/>
          </w:tcPr>
          <w:p w:rsidR="005742F5" w:rsidRPr="00ED35A1" w:rsidRDefault="005742F5" w:rsidP="00172D93">
            <w:pPr>
              <w:ind w:left="-91"/>
              <w:jc w:val="center"/>
              <w:rPr>
                <w:b/>
                <w:lang w:val="en-GB"/>
              </w:rPr>
            </w:pPr>
          </w:p>
        </w:tc>
        <w:tc>
          <w:tcPr>
            <w:tcW w:w="1796" w:type="dxa"/>
            <w:shd w:val="clear" w:color="auto" w:fill="92D050"/>
            <w:vAlign w:val="center"/>
          </w:tcPr>
          <w:p w:rsidR="005742F5" w:rsidRPr="00ED35A1" w:rsidRDefault="005742F5" w:rsidP="00172D93">
            <w:pPr>
              <w:ind w:left="-91"/>
              <w:jc w:val="center"/>
              <w:rPr>
                <w:b/>
                <w:lang w:val="en-GB"/>
              </w:rPr>
            </w:pPr>
            <w:r w:rsidRPr="00ED35A1">
              <w:rPr>
                <w:b/>
                <w:lang w:val="en-GB"/>
              </w:rPr>
              <w:t>First Name</w:t>
            </w:r>
          </w:p>
        </w:tc>
        <w:tc>
          <w:tcPr>
            <w:tcW w:w="0" w:type="auto"/>
            <w:shd w:val="clear" w:color="auto" w:fill="92D050"/>
            <w:vAlign w:val="center"/>
          </w:tcPr>
          <w:p w:rsidR="005742F5" w:rsidRPr="00ED35A1" w:rsidRDefault="005742F5" w:rsidP="00172D93">
            <w:pPr>
              <w:ind w:left="-91"/>
              <w:jc w:val="center"/>
              <w:rPr>
                <w:b/>
                <w:lang w:val="en-GB"/>
              </w:rPr>
            </w:pPr>
            <w:r w:rsidRPr="00ED35A1">
              <w:rPr>
                <w:b/>
                <w:lang w:val="en-GB"/>
              </w:rPr>
              <w:t>Last Name</w:t>
            </w:r>
          </w:p>
        </w:tc>
        <w:tc>
          <w:tcPr>
            <w:tcW w:w="2835" w:type="dxa"/>
            <w:shd w:val="clear" w:color="auto" w:fill="92D050"/>
            <w:vAlign w:val="center"/>
          </w:tcPr>
          <w:p w:rsidR="005742F5" w:rsidRPr="00ED35A1" w:rsidRDefault="005742F5" w:rsidP="00172D93">
            <w:pPr>
              <w:ind w:left="-91"/>
              <w:jc w:val="center"/>
              <w:rPr>
                <w:b/>
                <w:lang w:val="en-GB"/>
              </w:rPr>
            </w:pPr>
            <w:r w:rsidRPr="00ED35A1">
              <w:rPr>
                <w:b/>
                <w:lang w:val="en-GB"/>
              </w:rPr>
              <w:t>Institution</w:t>
            </w:r>
          </w:p>
        </w:tc>
        <w:tc>
          <w:tcPr>
            <w:tcW w:w="1214" w:type="dxa"/>
            <w:shd w:val="clear" w:color="auto" w:fill="92D050"/>
          </w:tcPr>
          <w:p w:rsidR="005742F5" w:rsidRPr="00761329" w:rsidRDefault="005742F5" w:rsidP="00172D93">
            <w:pPr>
              <w:spacing w:before="100" w:beforeAutospacing="1" w:after="100" w:afterAutospacing="1"/>
              <w:ind w:left="-91"/>
              <w:jc w:val="center"/>
              <w:rPr>
                <w:rFonts w:ascii="Calibri" w:hAnsi="Calibri" w:cs="Calibri"/>
                <w:b/>
                <w:color w:val="000000"/>
                <w:sz w:val="22"/>
                <w:szCs w:val="22"/>
              </w:rPr>
            </w:pPr>
          </w:p>
        </w:tc>
      </w:tr>
      <w:tr w:rsidR="0076781C" w:rsidRPr="003B4C9C" w:rsidTr="00172D93">
        <w:tblPrEx>
          <w:tblCellMar>
            <w:left w:w="108" w:type="dxa"/>
            <w:right w:w="108" w:type="dxa"/>
          </w:tblCellMar>
        </w:tblPrEx>
        <w:tc>
          <w:tcPr>
            <w:tcW w:w="1560" w:type="dxa"/>
            <w:tcBorders>
              <w:left w:val="single" w:sz="4" w:space="0" w:color="auto"/>
            </w:tcBorders>
            <w:shd w:val="clear" w:color="auto" w:fill="auto"/>
            <w:vAlign w:val="center"/>
          </w:tcPr>
          <w:p w:rsidR="0076781C" w:rsidRDefault="0076781C" w:rsidP="007806BD">
            <w:pPr>
              <w:spacing w:before="60" w:after="60"/>
              <w:rPr>
                <w:color w:val="000000"/>
              </w:rPr>
            </w:pPr>
            <w:r>
              <w:rPr>
                <w:color w:val="000000"/>
              </w:rPr>
              <w:t>AU</w:t>
            </w:r>
          </w:p>
        </w:tc>
        <w:tc>
          <w:tcPr>
            <w:tcW w:w="849" w:type="dxa"/>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shd w:val="clear" w:color="auto" w:fill="auto"/>
            <w:vAlign w:val="center"/>
          </w:tcPr>
          <w:p w:rsidR="0076781C" w:rsidRDefault="0076781C" w:rsidP="007806BD">
            <w:pPr>
              <w:spacing w:before="60" w:after="60"/>
              <w:rPr>
                <w:color w:val="000000"/>
              </w:rPr>
            </w:pPr>
            <w:r>
              <w:rPr>
                <w:color w:val="000000"/>
              </w:rPr>
              <w:t>Narelle</w:t>
            </w:r>
          </w:p>
        </w:tc>
        <w:tc>
          <w:tcPr>
            <w:tcW w:w="0" w:type="auto"/>
            <w:shd w:val="clear" w:color="auto" w:fill="auto"/>
            <w:vAlign w:val="center"/>
          </w:tcPr>
          <w:p w:rsidR="0076781C" w:rsidRDefault="0076781C" w:rsidP="007806BD">
            <w:pPr>
              <w:spacing w:before="60" w:after="60"/>
              <w:rPr>
                <w:b/>
                <w:bCs/>
                <w:color w:val="000000"/>
              </w:rPr>
            </w:pPr>
            <w:r>
              <w:rPr>
                <w:b/>
                <w:bCs/>
                <w:color w:val="000000"/>
              </w:rPr>
              <w:t>Rutter</w:t>
            </w:r>
          </w:p>
        </w:tc>
        <w:tc>
          <w:tcPr>
            <w:tcW w:w="2835" w:type="dxa"/>
            <w:shd w:val="clear" w:color="auto" w:fill="auto"/>
            <w:vAlign w:val="center"/>
          </w:tcPr>
          <w:p w:rsidR="0076781C" w:rsidRDefault="0076781C" w:rsidP="007806BD">
            <w:pPr>
              <w:spacing w:before="60" w:after="60"/>
              <w:rPr>
                <w:color w:val="000000"/>
              </w:rPr>
            </w:pPr>
            <w:r>
              <w:rPr>
                <w:color w:val="000000"/>
              </w:rPr>
              <w:t>ASX Limited</w:t>
            </w:r>
          </w:p>
        </w:tc>
        <w:tc>
          <w:tcPr>
            <w:tcW w:w="1214" w:type="dxa"/>
            <w:shd w:val="clear" w:color="auto" w:fill="auto"/>
            <w:vAlign w:val="bottom"/>
          </w:tcPr>
          <w:p w:rsidR="0076781C" w:rsidRDefault="0076781C" w:rsidP="007806BD">
            <w:pPr>
              <w:spacing w:before="60" w:after="60"/>
              <w:rPr>
                <w:color w:val="000000"/>
              </w:rPr>
            </w:pPr>
            <w:r>
              <w:rPr>
                <w:color w:val="000000"/>
              </w:rPr>
              <w:t> </w:t>
            </w:r>
          </w:p>
        </w:tc>
      </w:tr>
      <w:tr w:rsidR="0076781C" w:rsidRPr="003223A0" w:rsidTr="00172D93">
        <w:tblPrEx>
          <w:tblCellMar>
            <w:left w:w="108" w:type="dxa"/>
            <w:right w:w="108" w:type="dxa"/>
          </w:tblCellMar>
        </w:tblPrEx>
        <w:tc>
          <w:tcPr>
            <w:tcW w:w="1560" w:type="dxa"/>
            <w:tcBorders>
              <w:left w:val="single" w:sz="4" w:space="0" w:color="auto"/>
            </w:tcBorders>
            <w:shd w:val="clear" w:color="auto" w:fill="auto"/>
            <w:vAlign w:val="center"/>
          </w:tcPr>
          <w:p w:rsidR="0076781C" w:rsidRDefault="0076781C" w:rsidP="007806BD">
            <w:pPr>
              <w:spacing w:before="60" w:after="60"/>
              <w:rPr>
                <w:color w:val="000000"/>
              </w:rPr>
            </w:pPr>
            <w:r>
              <w:rPr>
                <w:color w:val="000000"/>
              </w:rPr>
              <w:t>AU (Observer)</w:t>
            </w:r>
          </w:p>
        </w:tc>
        <w:tc>
          <w:tcPr>
            <w:tcW w:w="849" w:type="dxa"/>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shd w:val="clear" w:color="auto" w:fill="auto"/>
            <w:vAlign w:val="center"/>
          </w:tcPr>
          <w:p w:rsidR="0076781C" w:rsidRDefault="0076781C" w:rsidP="007806BD">
            <w:pPr>
              <w:spacing w:before="60" w:after="60"/>
              <w:rPr>
                <w:color w:val="000000"/>
              </w:rPr>
            </w:pPr>
            <w:r>
              <w:rPr>
                <w:color w:val="000000"/>
              </w:rPr>
              <w:t>Kelly</w:t>
            </w:r>
          </w:p>
        </w:tc>
        <w:tc>
          <w:tcPr>
            <w:tcW w:w="0" w:type="auto"/>
            <w:shd w:val="clear" w:color="auto" w:fill="auto"/>
            <w:vAlign w:val="center"/>
          </w:tcPr>
          <w:p w:rsidR="0076781C" w:rsidRDefault="0076781C" w:rsidP="007806BD">
            <w:pPr>
              <w:spacing w:before="60" w:after="60"/>
              <w:rPr>
                <w:b/>
                <w:bCs/>
                <w:color w:val="000000"/>
              </w:rPr>
            </w:pPr>
            <w:r>
              <w:rPr>
                <w:b/>
                <w:bCs/>
                <w:color w:val="000000"/>
              </w:rPr>
              <w:t>Yu</w:t>
            </w:r>
          </w:p>
        </w:tc>
        <w:tc>
          <w:tcPr>
            <w:tcW w:w="2835" w:type="dxa"/>
            <w:shd w:val="clear" w:color="auto" w:fill="auto"/>
            <w:vAlign w:val="center"/>
          </w:tcPr>
          <w:p w:rsidR="0076781C" w:rsidRDefault="0076781C" w:rsidP="007806BD">
            <w:pPr>
              <w:spacing w:before="60" w:after="60"/>
              <w:rPr>
                <w:color w:val="000000"/>
              </w:rPr>
            </w:pPr>
            <w:r>
              <w:rPr>
                <w:color w:val="000000"/>
              </w:rPr>
              <w:t>BNP Paribas</w:t>
            </w:r>
          </w:p>
        </w:tc>
        <w:tc>
          <w:tcPr>
            <w:tcW w:w="1214" w:type="dxa"/>
            <w:shd w:val="clear" w:color="auto" w:fill="auto"/>
            <w:vAlign w:val="bottom"/>
          </w:tcPr>
          <w:p w:rsidR="0076781C" w:rsidRDefault="0076781C" w:rsidP="007806BD">
            <w:pPr>
              <w:spacing w:before="60" w:after="60"/>
              <w:rPr>
                <w:color w:val="000000"/>
              </w:rPr>
            </w:pPr>
            <w:r>
              <w:rPr>
                <w:color w:val="000000"/>
              </w:rPr>
              <w:t> </w:t>
            </w:r>
          </w:p>
        </w:tc>
      </w:tr>
      <w:tr w:rsidR="0076781C" w:rsidRPr="003345A2"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ES</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Diego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Garcia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Deutsche Bank, SAE</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r w:rsidR="0076781C" w:rsidRPr="003223A0"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FI</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Sari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Rask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Nordea</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r w:rsidR="0076781C" w:rsidRPr="003223A0"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ISITC</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Paul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Fullam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FIS</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Americas RD</w:t>
            </w:r>
          </w:p>
        </w:tc>
      </w:tr>
      <w:tr w:rsidR="0076781C" w:rsidRPr="003223A0"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ISITC</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Karla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McKenna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Citi</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Immediate Past Chair</w:t>
            </w:r>
          </w:p>
        </w:tc>
      </w:tr>
      <w:tr w:rsidR="0076781C" w:rsidRPr="000C7639"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NO</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Alexander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proofErr w:type="spellStart"/>
            <w:r>
              <w:rPr>
                <w:b/>
                <w:bCs/>
                <w:color w:val="000000"/>
              </w:rPr>
              <w:t>Wathne</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Nordea</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r w:rsidR="0076781C" w:rsidRPr="003223A0"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SE</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Christine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proofErr w:type="spellStart"/>
            <w:r>
              <w:rPr>
                <w:b/>
                <w:bCs/>
                <w:color w:val="000000"/>
              </w:rPr>
              <w:t>Strandberg</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SEB</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CA WG co-Chair</w:t>
            </w:r>
          </w:p>
        </w:tc>
      </w:tr>
      <w:tr w:rsidR="0076781C" w:rsidRPr="003223A0"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SG</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Jyi-chen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proofErr w:type="spellStart"/>
            <w:r>
              <w:rPr>
                <w:b/>
                <w:bCs/>
                <w:color w:val="000000"/>
              </w:rPr>
              <w:t>Chueh</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Standard Chartered Bank</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APAC RD</w:t>
            </w:r>
          </w:p>
        </w:tc>
      </w:tr>
      <w:tr w:rsidR="0076781C" w:rsidRPr="00011E7E"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SWIFT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Littré</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SWIFT (BE)</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CA WG Facilitator</w:t>
            </w:r>
          </w:p>
        </w:tc>
      </w:tr>
      <w:tr w:rsidR="0076781C" w:rsidRPr="00107F23"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TH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Mrs</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Pornpreeya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proofErr w:type="spellStart"/>
            <w:r>
              <w:rPr>
                <w:b/>
                <w:bCs/>
                <w:color w:val="000000"/>
              </w:rPr>
              <w:t>Vatthanasuk</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Thailand Securities Depository Co., Ltd</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r w:rsidR="0076781C" w:rsidRPr="00FE03ED"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ZA</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Sanjeev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proofErr w:type="spellStart"/>
            <w:r>
              <w:rPr>
                <w:b/>
                <w:bCs/>
                <w:color w:val="000000"/>
              </w:rPr>
              <w:t>Jayram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Rand Merchant Bank</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r w:rsidR="0076781C" w:rsidRPr="009E0317" w:rsidTr="00172D93">
        <w:tblPrEx>
          <w:tblCellMar>
            <w:left w:w="108" w:type="dxa"/>
            <w:right w:w="108" w:type="dxa"/>
          </w:tblCellMar>
        </w:tblPrEx>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Observer</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proofErr w:type="spellStart"/>
            <w:r>
              <w:rPr>
                <w:color w:val="000000"/>
              </w:rPr>
              <w:t>Mr</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Harry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b/>
                <w:bCs/>
                <w:color w:val="000000"/>
              </w:rPr>
            </w:pPr>
            <w:r>
              <w:rPr>
                <w:b/>
                <w:bCs/>
                <w:color w:val="000000"/>
              </w:rPr>
              <w:t>Huang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6781C" w:rsidRDefault="0076781C" w:rsidP="007806BD">
            <w:pPr>
              <w:spacing w:before="60" w:after="60"/>
              <w:rPr>
                <w:color w:val="000000"/>
              </w:rPr>
            </w:pPr>
            <w:r>
              <w:rPr>
                <w:color w:val="000000"/>
              </w:rPr>
              <w:t>SWIFT (CN)</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76781C" w:rsidRDefault="0076781C" w:rsidP="007806BD">
            <w:pPr>
              <w:spacing w:before="60" w:after="60"/>
              <w:rPr>
                <w:color w:val="000000"/>
              </w:rPr>
            </w:pPr>
            <w:r>
              <w:rPr>
                <w:color w:val="000000"/>
              </w:rPr>
              <w:t> </w:t>
            </w:r>
          </w:p>
        </w:tc>
      </w:tr>
    </w:tbl>
    <w:p w:rsidR="00AC555A" w:rsidRDefault="00AC555A" w:rsidP="005742F5">
      <w:pPr>
        <w:rPr>
          <w:kern w:val="28"/>
          <w:sz w:val="24"/>
          <w:u w:val="single"/>
        </w:rPr>
      </w:pPr>
      <w:r>
        <w:br w:type="page"/>
      </w:r>
    </w:p>
    <w:p w:rsidR="00172D93" w:rsidRPr="00730B87" w:rsidRDefault="00172D93" w:rsidP="00172D93">
      <w:pPr>
        <w:pStyle w:val="Heading1"/>
      </w:pPr>
      <w:bookmarkStart w:id="9" w:name="_Toc482870652"/>
      <w:bookmarkStart w:id="10" w:name="_Toc513565018"/>
      <w:bookmarkStart w:id="11" w:name="_Toc529286621"/>
      <w:bookmarkEnd w:id="4"/>
      <w:bookmarkEnd w:id="5"/>
      <w:bookmarkEnd w:id="6"/>
      <w:r w:rsidRPr="00730B87">
        <w:lastRenderedPageBreak/>
        <w:t>Meeting Agenda</w:t>
      </w:r>
      <w:bookmarkEnd w:id="9"/>
      <w:bookmarkEnd w:id="10"/>
      <w:bookmarkEnd w:id="11"/>
    </w:p>
    <w:p w:rsidR="00172D93" w:rsidRDefault="00172D93" w:rsidP="00172D93">
      <w:pPr>
        <w:rPr>
          <w:lang w:val="en-GB"/>
        </w:rPr>
      </w:pPr>
      <w:r w:rsidRPr="00A94DC9">
        <w:rPr>
          <w:lang w:val="en-GB"/>
        </w:rPr>
        <w:t>These minutes are based on</w:t>
      </w:r>
      <w:r>
        <w:rPr>
          <w:lang w:val="en-GB"/>
        </w:rPr>
        <w:t xml:space="preserve"> the distributed </w:t>
      </w:r>
      <w:r w:rsidR="00030C88">
        <w:rPr>
          <w:lang w:val="en-GB"/>
        </w:rPr>
        <w:t>Sydney</w:t>
      </w:r>
      <w:r>
        <w:rPr>
          <w:lang w:val="en-GB"/>
        </w:rPr>
        <w:t xml:space="preserve"> meeting agenda. See document ”</w:t>
      </w:r>
      <w:r w:rsidRPr="00EB34A0">
        <w:t xml:space="preserve"> </w:t>
      </w:r>
      <w:r w:rsidRPr="00EB34A0">
        <w:rPr>
          <w:i/>
          <w:lang w:val="en-GB"/>
        </w:rPr>
        <w:t>SMPG_Meeting_</w:t>
      </w:r>
      <w:r w:rsidR="00030C88">
        <w:rPr>
          <w:i/>
          <w:lang w:val="en-GB"/>
        </w:rPr>
        <w:t>Sydney_17-19</w:t>
      </w:r>
      <w:r w:rsidRPr="00EB34A0">
        <w:rPr>
          <w:i/>
          <w:lang w:val="en-GB"/>
        </w:rPr>
        <w:t>_</w:t>
      </w:r>
      <w:r w:rsidR="00030C88">
        <w:rPr>
          <w:i/>
          <w:lang w:val="en-GB"/>
        </w:rPr>
        <w:t>Oct</w:t>
      </w:r>
      <w:r w:rsidRPr="00EB34A0">
        <w:rPr>
          <w:i/>
          <w:lang w:val="en-GB"/>
        </w:rPr>
        <w:t>_2018_CA_DetailedAgenda_v</w:t>
      </w:r>
      <w:r w:rsidR="00030C88">
        <w:rPr>
          <w:i/>
          <w:lang w:val="en-GB"/>
        </w:rPr>
        <w:t>1</w:t>
      </w:r>
      <w:r>
        <w:rPr>
          <w:lang w:val="en-GB"/>
        </w:rPr>
        <w:t>” here below (also posted on the SMPG web site):</w:t>
      </w:r>
    </w:p>
    <w:p w:rsidR="00172D93" w:rsidRDefault="00030C88" w:rsidP="00172D93">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3" o:title=""/>
          </v:shape>
          <o:OLEObject Type="Embed" ProgID="AcroExch.Document.2015" ShapeID="_x0000_i1025" DrawAspect="Icon" ObjectID="_1603028996" r:id="rId14"/>
        </w:object>
      </w:r>
    </w:p>
    <w:p w:rsidR="00172D93" w:rsidRDefault="00172D93" w:rsidP="00172D93">
      <w:pPr>
        <w:pStyle w:val="Heading1"/>
      </w:pPr>
      <w:bookmarkStart w:id="12" w:name="_Toc513565019"/>
      <w:bookmarkStart w:id="13" w:name="_Toc436145646"/>
      <w:bookmarkStart w:id="14" w:name="_Toc450127689"/>
      <w:bookmarkStart w:id="15" w:name="_Toc482870653"/>
      <w:bookmarkStart w:id="16" w:name="_Toc529286622"/>
      <w:r>
        <w:t>Notes Taking</w:t>
      </w:r>
      <w:bookmarkEnd w:id="12"/>
      <w:bookmarkEnd w:id="16"/>
    </w:p>
    <w:p w:rsidR="00172D93" w:rsidRPr="00AC555A" w:rsidRDefault="00030C88" w:rsidP="00030C88">
      <w:pPr>
        <w:spacing w:before="0" w:after="0" w:line="280" w:lineRule="atLeast"/>
        <w:contextualSpacing/>
      </w:pPr>
      <w:r w:rsidRPr="00030C88">
        <w:t xml:space="preserve">Alexander </w:t>
      </w:r>
      <w:r>
        <w:t xml:space="preserve">has </w:t>
      </w:r>
      <w:r w:rsidRPr="00030C88">
        <w:t xml:space="preserve">kindly </w:t>
      </w:r>
      <w:r>
        <w:t xml:space="preserve">accepted to </w:t>
      </w:r>
      <w:r w:rsidRPr="00030C88">
        <w:t>assist Jacques and Christine</w:t>
      </w:r>
      <w:r>
        <w:t xml:space="preserve"> </w:t>
      </w:r>
      <w:r w:rsidR="00172D93">
        <w:t>with meeting notes for the minutes.</w:t>
      </w:r>
    </w:p>
    <w:p w:rsidR="00172D93" w:rsidRPr="00730B87" w:rsidRDefault="004A1314" w:rsidP="00172D93">
      <w:pPr>
        <w:pStyle w:val="Heading1"/>
      </w:pPr>
      <w:bookmarkStart w:id="17" w:name="_Toc513565020"/>
      <w:bookmarkStart w:id="18" w:name="_Toc529286623"/>
      <w:r w:rsidRPr="00730B87">
        <w:t xml:space="preserve">Next </w:t>
      </w:r>
      <w:r>
        <w:t>Conference</w:t>
      </w:r>
      <w:r w:rsidR="00172D93">
        <w:t xml:space="preserve"> calls </w:t>
      </w:r>
      <w:r w:rsidR="00172D93" w:rsidRPr="00730B87">
        <w:t xml:space="preserve">Schedule for </w:t>
      </w:r>
      <w:bookmarkEnd w:id="13"/>
      <w:bookmarkEnd w:id="14"/>
      <w:r w:rsidR="00090C34">
        <w:t>2019</w:t>
      </w:r>
      <w:r w:rsidR="00172D93" w:rsidRPr="00730B87">
        <w:t xml:space="preserve"> Q</w:t>
      </w:r>
      <w:bookmarkEnd w:id="15"/>
      <w:r w:rsidR="00090C34">
        <w:t>1</w:t>
      </w:r>
      <w:r w:rsidR="00172D93">
        <w:t xml:space="preserve"> / Q</w:t>
      </w:r>
      <w:bookmarkEnd w:id="17"/>
      <w:r w:rsidR="00090C34">
        <w:t>2</w:t>
      </w:r>
      <w:bookmarkEnd w:id="18"/>
    </w:p>
    <w:p w:rsidR="00030C88" w:rsidRDefault="00172D93" w:rsidP="00030C88">
      <w:r>
        <w:t xml:space="preserve">Next conference calls </w:t>
      </w:r>
      <w:r w:rsidR="00030C88">
        <w:t>for Q1 &amp; Q2</w:t>
      </w:r>
      <w:r>
        <w:t xml:space="preserve"> </w:t>
      </w:r>
      <w:r w:rsidR="00030C88">
        <w:t xml:space="preserve">in 2019 </w:t>
      </w:r>
      <w:r>
        <w:t>will be scheduled o</w:t>
      </w:r>
      <w:r w:rsidRPr="00913120">
        <w:t xml:space="preserve">n </w:t>
      </w:r>
      <w:bookmarkStart w:id="19" w:name="_Toc482870654"/>
      <w:bookmarkStart w:id="20" w:name="_Toc513565021"/>
      <w:r w:rsidR="00030C88">
        <w:t xml:space="preserve">Jan. 22, Feb. 19, Mar. 19, </w:t>
      </w:r>
      <w:r w:rsidR="00A02058">
        <w:t xml:space="preserve">May 21, </w:t>
      </w:r>
      <w:r w:rsidR="004A1314">
        <w:t>and Jun</w:t>
      </w:r>
      <w:r w:rsidR="00A02058">
        <w:t>. 18.</w:t>
      </w:r>
    </w:p>
    <w:p w:rsidR="00A02058" w:rsidRDefault="00A02058" w:rsidP="00030C88">
      <w:r>
        <w:t>The next SMPG meeting will be held in Frankfurt in April 2019.</w:t>
      </w:r>
    </w:p>
    <w:p w:rsidR="00A02058" w:rsidRDefault="00A02058" w:rsidP="00030C88">
      <w:r>
        <w:t>Dates and location will be released in November (</w:t>
      </w:r>
      <w:r w:rsidR="00ED5F8C">
        <w:t xml:space="preserve">dates likely to be </w:t>
      </w:r>
      <w:r>
        <w:t>April 10 – 12).</w:t>
      </w:r>
    </w:p>
    <w:p w:rsidR="00172D93" w:rsidRPr="009A4BD3" w:rsidRDefault="00172D93" w:rsidP="00A02058">
      <w:pPr>
        <w:pStyle w:val="Heading1"/>
        <w:rPr>
          <w:lang w:eastAsia="en-GB"/>
        </w:rPr>
      </w:pPr>
      <w:bookmarkStart w:id="21" w:name="_Toc529286624"/>
      <w:r>
        <w:rPr>
          <w:lang w:eastAsia="en-GB"/>
        </w:rPr>
        <w:t xml:space="preserve">Approval of </w:t>
      </w:r>
      <w:r w:rsidR="00756FCF">
        <w:rPr>
          <w:lang w:eastAsia="en-GB"/>
        </w:rPr>
        <w:t>September</w:t>
      </w:r>
      <w:r>
        <w:rPr>
          <w:lang w:eastAsia="en-GB"/>
        </w:rPr>
        <w:t xml:space="preserve"> Conf. call Meeting Minutes</w:t>
      </w:r>
      <w:bookmarkEnd w:id="19"/>
      <w:bookmarkEnd w:id="20"/>
      <w:bookmarkEnd w:id="21"/>
    </w:p>
    <w:p w:rsidR="001F0D38" w:rsidRDefault="00172D93" w:rsidP="00172D93">
      <w:pPr>
        <w:rPr>
          <w:lang w:eastAsia="en-GB"/>
        </w:rPr>
      </w:pPr>
      <w:r>
        <w:rPr>
          <w:lang w:eastAsia="en-GB"/>
        </w:rPr>
        <w:t xml:space="preserve">March minutes were approved </w:t>
      </w:r>
      <w:r w:rsidR="001F0D38">
        <w:rPr>
          <w:lang w:eastAsia="en-GB"/>
        </w:rPr>
        <w:t>with the 2 following comments:</w:t>
      </w:r>
    </w:p>
    <w:p w:rsidR="00172D93" w:rsidRDefault="003A6886" w:rsidP="003A6886">
      <w:pPr>
        <w:pStyle w:val="ListParagraph"/>
        <w:numPr>
          <w:ilvl w:val="0"/>
          <w:numId w:val="36"/>
        </w:numPr>
        <w:rPr>
          <w:u w:val="none"/>
        </w:rPr>
      </w:pPr>
      <w:r w:rsidRPr="003A6886">
        <w:rPr>
          <w:u w:val="none"/>
        </w:rPr>
        <w:t>On</w:t>
      </w:r>
      <w:r>
        <w:rPr>
          <w:u w:val="none"/>
        </w:rPr>
        <w:t xml:space="preserve"> CA</w:t>
      </w:r>
      <w:r w:rsidRPr="003A6886">
        <w:rPr>
          <w:u w:val="none"/>
        </w:rPr>
        <w:t xml:space="preserve">405, </w:t>
      </w:r>
      <w:r w:rsidR="001F0D38" w:rsidRPr="003A6886">
        <w:rPr>
          <w:u w:val="none"/>
        </w:rPr>
        <w:t xml:space="preserve">Jean-Pierre </w:t>
      </w:r>
      <w:r w:rsidRPr="003A6886">
        <w:rPr>
          <w:u w:val="none"/>
        </w:rPr>
        <w:t>remarks that there is absolutely no link between the fact that securities will be blocked and the fact that the instructions will</w:t>
      </w:r>
      <w:r>
        <w:rPr>
          <w:u w:val="none"/>
        </w:rPr>
        <w:t xml:space="preserve"> be revocable or not revocable.</w:t>
      </w:r>
    </w:p>
    <w:p w:rsidR="003A6886" w:rsidRDefault="003A6886" w:rsidP="003A6886">
      <w:pPr>
        <w:pStyle w:val="ListParagraph"/>
        <w:numPr>
          <w:ilvl w:val="0"/>
          <w:numId w:val="36"/>
        </w:numPr>
        <w:rPr>
          <w:u w:val="none"/>
        </w:rPr>
      </w:pPr>
      <w:r>
        <w:rPr>
          <w:u w:val="none"/>
        </w:rPr>
        <w:t>On CA401, Mari suggests to modify the title and description of the Open Item “</w:t>
      </w:r>
      <w:r w:rsidRPr="003A6886">
        <w:rPr>
          <w:u w:val="none"/>
        </w:rPr>
        <w:t>SHRD2 Proxy Voting Minimum Requirements”</w:t>
      </w:r>
      <w:r>
        <w:rPr>
          <w:u w:val="none"/>
        </w:rPr>
        <w:t xml:space="preserve"> into something that reflects better the contents </w:t>
      </w:r>
      <w:r w:rsidR="00506F40">
        <w:rPr>
          <w:u w:val="none"/>
        </w:rPr>
        <w:t xml:space="preserve">i.e. SRD2 </w:t>
      </w:r>
      <w:r w:rsidRPr="003A6886">
        <w:rPr>
          <w:u w:val="none"/>
        </w:rPr>
        <w:t>Requirements and Check ISO 20022 messages to assess compliance with SHRD2</w:t>
      </w:r>
      <w:r w:rsidR="00506F40">
        <w:rPr>
          <w:u w:val="none"/>
        </w:rPr>
        <w:t>.</w:t>
      </w:r>
    </w:p>
    <w:p w:rsidR="00293F10" w:rsidRDefault="00293F10" w:rsidP="00293F10">
      <w:pPr>
        <w:pStyle w:val="Heading1"/>
      </w:pPr>
      <w:bookmarkStart w:id="22" w:name="_Toc529286625"/>
      <w:r w:rsidRPr="00293F10">
        <w:t>CA378</w:t>
      </w:r>
      <w:r w:rsidRPr="00293F10">
        <w:tab/>
        <w:t>TNDP MP and TNDP Indicator DSS Usage</w:t>
      </w:r>
      <w:bookmarkEnd w:id="22"/>
    </w:p>
    <w:bookmarkStart w:id="23" w:name="_MON_1602942555"/>
    <w:bookmarkEnd w:id="23"/>
    <w:p w:rsidR="00093B84" w:rsidRPr="00093B84" w:rsidRDefault="00093B84" w:rsidP="00093B84">
      <w:r>
        <w:object w:dxaOrig="1531" w:dyaOrig="990">
          <v:shape id="_x0000_i1026" type="#_x0000_t75" style="width:76.6pt;height:49.55pt" o:ole="">
            <v:imagedata r:id="rId15" o:title=""/>
          </v:shape>
          <o:OLEObject Type="Embed" ProgID="Word.Document.12" ShapeID="_x0000_i1026" DrawAspect="Icon" ObjectID="_1603028997" r:id="rId16">
            <o:FieldCodes>\s</o:FieldCodes>
          </o:OLEObject>
        </w:object>
      </w:r>
    </w:p>
    <w:p w:rsidR="008C3137" w:rsidRDefault="008C3137" w:rsidP="00293F10">
      <w:r>
        <w:t xml:space="preserve">Jacques suggests </w:t>
      </w:r>
      <w:r w:rsidR="004A1314">
        <w:t>reviewing</w:t>
      </w:r>
      <w:r>
        <w:t xml:space="preserve"> some parts of the document that are not fully consistent, for instance the reference to the E-CANO message which is specific to DTCC only. </w:t>
      </w:r>
    </w:p>
    <w:p w:rsidR="00F410BF" w:rsidRDefault="008C3137" w:rsidP="00293F10">
      <w:r>
        <w:t xml:space="preserve">The document provides lots of examples at the end </w:t>
      </w:r>
      <w:r w:rsidR="00F410BF">
        <w:t>of the document whilst we should preferably have only one example of each message (564, 566, CANO and CACO).</w:t>
      </w:r>
    </w:p>
    <w:p w:rsidR="00293F10" w:rsidRPr="00293F10" w:rsidRDefault="00F410BF" w:rsidP="00F410BF">
      <w:pPr>
        <w:pStyle w:val="Actions"/>
      </w:pPr>
      <w:r w:rsidRPr="00F410BF">
        <w:rPr>
          <w:b/>
          <w:u w:val="single"/>
        </w:rPr>
        <w:t>Action</w:t>
      </w:r>
      <w:r>
        <w:t xml:space="preserve">: </w:t>
      </w:r>
      <w:r w:rsidRPr="00F410BF">
        <w:rPr>
          <w:u w:val="single"/>
        </w:rPr>
        <w:t>Narelle</w:t>
      </w:r>
      <w:r w:rsidRPr="00D77F5D">
        <w:t xml:space="preserve"> to draft a global version (much more brief) of the document, with copy to Steve, and send to Jacques by October 31</w:t>
      </w:r>
      <w:r>
        <w:t>.</w:t>
      </w:r>
    </w:p>
    <w:p w:rsidR="007C30CE" w:rsidRDefault="006F7090" w:rsidP="00730B87">
      <w:pPr>
        <w:pStyle w:val="Heading1"/>
      </w:pPr>
      <w:bookmarkStart w:id="24" w:name="_Toc529286626"/>
      <w:r>
        <w:t>CA389</w:t>
      </w:r>
      <w:r>
        <w:tab/>
      </w:r>
      <w:r w:rsidR="007C30CE">
        <w:t>Brazilian Distributions</w:t>
      </w:r>
      <w:bookmarkEnd w:id="24"/>
    </w:p>
    <w:bookmarkStart w:id="25" w:name="_MON_1602942665"/>
    <w:bookmarkEnd w:id="25"/>
    <w:p w:rsidR="00093B84" w:rsidRPr="00093B84" w:rsidRDefault="006E623F" w:rsidP="00093B84">
      <w:r>
        <w:object w:dxaOrig="1531" w:dyaOrig="990">
          <v:shape id="_x0000_i1027" type="#_x0000_t75" style="width:76.6pt;height:49.55pt" o:ole="">
            <v:imagedata r:id="rId17" o:title=""/>
          </v:shape>
          <o:OLEObject Type="Embed" ProgID="Word.Document.12" ShapeID="_x0000_i1027" DrawAspect="Icon" ObjectID="_1603028998" r:id="rId18">
            <o:FieldCodes>\s</o:FieldCodes>
          </o:OLEObject>
        </w:object>
      </w:r>
    </w:p>
    <w:p w:rsidR="006E623F" w:rsidRDefault="00A24683" w:rsidP="00A24683">
      <w:pPr>
        <w:autoSpaceDE w:val="0"/>
        <w:autoSpaceDN w:val="0"/>
        <w:adjustRightInd w:val="0"/>
      </w:pPr>
      <w:r w:rsidRPr="00190BBB">
        <w:lastRenderedPageBreak/>
        <w:t xml:space="preserve">We </w:t>
      </w:r>
      <w:r w:rsidR="006E623F">
        <w:t xml:space="preserve">are still </w:t>
      </w:r>
      <w:r w:rsidRPr="00190BBB">
        <w:t>awaiting feedback from the BR NMPG</w:t>
      </w:r>
      <w:r w:rsidR="006E623F">
        <w:t xml:space="preserve"> on the SMPG recommendation that was provided a couple of months ago and on the Australian examples that were provided by Narelle.</w:t>
      </w:r>
    </w:p>
    <w:p w:rsidR="00A24683" w:rsidRPr="00A24683" w:rsidRDefault="00A24683" w:rsidP="00A24683">
      <w:pPr>
        <w:pStyle w:val="Actions"/>
      </w:pPr>
      <w:r w:rsidRPr="00A24683">
        <w:rPr>
          <w:b/>
          <w:u w:val="single"/>
        </w:rPr>
        <w:t>Action</w:t>
      </w:r>
      <w:r w:rsidRPr="007B38F3">
        <w:rPr>
          <w:b/>
        </w:rPr>
        <w:t xml:space="preserve">: </w:t>
      </w:r>
      <w:r w:rsidR="00CC51FA" w:rsidRPr="0096523B">
        <w:rPr>
          <w:u w:val="single"/>
        </w:rPr>
        <w:t>Paul</w:t>
      </w:r>
      <w:r w:rsidR="00CC51FA" w:rsidRPr="00D77F5D">
        <w:t xml:space="preserve"> will email Laura and ask if she reached out to Ana, as per the pending actions</w:t>
      </w:r>
      <w:r w:rsidR="00CC51FA">
        <w:t>.</w:t>
      </w:r>
    </w:p>
    <w:p w:rsidR="004502E1" w:rsidRDefault="001B0369" w:rsidP="004502E1">
      <w:pPr>
        <w:pStyle w:val="Heading1"/>
      </w:pPr>
      <w:bookmarkStart w:id="26" w:name="_Toc529286627"/>
      <w:r>
        <w:t>CA391</w:t>
      </w:r>
      <w:r>
        <w:tab/>
      </w:r>
      <w:r w:rsidR="004502E1">
        <w:t>Identify which line of Multi-listed Securities on a Notification</w:t>
      </w:r>
      <w:bookmarkEnd w:id="26"/>
    </w:p>
    <w:p w:rsidR="00AB6617" w:rsidRDefault="00AB6617" w:rsidP="00AB6617">
      <w:r w:rsidRPr="00AB6617">
        <w:t>After a long discussion on Place of Safekeeping,</w:t>
      </w:r>
      <w:r>
        <w:t xml:space="preserve"> </w:t>
      </w:r>
      <w:r w:rsidRPr="00D77F5D">
        <w:t>issuer CSD vs. investor CSD, place of listing, and also issuance of multiple ISINs</w:t>
      </w:r>
      <w:r>
        <w:t>, the WG decides that the recommendation from Warsaw still stands i.e. using</w:t>
      </w:r>
      <w:r w:rsidRPr="00AB6617">
        <w:t xml:space="preserve"> the PLIS (Place of Listing) connected to where the securities is safe</w:t>
      </w:r>
      <w:r w:rsidR="0096523B">
        <w:t>-</w:t>
      </w:r>
      <w:r w:rsidRPr="00AB6617">
        <w:t>kept.</w:t>
      </w:r>
    </w:p>
    <w:p w:rsidR="00AB6617" w:rsidRPr="00D77F5D" w:rsidRDefault="00AB6617" w:rsidP="00AB6617">
      <w:pPr>
        <w:pStyle w:val="Actions"/>
      </w:pPr>
      <w:r w:rsidRPr="00AB6617">
        <w:rPr>
          <w:b/>
          <w:u w:val="single"/>
        </w:rPr>
        <w:t>Action</w:t>
      </w:r>
      <w:r w:rsidRPr="00D77F5D">
        <w:rPr>
          <w:b/>
        </w:rPr>
        <w:t>:</w:t>
      </w:r>
      <w:r w:rsidRPr="00D77F5D">
        <w:t xml:space="preserve"> Clarify how to use PLIS in the COAF section in GMP1</w:t>
      </w:r>
      <w:r>
        <w:t>.</w:t>
      </w:r>
    </w:p>
    <w:p w:rsidR="00384ED7" w:rsidRDefault="00384ED7" w:rsidP="00384ED7">
      <w:pPr>
        <w:pStyle w:val="Heading1"/>
      </w:pPr>
      <w:bookmarkStart w:id="27" w:name="_Toc529286628"/>
      <w:r>
        <w:t>CA392</w:t>
      </w:r>
      <w:r>
        <w:tab/>
        <w:t>Foreign Dividend Indicator in ZA (Sanjeev)</w:t>
      </w:r>
      <w:bookmarkEnd w:id="27"/>
    </w:p>
    <w:bookmarkStart w:id="28" w:name="_MON_1602943692"/>
    <w:bookmarkEnd w:id="28"/>
    <w:p w:rsidR="00AB6617" w:rsidRDefault="00B73A0D" w:rsidP="00AB6617">
      <w:r>
        <w:object w:dxaOrig="1531" w:dyaOrig="990">
          <v:shape id="_x0000_i1028" type="#_x0000_t75" style="width:76.6pt;height:49.55pt" o:ole="">
            <v:imagedata r:id="rId19" o:title=""/>
          </v:shape>
          <o:OLEObject Type="Embed" ProgID="Word.Document.12" ShapeID="_x0000_i1028" DrawAspect="Icon" ObjectID="_1603028999" r:id="rId20">
            <o:FieldCodes>\s</o:FieldCodes>
          </o:OLEObject>
        </w:object>
      </w:r>
    </w:p>
    <w:p w:rsidR="00B73A0D" w:rsidRPr="00D77F5D" w:rsidRDefault="00B73A0D" w:rsidP="00B73A0D">
      <w:r w:rsidRPr="00D77F5D">
        <w:t>Sanjeev explained the background of the need for a foreign dividend indicator, and their revised proposal for a change of COIN in GMP1</w:t>
      </w:r>
      <w:r>
        <w:t xml:space="preserve">. </w:t>
      </w:r>
      <w:r w:rsidRPr="00D77F5D">
        <w:t xml:space="preserve">Jyi-Chen reiterated the counterproposal to use TAXR and WITL, and only use </w:t>
      </w:r>
      <w:r>
        <w:t xml:space="preserve">WITL </w:t>
      </w:r>
      <w:r w:rsidRPr="00D77F5D">
        <w:t>for foreign tax when applicable</w:t>
      </w:r>
      <w:r>
        <w:t xml:space="preserve">. </w:t>
      </w:r>
    </w:p>
    <w:p w:rsidR="00B73A0D" w:rsidRPr="00D77F5D" w:rsidRDefault="00B73A0D" w:rsidP="00B73A0D">
      <w:r w:rsidRPr="00D77F5D">
        <w:t>The problem is that, depending on the foreign country’s non-reclaimable tax rate (if it is 20% or higher), WITL may not be used since there will be no ZA tax withheld</w:t>
      </w:r>
      <w:r>
        <w:t>.</w:t>
      </w:r>
    </w:p>
    <w:p w:rsidR="00B73A0D" w:rsidRPr="00D77F5D" w:rsidRDefault="00B73A0D" w:rsidP="00B73A0D">
      <w:r w:rsidRPr="00D77F5D">
        <w:t>Christine commented that it is important to not change COIN in a manner that prevents it from being used as it is currently</w:t>
      </w:r>
      <w:r>
        <w:t>.</w:t>
      </w:r>
    </w:p>
    <w:p w:rsidR="00B73A0D" w:rsidRPr="00D77F5D" w:rsidRDefault="00B73A0D" w:rsidP="00B73A0D">
      <w:r w:rsidRPr="00D77F5D">
        <w:t>Narelle asked if conduit foreign income could be used instead. It does not reflect the country code, but otherwise should suit</w:t>
      </w:r>
      <w:r>
        <w:t xml:space="preserve">. </w:t>
      </w:r>
    </w:p>
    <w:p w:rsidR="00B73A0D" w:rsidRPr="00D77F5D" w:rsidRDefault="00B73A0D" w:rsidP="00B73A0D">
      <w:pPr>
        <w:pStyle w:val="Decisions"/>
      </w:pPr>
      <w:r>
        <w:rPr>
          <w:b/>
          <w:u w:val="single"/>
        </w:rPr>
        <w:t>Decision</w:t>
      </w:r>
      <w:r w:rsidRPr="00D77F5D">
        <w:rPr>
          <w:b/>
        </w:rPr>
        <w:t>:</w:t>
      </w:r>
      <w:r>
        <w:t xml:space="preserve"> The WG agrees that t</w:t>
      </w:r>
      <w:r w:rsidRPr="00D77F5D">
        <w:t xml:space="preserve">he </w:t>
      </w:r>
      <w:r>
        <w:t xml:space="preserve">issue and the various alternatives be </w:t>
      </w:r>
      <w:r w:rsidRPr="00D77F5D">
        <w:t>discuss</w:t>
      </w:r>
      <w:r>
        <w:t>ed in the Tax SG</w:t>
      </w:r>
      <w:r w:rsidRPr="00D77F5D">
        <w:t>s</w:t>
      </w:r>
      <w:r>
        <w:t>.</w:t>
      </w:r>
    </w:p>
    <w:p w:rsidR="000B7C14" w:rsidRDefault="000B7C14" w:rsidP="000B7C14">
      <w:pPr>
        <w:pStyle w:val="Heading1"/>
      </w:pPr>
      <w:bookmarkStart w:id="29" w:name="_Toc529286629"/>
      <w:r>
        <w:t>CA398</w:t>
      </w:r>
      <w:r w:rsidR="001B0369">
        <w:tab/>
      </w:r>
      <w:r w:rsidRPr="000B7C14">
        <w:t>GMP1 – Full revamp of section 10 on Market Claim</w:t>
      </w:r>
      <w:bookmarkEnd w:id="29"/>
    </w:p>
    <w:bookmarkStart w:id="30" w:name="_MON_1602944291"/>
    <w:bookmarkEnd w:id="30"/>
    <w:p w:rsidR="00426081" w:rsidRDefault="00BD24BE" w:rsidP="00426081">
      <w:pPr>
        <w:rPr>
          <w:rFonts w:ascii="Calibri" w:hAnsi="Calibri" w:cs="Times New Roman"/>
          <w:sz w:val="22"/>
          <w:szCs w:val="22"/>
          <w:lang w:val="en-GB"/>
        </w:rPr>
      </w:pPr>
      <w:r>
        <w:rPr>
          <w:rFonts w:ascii="Calibri" w:hAnsi="Calibri" w:cs="Times New Roman"/>
          <w:sz w:val="22"/>
          <w:szCs w:val="22"/>
          <w:lang w:val="en-GB"/>
        </w:rPr>
        <w:object w:dxaOrig="1531" w:dyaOrig="990">
          <v:shape id="_x0000_i1029" type="#_x0000_t75" style="width:76.6pt;height:49.55pt" o:ole="">
            <v:imagedata r:id="rId21" o:title=""/>
          </v:shape>
          <o:OLEObject Type="Embed" ProgID="Word.Document.12" ShapeID="_x0000_i1029" DrawAspect="Icon" ObjectID="_1603029000" r:id="rId22">
            <o:FieldCodes>\s</o:FieldCodes>
          </o:OLEObject>
        </w:object>
      </w:r>
    </w:p>
    <w:p w:rsidR="00092FDC" w:rsidRDefault="00BD24BE" w:rsidP="00641E6C">
      <w:r w:rsidRPr="00D77F5D">
        <w:t xml:space="preserve">No objections </w:t>
      </w:r>
      <w:r>
        <w:t xml:space="preserve">on Mari’s proposal </w:t>
      </w:r>
      <w:r w:rsidRPr="00D77F5D">
        <w:t>received</w:t>
      </w:r>
      <w:r>
        <w:t xml:space="preserve"> from NMPG’s. </w:t>
      </w:r>
      <w:r w:rsidRPr="00D77F5D">
        <w:t>The section in GMP1 will be updated accordingly</w:t>
      </w:r>
      <w:r>
        <w:t>.</w:t>
      </w:r>
      <w:r w:rsidR="00641E6C" w:rsidRPr="00641E6C">
        <w:t xml:space="preserve"> </w:t>
      </w:r>
    </w:p>
    <w:p w:rsidR="00641E6C" w:rsidRDefault="00641E6C" w:rsidP="00641E6C">
      <w:r w:rsidRPr="00D77F5D">
        <w:t xml:space="preserve">Christine responded to the </w:t>
      </w:r>
      <w:r w:rsidR="00092FDC">
        <w:t xml:space="preserve">following </w:t>
      </w:r>
      <w:r w:rsidRPr="00D77F5D">
        <w:t xml:space="preserve">question from </w:t>
      </w:r>
      <w:r w:rsidR="00092FDC">
        <w:t xml:space="preserve">ZA last </w:t>
      </w:r>
      <w:r w:rsidRPr="00D77F5D">
        <w:t>July</w:t>
      </w:r>
      <w:r w:rsidR="00092FDC">
        <w:t>: “</w:t>
      </w:r>
      <w:r w:rsidR="00092FDC" w:rsidRPr="00092FDC">
        <w:rPr>
          <w:i/>
        </w:rPr>
        <w:t>when a claim would result in both cash and securities entitlements, would the MP require 2 separate MT564 &amp; MT566 or 1 MT564 and 2 MT566</w:t>
      </w:r>
      <w:proofErr w:type="gramStart"/>
      <w:r w:rsidR="00092FDC" w:rsidRPr="00092FDC">
        <w:rPr>
          <w:i/>
        </w:rPr>
        <w:t>?“</w:t>
      </w:r>
      <w:proofErr w:type="gramEnd"/>
      <w:r w:rsidRPr="00D77F5D">
        <w:t xml:space="preserve"> </w:t>
      </w:r>
      <w:r w:rsidR="004A1314">
        <w:t xml:space="preserve"> </w:t>
      </w:r>
      <w:r w:rsidRPr="00D77F5D">
        <w:t xml:space="preserve">that the </w:t>
      </w:r>
      <w:r w:rsidR="004A1314" w:rsidRPr="00D77F5D">
        <w:t>market claims</w:t>
      </w:r>
      <w:r w:rsidRPr="00D77F5D">
        <w:t xml:space="preserve"> confirmation should reflect the event confirmation. If the event has option CASE, the market claim is for CASE as well</w:t>
      </w:r>
      <w:r>
        <w:t>.</w:t>
      </w:r>
    </w:p>
    <w:p w:rsidR="00F71CB6" w:rsidRDefault="00F71CB6" w:rsidP="00F71CB6">
      <w:r>
        <w:t>Regarding the issue concerning the absence of usage of the “MKTC” amount in the MT566 as raised by Mike at the last meeting, should we recommend that the market claim amount usage becomes optional and remove the qualifier MKTC later on?</w:t>
      </w:r>
    </w:p>
    <w:p w:rsidR="00F71CB6" w:rsidRPr="00D77F5D" w:rsidRDefault="00F71CB6" w:rsidP="00641E6C">
      <w:r>
        <w:t>The WG agree to keep MKTC as the usage of the amount</w:t>
      </w:r>
      <w:r w:rsidR="003C35DD">
        <w:t xml:space="preserve"> is not so low (as per the last figures provided by SWIFT) and decides to create a new open item to amend the current MP on MKTC. </w:t>
      </w:r>
    </w:p>
    <w:p w:rsidR="00BD24BE" w:rsidRDefault="00BD24BE" w:rsidP="00BD24BE">
      <w:pPr>
        <w:pStyle w:val="Actions"/>
        <w:rPr>
          <w:u w:val="single"/>
        </w:rPr>
      </w:pPr>
      <w:r w:rsidRPr="004B09FC">
        <w:rPr>
          <w:b/>
          <w:u w:val="single"/>
        </w:rPr>
        <w:t>Action</w:t>
      </w:r>
      <w:r w:rsidR="0096523B">
        <w:rPr>
          <w:b/>
          <w:u w:val="single"/>
        </w:rPr>
        <w:t>s</w:t>
      </w:r>
      <w:r w:rsidRPr="00600185">
        <w:rPr>
          <w:b/>
        </w:rPr>
        <w:t>:</w:t>
      </w:r>
      <w:r w:rsidRPr="00600185">
        <w:t xml:space="preserve"> </w:t>
      </w:r>
    </w:p>
    <w:p w:rsidR="00641E6C" w:rsidRDefault="00BD24BE" w:rsidP="00BD24BE">
      <w:pPr>
        <w:pStyle w:val="Actions"/>
        <w:numPr>
          <w:ilvl w:val="0"/>
          <w:numId w:val="37"/>
        </w:numPr>
      </w:pPr>
      <w:r w:rsidRPr="00641E6C">
        <w:rPr>
          <w:u w:val="single"/>
        </w:rPr>
        <w:t>Jacques</w:t>
      </w:r>
      <w:r w:rsidRPr="00641E6C">
        <w:t xml:space="preserve"> to update section 10 in GMP1</w:t>
      </w:r>
      <w:r w:rsidR="00641E6C">
        <w:t>.</w:t>
      </w:r>
    </w:p>
    <w:p w:rsidR="00641E6C" w:rsidRDefault="00092FDC" w:rsidP="00BD24BE">
      <w:pPr>
        <w:pStyle w:val="Actions"/>
        <w:numPr>
          <w:ilvl w:val="0"/>
          <w:numId w:val="37"/>
        </w:numPr>
      </w:pPr>
      <w:r w:rsidRPr="00092FDC">
        <w:rPr>
          <w:u w:val="single"/>
        </w:rPr>
        <w:lastRenderedPageBreak/>
        <w:t>Jacques</w:t>
      </w:r>
      <w:r>
        <w:t xml:space="preserve"> to c</w:t>
      </w:r>
      <w:r w:rsidR="00BD24BE" w:rsidRPr="00D77F5D">
        <w:t xml:space="preserve">reate new </w:t>
      </w:r>
      <w:r>
        <w:t xml:space="preserve">open </w:t>
      </w:r>
      <w:r w:rsidR="00BD24BE" w:rsidRPr="00D77F5D">
        <w:t>item, proposing to amend GMP1 to state that MKTC is optional in global market practice (as in the standards).</w:t>
      </w:r>
    </w:p>
    <w:p w:rsidR="00BD24BE" w:rsidRDefault="00BD24BE" w:rsidP="00BD24BE">
      <w:pPr>
        <w:pStyle w:val="Actions"/>
        <w:numPr>
          <w:ilvl w:val="0"/>
          <w:numId w:val="37"/>
        </w:numPr>
      </w:pPr>
      <w:r w:rsidRPr="00092FDC">
        <w:rPr>
          <w:u w:val="single"/>
        </w:rPr>
        <w:t>NMPG</w:t>
      </w:r>
      <w:r w:rsidR="00641E6C" w:rsidRPr="00092FDC">
        <w:rPr>
          <w:u w:val="single"/>
        </w:rPr>
        <w:t>’</w:t>
      </w:r>
      <w:r w:rsidRPr="00092FDC">
        <w:rPr>
          <w:u w:val="single"/>
        </w:rPr>
        <w:t xml:space="preserve">s </w:t>
      </w:r>
      <w:r w:rsidRPr="00D77F5D">
        <w:t>are requested to di</w:t>
      </w:r>
      <w:r w:rsidR="00641E6C">
        <w:t>scuss and revert on the above proposal.</w:t>
      </w:r>
    </w:p>
    <w:p w:rsidR="00EB34A0" w:rsidRDefault="001B0369" w:rsidP="00092FDC">
      <w:pPr>
        <w:pStyle w:val="Heading1"/>
      </w:pPr>
      <w:bookmarkStart w:id="31" w:name="_Toc529286630"/>
      <w:r>
        <w:t>CA400</w:t>
      </w:r>
      <w:r>
        <w:tab/>
      </w:r>
      <w:r w:rsidR="00EB34A0">
        <w:t>Scheme of Arrangement</w:t>
      </w:r>
      <w:bookmarkEnd w:id="31"/>
      <w:r w:rsidR="00EB34A0">
        <w:t xml:space="preserve"> </w:t>
      </w:r>
    </w:p>
    <w:bookmarkStart w:id="32" w:name="_MON_1603000255"/>
    <w:bookmarkEnd w:id="32"/>
    <w:p w:rsidR="00AA6F73" w:rsidRPr="00AA6F73" w:rsidRDefault="00AA6F73" w:rsidP="00AA6F73">
      <w:r>
        <w:object w:dxaOrig="1551" w:dyaOrig="991">
          <v:shape id="_x0000_i1030" type="#_x0000_t75" style="width:77.75pt;height:49.55pt" o:ole="">
            <v:imagedata r:id="rId23" o:title=""/>
          </v:shape>
          <o:OLEObject Type="Embed" ProgID="Word.Document.12" ShapeID="_x0000_i1030" DrawAspect="Icon" ObjectID="_1603029001" r:id="rId24">
            <o:FieldCodes>\s</o:FieldCodes>
          </o:OLEObject>
        </w:object>
      </w:r>
    </w:p>
    <w:bookmarkStart w:id="33" w:name="_MON_1603000218"/>
    <w:bookmarkEnd w:id="33"/>
    <w:p w:rsidR="007D3465" w:rsidRDefault="00AA6F73" w:rsidP="001437D2">
      <w:pPr>
        <w:rPr>
          <w:rFonts w:ascii="Calibri" w:hAnsi="Calibri" w:cs="Times New Roman"/>
          <w:sz w:val="22"/>
          <w:szCs w:val="22"/>
          <w:lang w:val="en-GB"/>
        </w:rPr>
      </w:pPr>
      <w:r>
        <w:rPr>
          <w:rFonts w:ascii="Calibri" w:hAnsi="Calibri" w:cs="Times New Roman"/>
          <w:sz w:val="22"/>
          <w:szCs w:val="22"/>
          <w:lang w:val="en-GB"/>
        </w:rPr>
        <w:object w:dxaOrig="1551" w:dyaOrig="991">
          <v:shape id="_x0000_i1031" type="#_x0000_t75" style="width:77.75pt;height:49.55pt" o:ole="">
            <v:imagedata r:id="rId25" o:title=""/>
          </v:shape>
          <o:OLEObject Type="Embed" ProgID="Word.Document.12" ShapeID="_x0000_i1031" DrawAspect="Icon" ObjectID="_1603029002" r:id="rId26">
            <o:FieldCodes>\s</o:FieldCodes>
          </o:OLEObject>
        </w:object>
      </w:r>
    </w:p>
    <w:p w:rsidR="00125FE8" w:rsidRDefault="00125FE8" w:rsidP="00125FE8">
      <w:pPr>
        <w:autoSpaceDE w:val="0"/>
        <w:autoSpaceDN w:val="0"/>
        <w:adjustRightInd w:val="0"/>
      </w:pPr>
      <w:r>
        <w:t>An amended version of Jean-Paul’</w:t>
      </w:r>
      <w:r w:rsidRPr="006C384E">
        <w:t xml:space="preserve"> document </w:t>
      </w:r>
      <w:r>
        <w:t>ha</w:t>
      </w:r>
      <w:r w:rsidR="00AA6F73">
        <w:t>d</w:t>
      </w:r>
      <w:r>
        <w:t xml:space="preserve"> been received </w:t>
      </w:r>
      <w:r w:rsidR="00AA6F73">
        <w:t xml:space="preserve">already </w:t>
      </w:r>
      <w:r>
        <w:t xml:space="preserve">from Mike </w:t>
      </w:r>
      <w:r w:rsidR="00AA6F73">
        <w:t>in September and additional input from Sanjeev lately (here above).</w:t>
      </w:r>
    </w:p>
    <w:p w:rsidR="00AA6F73" w:rsidRPr="00AA6F73" w:rsidRDefault="00AA6F73" w:rsidP="00AA6F73">
      <w:r>
        <w:t>Since no new version of the document has been received from Jean-Paul, the i</w:t>
      </w:r>
      <w:r w:rsidRPr="00AA6F73">
        <w:t>tem</w:t>
      </w:r>
      <w:r>
        <w:t xml:space="preserve"> is</w:t>
      </w:r>
      <w:r w:rsidRPr="00AA6F73">
        <w:t xml:space="preserve"> postponed </w:t>
      </w:r>
      <w:r>
        <w:t>till next conference call.</w:t>
      </w:r>
    </w:p>
    <w:p w:rsidR="00AA6F73" w:rsidRPr="00AA6F73" w:rsidRDefault="00BA7B7D" w:rsidP="00AA6F73">
      <w:r>
        <w:t>Looking at the Complex event tab, there is a</w:t>
      </w:r>
      <w:r w:rsidR="00AA6F73" w:rsidRPr="00AA6F73">
        <w:t xml:space="preserve"> possibility that the UK MP is in violation of the global MP regarding EXOF</w:t>
      </w:r>
      <w:r>
        <w:t>.</w:t>
      </w:r>
    </w:p>
    <w:p w:rsidR="00125FE8" w:rsidRDefault="00125FE8" w:rsidP="00125FE8">
      <w:pPr>
        <w:pStyle w:val="Actions"/>
      </w:pPr>
      <w:r w:rsidRPr="00125FE8">
        <w:rPr>
          <w:b/>
          <w:u w:val="single"/>
        </w:rPr>
        <w:t>Action</w:t>
      </w:r>
      <w:r w:rsidRPr="00600185">
        <w:rPr>
          <w:b/>
        </w:rPr>
        <w:t xml:space="preserve">: </w:t>
      </w:r>
      <w:r w:rsidRPr="00125FE8">
        <w:rPr>
          <w:u w:val="single"/>
        </w:rPr>
        <w:t>Jean-Paul</w:t>
      </w:r>
      <w:r>
        <w:t xml:space="preserve"> will revise the document accordingly.</w:t>
      </w:r>
    </w:p>
    <w:p w:rsidR="007C30CE" w:rsidRDefault="007C30CE" w:rsidP="00BA7B7D">
      <w:pPr>
        <w:pStyle w:val="Heading1"/>
      </w:pPr>
      <w:bookmarkStart w:id="34" w:name="_Toc529286631"/>
      <w:r>
        <w:t>CA401</w:t>
      </w:r>
      <w:r w:rsidR="006F7090">
        <w:tab/>
      </w:r>
      <w:r w:rsidR="00BA7B7D" w:rsidRPr="00BA7B7D">
        <w:t>SHRD2 – Check compliance of Messaging Solutions</w:t>
      </w:r>
      <w:bookmarkEnd w:id="34"/>
    </w:p>
    <w:p w:rsidR="003B1A32" w:rsidRDefault="003B1A32" w:rsidP="00A93374">
      <w:pPr>
        <w:autoSpaceDE w:val="0"/>
        <w:autoSpaceDN w:val="0"/>
        <w:adjustRightInd w:val="0"/>
      </w:pPr>
      <w:r>
        <w:t>The SRD2 level 2 (Implementing act has been published on September 3).</w:t>
      </w:r>
    </w:p>
    <w:p w:rsidR="00BA7B7D" w:rsidRDefault="00BA7B7D" w:rsidP="00A93374">
      <w:pPr>
        <w:autoSpaceDE w:val="0"/>
        <w:autoSpaceDN w:val="0"/>
        <w:adjustRightInd w:val="0"/>
      </w:pPr>
      <w:r>
        <w:object w:dxaOrig="1551" w:dyaOrig="991">
          <v:shape id="_x0000_i1032" type="#_x0000_t75" style="width:77.75pt;height:49.55pt" o:ole="">
            <v:imagedata r:id="rId27" o:title=""/>
          </v:shape>
          <o:OLEObject Type="Embed" ProgID="AcroExch.Document.2015" ShapeID="_x0000_i1032" DrawAspect="Icon" ObjectID="_1603029003" r:id="rId28"/>
        </w:object>
      </w:r>
    </w:p>
    <w:p w:rsidR="00BA7B7D" w:rsidRPr="00836F90" w:rsidRDefault="00BA7B7D" w:rsidP="00A93374">
      <w:pPr>
        <w:autoSpaceDE w:val="0"/>
        <w:autoSpaceDN w:val="0"/>
        <w:adjustRightInd w:val="0"/>
      </w:pPr>
      <w:r>
        <w:object w:dxaOrig="1551" w:dyaOrig="991">
          <v:shape id="_x0000_i1033" type="#_x0000_t75" style="width:77.75pt;height:49.55pt" o:ole="">
            <v:imagedata r:id="rId29" o:title=""/>
          </v:shape>
          <o:OLEObject Type="Embed" ProgID="AcroExch.Document.2015" ShapeID="_x0000_i1033" DrawAspect="Icon" ObjectID="_1603029004" r:id="rId30"/>
        </w:object>
      </w:r>
    </w:p>
    <w:p w:rsidR="006029B1" w:rsidRDefault="006029B1" w:rsidP="00BA7B7D">
      <w:r w:rsidRPr="00D77F5D">
        <w:t>Christine summarised</w:t>
      </w:r>
      <w:r>
        <w:t xml:space="preserve"> the content of SRD II to the WG.</w:t>
      </w:r>
    </w:p>
    <w:p w:rsidR="00BA7B7D" w:rsidRDefault="00BA7B7D" w:rsidP="00BA7B7D">
      <w:r>
        <w:t>Christine, Paola, Mari and Jacques met with the people in charge of the SRD2 Implementing Act at the Justice Commission on September 28.</w:t>
      </w:r>
      <w:r w:rsidR="006029B1">
        <w:t xml:space="preserve"> In summary, t</w:t>
      </w:r>
      <w:r>
        <w:t>he Commission welcomed the proposal of the SMPG to drive the messaging solution for the shareh</w:t>
      </w:r>
      <w:r w:rsidR="006029B1">
        <w:t>older identification flow. There are no signs either that ESMA would eventually like to drive this initiative.</w:t>
      </w:r>
    </w:p>
    <w:p w:rsidR="006029B1" w:rsidRDefault="006029B1" w:rsidP="00BA7B7D">
      <w:r>
        <w:t>The SMPG SC has also agreed at its October conference call that the CA WG creates a dedicated SMPG SRD2 TF to start the process for the ISO 20022 development of those new shareholder identification messages and to update the existing PV and CA messages if deemed necessary (as per the Commission implementing act requirements).</w:t>
      </w:r>
    </w:p>
    <w:p w:rsidR="006029B1" w:rsidRDefault="006029B1" w:rsidP="00BA7B7D">
      <w:r>
        <w:t>The kick-off meting for the task force has been scheduled on November 20 at SWIFT La Hulpe (BE) and the invitation was sent to the CA WG members and SnR Co-Chairs on October 15.</w:t>
      </w:r>
    </w:p>
    <w:p w:rsidR="00BA7B7D" w:rsidRPr="00D77F5D" w:rsidRDefault="006029B1" w:rsidP="00BA7B7D">
      <w:r>
        <w:t>Deadline to register to this TF is extended to November 9.</w:t>
      </w:r>
    </w:p>
    <w:p w:rsidR="00BA7B7D" w:rsidRPr="00D77F5D" w:rsidRDefault="00BA7B7D" w:rsidP="006029B1">
      <w:pPr>
        <w:pStyle w:val="Decisions"/>
      </w:pPr>
      <w:r w:rsidRPr="006029B1">
        <w:rPr>
          <w:b/>
          <w:u w:val="single"/>
        </w:rPr>
        <w:t>Decision</w:t>
      </w:r>
      <w:r w:rsidRPr="00D77F5D">
        <w:rPr>
          <w:b/>
        </w:rPr>
        <w:t>:</w:t>
      </w:r>
      <w:r w:rsidRPr="00D77F5D">
        <w:t xml:space="preserve"> Close item, since the SRDII TF will take over</w:t>
      </w:r>
      <w:r w:rsidR="006029B1">
        <w:t>.</w:t>
      </w:r>
    </w:p>
    <w:p w:rsidR="00BA7B7D" w:rsidRPr="00D77F5D" w:rsidRDefault="00BA7B7D" w:rsidP="006029B1">
      <w:pPr>
        <w:pStyle w:val="Actions"/>
      </w:pPr>
      <w:r w:rsidRPr="006029B1">
        <w:rPr>
          <w:b/>
          <w:u w:val="single"/>
        </w:rPr>
        <w:t>Action</w:t>
      </w:r>
      <w:r w:rsidRPr="00D77F5D">
        <w:rPr>
          <w:b/>
        </w:rPr>
        <w:t>:</w:t>
      </w:r>
      <w:r w:rsidRPr="00D77F5D">
        <w:t xml:space="preserve"> </w:t>
      </w:r>
      <w:r w:rsidR="0096523B" w:rsidRPr="0096523B">
        <w:rPr>
          <w:u w:val="single"/>
        </w:rPr>
        <w:t>Jacques</w:t>
      </w:r>
      <w:r w:rsidR="0096523B">
        <w:t xml:space="preserve"> to c</w:t>
      </w:r>
      <w:r w:rsidRPr="00D77F5D">
        <w:t>reate a standing meeting agenda item for SRD II TF updates</w:t>
      </w:r>
      <w:r w:rsidR="006029B1">
        <w:t xml:space="preserve"> to the CA WG.</w:t>
      </w:r>
    </w:p>
    <w:p w:rsidR="00900A63" w:rsidRDefault="001B0369" w:rsidP="00900A63">
      <w:pPr>
        <w:pStyle w:val="Heading1"/>
      </w:pPr>
      <w:bookmarkStart w:id="35" w:name="_Toc529286632"/>
      <w:r>
        <w:lastRenderedPageBreak/>
        <w:t>CA403</w:t>
      </w:r>
      <w:r>
        <w:tab/>
      </w:r>
      <w:r w:rsidR="00900A63">
        <w:t>Multi-Deposited Securities and COAF / CORP / SAFE in the MT565</w:t>
      </w:r>
      <w:bookmarkEnd w:id="35"/>
    </w:p>
    <w:bookmarkEnd w:id="7"/>
    <w:bookmarkEnd w:id="8"/>
    <w:p w:rsidR="00AD3274" w:rsidRDefault="00A319F9" w:rsidP="003B1A32">
      <w:pPr>
        <w:autoSpaceDE w:val="0"/>
        <w:autoSpaceDN w:val="0"/>
        <w:adjustRightInd w:val="0"/>
      </w:pPr>
      <w:r>
        <w:t xml:space="preserve">The WG agrees with Véronique input with some amendments to the text as shown in the resulting proposal document here below (see track changes): </w:t>
      </w:r>
    </w:p>
    <w:bookmarkStart w:id="36" w:name="_MON_1603001788"/>
    <w:bookmarkEnd w:id="36"/>
    <w:p w:rsidR="00AD3274" w:rsidRDefault="00AD3274" w:rsidP="003B1A32">
      <w:pPr>
        <w:autoSpaceDE w:val="0"/>
        <w:autoSpaceDN w:val="0"/>
        <w:adjustRightInd w:val="0"/>
      </w:pPr>
      <w:r>
        <w:object w:dxaOrig="1551" w:dyaOrig="991">
          <v:shape id="_x0000_i1034" type="#_x0000_t75" style="width:77.75pt;height:49.55pt" o:ole="">
            <v:imagedata r:id="rId31" o:title=""/>
          </v:shape>
          <o:OLEObject Type="Embed" ProgID="Word.Document.12" ShapeID="_x0000_i1034" DrawAspect="Icon" ObjectID="_1603029005" r:id="rId32">
            <o:FieldCodes>\s</o:FieldCodes>
          </o:OLEObject>
        </w:object>
      </w:r>
    </w:p>
    <w:p w:rsidR="003B1A32" w:rsidRPr="00836F90" w:rsidRDefault="003B1A32" w:rsidP="003B1A32">
      <w:pPr>
        <w:pStyle w:val="Actions"/>
      </w:pPr>
      <w:r w:rsidRPr="003B1A32">
        <w:rPr>
          <w:b/>
          <w:u w:val="single"/>
        </w:rPr>
        <w:t>Action</w:t>
      </w:r>
      <w:r w:rsidRPr="00600185">
        <w:rPr>
          <w:b/>
        </w:rPr>
        <w:t>:</w:t>
      </w:r>
      <w:r>
        <w:t xml:space="preserve"> </w:t>
      </w:r>
      <w:r w:rsidRPr="003B1A32">
        <w:rPr>
          <w:u w:val="single"/>
        </w:rPr>
        <w:t>All NMPGs</w:t>
      </w:r>
      <w:r>
        <w:t xml:space="preserve"> are requested to review the </w:t>
      </w:r>
      <w:r w:rsidR="00A319F9">
        <w:t xml:space="preserve">new </w:t>
      </w:r>
      <w:r>
        <w:t>input document and revert.</w:t>
      </w:r>
    </w:p>
    <w:p w:rsidR="00D24255" w:rsidRPr="005E4302" w:rsidRDefault="001B0369" w:rsidP="005E4302">
      <w:pPr>
        <w:pStyle w:val="Heading1"/>
      </w:pPr>
      <w:bookmarkStart w:id="37" w:name="_Toc529286633"/>
      <w:r>
        <w:t>CA405</w:t>
      </w:r>
      <w:r>
        <w:tab/>
      </w:r>
      <w:r w:rsidR="00186EEA">
        <w:t>F</w:t>
      </w:r>
      <w:r w:rsidR="005E4302" w:rsidRPr="005E4302">
        <w:t>lag at movement level indicating that securities will be blocked</w:t>
      </w:r>
      <w:bookmarkEnd w:id="37"/>
    </w:p>
    <w:p w:rsidR="00552ADF" w:rsidRDefault="00552ADF" w:rsidP="00552ADF">
      <w:pPr>
        <w:rPr>
          <w:rStyle w:val="messagetypecontextto"/>
        </w:rPr>
      </w:pPr>
      <w:r w:rsidRPr="00552ADF">
        <w:rPr>
          <w:rStyle w:val="messagetypecontextto"/>
        </w:rPr>
        <w:t xml:space="preserve">After an interesting </w:t>
      </w:r>
      <w:r>
        <w:rPr>
          <w:rStyle w:val="messagetypecontextto"/>
        </w:rPr>
        <w:t xml:space="preserve">and long </w:t>
      </w:r>
      <w:r w:rsidRPr="00552ADF">
        <w:rPr>
          <w:rStyle w:val="messagetypecontextto"/>
        </w:rPr>
        <w:t>discussion on various markets’ processing of instructions and CSD account structure, it was agreed that the issue is simply too complex to</w:t>
      </w:r>
      <w:r>
        <w:rPr>
          <w:rStyle w:val="messagetypecontextto"/>
        </w:rPr>
        <w:t xml:space="preserve"> be</w:t>
      </w:r>
      <w:r w:rsidRPr="00552ADF">
        <w:rPr>
          <w:rStyle w:val="messagetypecontextto"/>
        </w:rPr>
        <w:t xml:space="preserve"> solve</w:t>
      </w:r>
      <w:r>
        <w:rPr>
          <w:rStyle w:val="messagetypecontextto"/>
        </w:rPr>
        <w:t xml:space="preserve">d </w:t>
      </w:r>
      <w:r w:rsidRPr="00552ADF">
        <w:rPr>
          <w:rStyle w:val="messagetypecontextto"/>
        </w:rPr>
        <w:t xml:space="preserve">with a </w:t>
      </w:r>
      <w:r>
        <w:rPr>
          <w:rStyle w:val="messagetypecontextto"/>
        </w:rPr>
        <w:t xml:space="preserve">single </w:t>
      </w:r>
      <w:r w:rsidRPr="00552ADF">
        <w:rPr>
          <w:rStyle w:val="messagetypecontextto"/>
        </w:rPr>
        <w:t>flag</w:t>
      </w:r>
      <w:r>
        <w:rPr>
          <w:rStyle w:val="messagetypecontextto"/>
        </w:rPr>
        <w:t xml:space="preserve"> as the conditions for blocking securities are so different per country and per type of intermediary.  </w:t>
      </w:r>
    </w:p>
    <w:p w:rsidR="00552ADF" w:rsidRPr="00552ADF" w:rsidRDefault="00552ADF" w:rsidP="00552ADF">
      <w:pPr>
        <w:rPr>
          <w:rStyle w:val="messagetypecontextto"/>
        </w:rPr>
      </w:pPr>
      <w:r>
        <w:rPr>
          <w:rStyle w:val="messagetypecontextto"/>
        </w:rPr>
        <w:t xml:space="preserve">The creation of a flag for that could be misleading and prone to misinterpretation or misuse.  </w:t>
      </w:r>
    </w:p>
    <w:p w:rsidR="00552ADF" w:rsidRPr="00552ADF" w:rsidRDefault="00552ADF" w:rsidP="00552ADF">
      <w:pPr>
        <w:pStyle w:val="Decisions"/>
        <w:rPr>
          <w:rStyle w:val="messagetypecontextto"/>
        </w:rPr>
      </w:pPr>
      <w:r w:rsidRPr="00552ADF">
        <w:rPr>
          <w:rStyle w:val="messagetypecontextto"/>
          <w:u w:val="single"/>
        </w:rPr>
        <w:t>Decision</w:t>
      </w:r>
      <w:r w:rsidRPr="00552ADF">
        <w:rPr>
          <w:rStyle w:val="messagetypecontextto"/>
        </w:rPr>
        <w:t xml:space="preserve">: </w:t>
      </w:r>
      <w:r>
        <w:rPr>
          <w:rStyle w:val="messagetypecontextto"/>
        </w:rPr>
        <w:t xml:space="preserve">The proposal is rejected. </w:t>
      </w:r>
      <w:r w:rsidRPr="00552ADF">
        <w:rPr>
          <w:rStyle w:val="messagetypecontextto"/>
        </w:rPr>
        <w:t>Close item</w:t>
      </w:r>
    </w:p>
    <w:p w:rsidR="007C30CE" w:rsidRDefault="009F4CFB" w:rsidP="00186EEA">
      <w:pPr>
        <w:pStyle w:val="Heading1"/>
      </w:pPr>
      <w:bookmarkStart w:id="38" w:name="_Toc529286634"/>
      <w:r>
        <w:t>CA406</w:t>
      </w:r>
      <w:r>
        <w:tab/>
      </w:r>
      <w:r w:rsidR="007C30CE">
        <w:t>Add MITI to the MT566 ?</w:t>
      </w:r>
      <w:bookmarkEnd w:id="38"/>
    </w:p>
    <w:p w:rsidR="00FE2CAE" w:rsidRPr="00D77F5D" w:rsidRDefault="00FE2CAE" w:rsidP="002058BD">
      <w:pPr>
        <w:autoSpaceDE w:val="0"/>
        <w:autoSpaceDN w:val="0"/>
        <w:adjustRightInd w:val="0"/>
        <w:spacing w:before="0" w:after="0"/>
      </w:pPr>
      <w:r w:rsidRPr="002058BD">
        <w:t xml:space="preserve">The MITI </w:t>
      </w:r>
      <w:r w:rsidR="002058BD" w:rsidRPr="002058BD">
        <w:t>(</w:t>
      </w:r>
      <w:r w:rsidR="002058BD" w:rsidRPr="002058BD">
        <w:rPr>
          <w:rFonts w:eastAsia="ArialMT"/>
        </w:rPr>
        <w:t xml:space="preserve">Market Infrastructure Transaction Identification) reference </w:t>
      </w:r>
      <w:r w:rsidRPr="002058BD">
        <w:t>is present in the cash</w:t>
      </w:r>
      <w:r w:rsidRPr="00D77F5D">
        <w:t xml:space="preserve"> posting/PFoD, but not the CORP (COAF)</w:t>
      </w:r>
      <w:r w:rsidR="002058BD">
        <w:t xml:space="preserve">. </w:t>
      </w:r>
      <w:r w:rsidRPr="00D77F5D">
        <w:t>Including the CORP would not really help reconciliation, since there would often be multiple postings on the same event. Nonetheless, the CORP will soon be added to a number of settlement messages on T2S</w:t>
      </w:r>
      <w:r w:rsidR="002058BD">
        <w:t>.</w:t>
      </w:r>
    </w:p>
    <w:p w:rsidR="00FE2CAE" w:rsidRPr="00D77F5D" w:rsidRDefault="00FE2CAE" w:rsidP="00FE2CAE">
      <w:r w:rsidRPr="00D77F5D">
        <w:t xml:space="preserve">The best </w:t>
      </w:r>
      <w:r w:rsidR="002058BD">
        <w:t>option</w:t>
      </w:r>
      <w:r w:rsidRPr="00D77F5D">
        <w:t xml:space="preserve"> would be to add the MITI to the CA confirmation </w:t>
      </w:r>
      <w:r w:rsidR="002058BD">
        <w:t xml:space="preserve">but it is not sure that </w:t>
      </w:r>
      <w:r w:rsidRPr="00D77F5D">
        <w:t xml:space="preserve">CSDs </w:t>
      </w:r>
      <w:r w:rsidR="002058BD">
        <w:t xml:space="preserve">would implement it. </w:t>
      </w:r>
    </w:p>
    <w:p w:rsidR="00FE2CAE" w:rsidRPr="00D77F5D" w:rsidRDefault="00FE2CAE" w:rsidP="002058BD">
      <w:pPr>
        <w:pStyle w:val="Actions"/>
      </w:pPr>
      <w:r w:rsidRPr="002058BD">
        <w:rPr>
          <w:b/>
          <w:u w:val="single"/>
        </w:rPr>
        <w:t>Action</w:t>
      </w:r>
      <w:r w:rsidRPr="00D77F5D">
        <w:rPr>
          <w:b/>
        </w:rPr>
        <w:t>:</w:t>
      </w:r>
      <w:r w:rsidRPr="00D77F5D">
        <w:t xml:space="preserve"> </w:t>
      </w:r>
      <w:r w:rsidRPr="002058BD">
        <w:rPr>
          <w:u w:val="single"/>
        </w:rPr>
        <w:t>NMPGs</w:t>
      </w:r>
      <w:r w:rsidRPr="00D77F5D">
        <w:t xml:space="preserve"> are requested to discuss the addition of MITI to the MT566 and seev.036 and revert by the next conference call</w:t>
      </w:r>
      <w:r w:rsidR="002058BD">
        <w:t>.</w:t>
      </w:r>
    </w:p>
    <w:p w:rsidR="00E319E6" w:rsidRDefault="001B0369" w:rsidP="00E319E6">
      <w:pPr>
        <w:pStyle w:val="Heading1"/>
      </w:pPr>
      <w:bookmarkStart w:id="39" w:name="_Toc529286635"/>
      <w:r>
        <w:t>CA408</w:t>
      </w:r>
      <w:r>
        <w:tab/>
      </w:r>
      <w:r w:rsidR="00E319E6">
        <w:t>Corporate Action on sukuk bonds/certificates</w:t>
      </w:r>
      <w:bookmarkEnd w:id="39"/>
    </w:p>
    <w:p w:rsidR="00BE6FA4" w:rsidRPr="00D77F5D" w:rsidRDefault="00BE6FA4" w:rsidP="00BE6FA4">
      <w:r w:rsidRPr="00D77F5D">
        <w:t>J</w:t>
      </w:r>
      <w:r>
        <w:t xml:space="preserve">yi-Chen summarised the status in APAC for Sukuk bonds processing. </w:t>
      </w:r>
    </w:p>
    <w:p w:rsidR="00BE6FA4" w:rsidRDefault="00BE6FA4" w:rsidP="00BE6FA4">
      <w:r>
        <w:t>The SMPG CA WG has</w:t>
      </w:r>
      <w:r w:rsidRPr="00D77F5D">
        <w:t xml:space="preserve"> the right expertise on this</w:t>
      </w:r>
      <w:r>
        <w:t>. W</w:t>
      </w:r>
      <w:r w:rsidRPr="00D77F5D">
        <w:t xml:space="preserve">e do not know what is required to be compliant, or how many events there may be. </w:t>
      </w:r>
    </w:p>
    <w:p w:rsidR="00BE6FA4" w:rsidRDefault="00BE6FA4" w:rsidP="00BE6FA4">
      <w:r>
        <w:t xml:space="preserve">We should see whether </w:t>
      </w:r>
      <w:r w:rsidRPr="00D77F5D">
        <w:t>a workshop with representativ</w:t>
      </w:r>
      <w:r>
        <w:t xml:space="preserve">es from Islamic finance/markets could be set-up and driven by the </w:t>
      </w:r>
      <w:proofErr w:type="gramStart"/>
      <w:r>
        <w:t>SMPG ?</w:t>
      </w:r>
      <w:proofErr w:type="gramEnd"/>
    </w:p>
    <w:p w:rsidR="0016000F" w:rsidRPr="00D77F5D" w:rsidRDefault="0016000F" w:rsidP="0016000F">
      <w:pPr>
        <w:pStyle w:val="Actions"/>
      </w:pPr>
      <w:r w:rsidRPr="0016000F">
        <w:rPr>
          <w:b/>
          <w:u w:val="single"/>
        </w:rPr>
        <w:t>Action</w:t>
      </w:r>
      <w:r w:rsidRPr="0016000F">
        <w:t xml:space="preserve">: Discuss whether a workshop with representatives from Islamic finance/markets could be set-up and driven by the </w:t>
      </w:r>
      <w:r>
        <w:t>SMPG</w:t>
      </w:r>
    </w:p>
    <w:p w:rsidR="00293F10" w:rsidRDefault="00293F10" w:rsidP="00293F10">
      <w:pPr>
        <w:pStyle w:val="Heading1"/>
      </w:pPr>
      <w:bookmarkStart w:id="40" w:name="_Toc529286636"/>
      <w:r w:rsidRPr="00293F10">
        <w:t>CA409</w:t>
      </w:r>
      <w:r w:rsidRPr="00293F10">
        <w:tab/>
        <w:t>GMP1 Section 3.8.2 on Place of Safekeeping to be clarified</w:t>
      </w:r>
      <w:bookmarkEnd w:id="40"/>
    </w:p>
    <w:p w:rsidR="0033340D" w:rsidRDefault="0033340D" w:rsidP="0033340D">
      <w:r>
        <w:t>The WG discusses the MP in</w:t>
      </w:r>
      <w:r w:rsidRPr="00D77F5D">
        <w:t xml:space="preserve"> section 3.8.2</w:t>
      </w:r>
      <w:r>
        <w:t xml:space="preserve"> in GMP1</w:t>
      </w:r>
      <w:r w:rsidRPr="00D77F5D">
        <w:t>.</w:t>
      </w:r>
    </w:p>
    <w:p w:rsidR="0033340D" w:rsidRDefault="0033340D" w:rsidP="0033340D">
      <w:r w:rsidRPr="00D77F5D">
        <w:t xml:space="preserve">As Mari pointed out, it does not really recommend anything. It also conflicts with 8.1.2.9, and in any case the header, text and table </w:t>
      </w:r>
      <w:r>
        <w:t xml:space="preserve">are not aligned with each other. </w:t>
      </w:r>
    </w:p>
    <w:p w:rsidR="0033340D" w:rsidRPr="00D77F5D" w:rsidRDefault="0033340D" w:rsidP="0033340D">
      <w:r>
        <w:t>D</w:t>
      </w:r>
      <w:r w:rsidRPr="00D77F5D">
        <w:t>o we really want to have institutions merging multiple events, for different places of safekeeping, into one?</w:t>
      </w:r>
    </w:p>
    <w:p w:rsidR="0033340D" w:rsidRPr="00D77F5D" w:rsidRDefault="0033340D" w:rsidP="0033340D">
      <w:pPr>
        <w:pStyle w:val="Decisions"/>
      </w:pPr>
      <w:r w:rsidRPr="0033340D">
        <w:rPr>
          <w:b/>
          <w:u w:val="single"/>
        </w:rPr>
        <w:t>Decision</w:t>
      </w:r>
      <w:r w:rsidRPr="00D77F5D">
        <w:rPr>
          <w:b/>
        </w:rPr>
        <w:t>:</w:t>
      </w:r>
      <w:r w:rsidRPr="00D77F5D">
        <w:t xml:space="preserve"> </w:t>
      </w:r>
      <w:r>
        <w:t xml:space="preserve">The WG agrees to propose to have </w:t>
      </w:r>
      <w:r w:rsidRPr="00D77F5D">
        <w:t>section 3.8.2</w:t>
      </w:r>
      <w:r>
        <w:t xml:space="preserve"> removed from GMP1</w:t>
      </w:r>
    </w:p>
    <w:p w:rsidR="0033340D" w:rsidRPr="00D77F5D" w:rsidRDefault="0033340D" w:rsidP="0033340D">
      <w:pPr>
        <w:pStyle w:val="Actions"/>
      </w:pPr>
      <w:r w:rsidRPr="0033340D">
        <w:rPr>
          <w:b/>
          <w:u w:val="single"/>
        </w:rPr>
        <w:t>Action</w:t>
      </w:r>
      <w:r w:rsidRPr="00D77F5D">
        <w:rPr>
          <w:b/>
        </w:rPr>
        <w:t>:</w:t>
      </w:r>
      <w:r w:rsidRPr="00D77F5D">
        <w:t xml:space="preserve"> </w:t>
      </w:r>
      <w:r w:rsidRPr="0033340D">
        <w:rPr>
          <w:u w:val="single"/>
        </w:rPr>
        <w:t>NMPGs</w:t>
      </w:r>
      <w:r w:rsidRPr="00D77F5D">
        <w:t xml:space="preserve"> are requested to review and revert by the next conference call</w:t>
      </w:r>
      <w:r>
        <w:t>.</w:t>
      </w:r>
    </w:p>
    <w:p w:rsidR="007C30CE" w:rsidRDefault="00A02203" w:rsidP="003D3A56">
      <w:pPr>
        <w:pStyle w:val="Heading1"/>
      </w:pPr>
      <w:bookmarkStart w:id="41" w:name="_Toc529286637"/>
      <w:r>
        <w:lastRenderedPageBreak/>
        <w:t>CA412</w:t>
      </w:r>
      <w:r>
        <w:tab/>
      </w:r>
      <w:r w:rsidR="007C30CE">
        <w:t>New PCAL Template</w:t>
      </w:r>
      <w:bookmarkEnd w:id="41"/>
    </w:p>
    <w:p w:rsidR="006D5AE7" w:rsidRPr="006D5AE7" w:rsidRDefault="006D5AE7" w:rsidP="006D5AE7">
      <w:r>
        <w:rPr>
          <w:rFonts w:ascii="Calibri" w:hAnsi="Calibri" w:cs="Times New Roman"/>
          <w:sz w:val="22"/>
          <w:szCs w:val="22"/>
          <w:lang w:val="en-GB"/>
        </w:rPr>
        <w:object w:dxaOrig="1440" w:dyaOrig="1215">
          <v:shape id="_x0000_i1035" type="#_x0000_t75" style="width:1in;height:60.5pt" o:ole="">
            <v:imagedata r:id="rId33" o:title=""/>
          </v:shape>
          <o:OLEObject Type="Embed" ProgID="Outlook.FileAttach" ShapeID="_x0000_i1035" DrawAspect="Icon" ObjectID="_1603029006" r:id="rId34"/>
        </w:object>
      </w:r>
      <w:r>
        <w:rPr>
          <w:rFonts w:ascii="Calibri" w:hAnsi="Calibri" w:cs="Times New Roman"/>
          <w:sz w:val="22"/>
          <w:szCs w:val="22"/>
          <w:lang w:val="en-GB"/>
        </w:rPr>
        <w:t xml:space="preserve"> </w:t>
      </w:r>
    </w:p>
    <w:p w:rsidR="00100E09" w:rsidRPr="00D77F5D" w:rsidRDefault="00100E09" w:rsidP="00100E09">
      <w:r w:rsidRPr="00D77F5D">
        <w:t xml:space="preserve">The WG discussed </w:t>
      </w:r>
      <w:r>
        <w:t xml:space="preserve">at length </w:t>
      </w:r>
      <w:r w:rsidRPr="00D77F5D">
        <w:t>how to communicate the amount of cash that will be received, since OFFR should not be applied to the debit SECMOVE but only the difference between the debit and credit movements</w:t>
      </w:r>
      <w:r w:rsidR="002110AE">
        <w:t>. Also, it is not clear how RATE or NEWO could be used in the movement sequences.</w:t>
      </w:r>
    </w:p>
    <w:p w:rsidR="00100E09" w:rsidRPr="00D77F5D" w:rsidRDefault="00100E09" w:rsidP="00100E09">
      <w:pPr>
        <w:pStyle w:val="Decisions"/>
      </w:pPr>
      <w:r w:rsidRPr="00100E09">
        <w:rPr>
          <w:b/>
          <w:u w:val="single"/>
        </w:rPr>
        <w:t>Decision</w:t>
      </w:r>
      <w:r w:rsidRPr="00D77F5D">
        <w:rPr>
          <w:b/>
        </w:rPr>
        <w:t>:</w:t>
      </w:r>
      <w:r w:rsidRPr="00D77F5D">
        <w:t xml:space="preserve"> The WG agreed that this is not possible with the current ISO standards. Given this, and the fact that no European market/CSD (to our knowledge) changes ISIN in PCAL events, i</w:t>
      </w:r>
      <w:r w:rsidR="00C81D18">
        <w:t xml:space="preserve">t was decided to close the item. </w:t>
      </w:r>
    </w:p>
    <w:p w:rsidR="00100E09" w:rsidRPr="00D77F5D" w:rsidRDefault="00100E09" w:rsidP="00100E09">
      <w:pPr>
        <w:pStyle w:val="Actions"/>
      </w:pPr>
      <w:r w:rsidRPr="00100E09">
        <w:rPr>
          <w:b/>
          <w:u w:val="single"/>
        </w:rPr>
        <w:t>Action</w:t>
      </w:r>
      <w:r w:rsidRPr="00D77F5D">
        <w:rPr>
          <w:b/>
        </w:rPr>
        <w:t>:</w:t>
      </w:r>
      <w:r w:rsidRPr="00D77F5D">
        <w:t xml:space="preserve"> </w:t>
      </w:r>
      <w:r w:rsidRPr="00100E09">
        <w:rPr>
          <w:u w:val="single"/>
        </w:rPr>
        <w:t>Christine and Jacques</w:t>
      </w:r>
      <w:r w:rsidRPr="00D77F5D">
        <w:t xml:space="preserve"> </w:t>
      </w:r>
      <w:r w:rsidR="00C81D18">
        <w:t xml:space="preserve">to report </w:t>
      </w:r>
      <w:r w:rsidRPr="00D77F5D">
        <w:t>this feedback to the CAJWG</w:t>
      </w:r>
      <w:r w:rsidR="00C81D18">
        <w:t>.</w:t>
      </w:r>
    </w:p>
    <w:p w:rsidR="00293F10" w:rsidRDefault="00293F10" w:rsidP="00DF516C">
      <w:pPr>
        <w:pStyle w:val="Heading1"/>
      </w:pPr>
      <w:bookmarkStart w:id="42" w:name="_Toc529286638"/>
      <w:r>
        <w:t>CA413</w:t>
      </w:r>
      <w:r>
        <w:tab/>
        <w:t>CMH-TF CA Thread</w:t>
      </w:r>
      <w:bookmarkEnd w:id="42"/>
    </w:p>
    <w:p w:rsidR="0028587E" w:rsidRDefault="008E0A82" w:rsidP="008E0A82">
      <w:r>
        <w:t>The CA Thread WG from the Collateral Management Harmonisation Task Force from AMI-SeCo (</w:t>
      </w:r>
      <w:hyperlink r:id="rId35" w:history="1">
        <w:r w:rsidRPr="008E0A82">
          <w:t>Advisory Group on Market Infrastructures for Securities and Collateral</w:t>
        </w:r>
      </w:hyperlink>
      <w:r>
        <w:t xml:space="preserve"> - </w:t>
      </w:r>
      <w:r w:rsidRPr="008E0A82">
        <w:t>set up to counsel the Eurosystem</w:t>
      </w:r>
      <w:r>
        <w:t xml:space="preserve"> and cha</w:t>
      </w:r>
      <w:r w:rsidRPr="008E0A82">
        <w:t>ired by ECB</w:t>
      </w:r>
      <w:r>
        <w:t xml:space="preserve">) has been working since beginning of 2018 on a </w:t>
      </w:r>
      <w:r w:rsidR="0028587E">
        <w:t xml:space="preserve">draft </w:t>
      </w:r>
      <w:r w:rsidR="00A26F0F">
        <w:t xml:space="preserve">global </w:t>
      </w:r>
      <w:r>
        <w:t xml:space="preserve">rulebook for handling CA events </w:t>
      </w:r>
      <w:r w:rsidR="0028587E">
        <w:t xml:space="preserve">in ISO 20022 </w:t>
      </w:r>
      <w:r>
        <w:t xml:space="preserve">in a Collateral Management processing context between the </w:t>
      </w:r>
      <w:r w:rsidR="0028587E">
        <w:t>Issuer, collateral taker and collateral giver</w:t>
      </w:r>
      <w:r w:rsidR="00A26F0F">
        <w:t xml:space="preserve"> (in the context of the Eurosystem ECMS project to be deployed in 2022)</w:t>
      </w:r>
      <w:r w:rsidR="0028587E">
        <w:t xml:space="preserve">. </w:t>
      </w:r>
    </w:p>
    <w:p w:rsidR="0028587E" w:rsidRDefault="0028587E" w:rsidP="008E0A82">
      <w:r>
        <w:t xml:space="preserve">Their </w:t>
      </w:r>
      <w:r w:rsidR="00A33552">
        <w:t xml:space="preserve">current </w:t>
      </w:r>
      <w:r>
        <w:t>draft deliverables are mostly based on the SMPG MPs documentation and on the SMPG MyStandards Usage Guidelines in ISO 20022 and sometime goes a step further to for instance formalize the calculation of the entitlements and the presence of the cash or securities movements for each CA event.</w:t>
      </w:r>
      <w:r w:rsidR="00A33552">
        <w:t xml:space="preserve"> This first draft focuses exclusively on debt instruments (bonds). </w:t>
      </w:r>
    </w:p>
    <w:p w:rsidR="0028587E" w:rsidRDefault="0028587E" w:rsidP="008E0A82">
      <w:r>
        <w:t>Paola and Jean-Paul are part of this CA Thread WG and Jacques (as SWIFT) has provided ISO 20022 CA messaging expertise via Gary McNamara (co-Chair of that CA Thread WG).</w:t>
      </w:r>
    </w:p>
    <w:p w:rsidR="0028587E" w:rsidRDefault="0028587E" w:rsidP="008E0A82">
      <w:r>
        <w:t>They have asked whether some form of official collaboration with the SMPG CA WG could be envisaged so as to validate somewhat their deliverables (based on SMPG MPs).</w:t>
      </w:r>
    </w:p>
    <w:p w:rsidR="00A33552" w:rsidRDefault="00A33552" w:rsidP="008E0A82">
      <w:r>
        <w:t>At the last SMPG Steering Committee call of October, the SC had already agreed to the request of Paola to have some form of official collaboration with them.</w:t>
      </w:r>
    </w:p>
    <w:p w:rsidR="0028587E" w:rsidRDefault="00A33552" w:rsidP="00A33552">
      <w:pPr>
        <w:pStyle w:val="Decisions"/>
      </w:pPr>
      <w:r w:rsidRPr="00A33552">
        <w:rPr>
          <w:b/>
          <w:u w:val="single"/>
        </w:rPr>
        <w:t>Decision</w:t>
      </w:r>
      <w:r>
        <w:t xml:space="preserve">: </w:t>
      </w:r>
      <w:r w:rsidR="008E0A82" w:rsidRPr="008E0A82">
        <w:t xml:space="preserve">After some discussion, it was agreed to ask Paola and Jean-Paul if they could </w:t>
      </w:r>
      <w:r w:rsidR="0028587E" w:rsidRPr="0028587E">
        <w:t xml:space="preserve">be the conduit between the SMPG and the CMH-TF CA Thread WG so </w:t>
      </w:r>
      <w:r w:rsidR="0028587E">
        <w:t>as to</w:t>
      </w:r>
      <w:r w:rsidR="0028587E" w:rsidRPr="0028587E">
        <w:t xml:space="preserve"> relay the issues addressed to the SMPG and provide the SMPG feedback to them </w:t>
      </w:r>
      <w:r>
        <w:t xml:space="preserve">on their documentation </w:t>
      </w:r>
      <w:r w:rsidR="0028587E" w:rsidRPr="0028587E">
        <w:t>when necessary.</w:t>
      </w:r>
    </w:p>
    <w:p w:rsidR="00A7539A" w:rsidRPr="0028587E" w:rsidRDefault="00A7539A" w:rsidP="000927AA">
      <w:pPr>
        <w:pStyle w:val="Actions"/>
      </w:pPr>
      <w:r w:rsidRPr="000927AA">
        <w:rPr>
          <w:b/>
          <w:u w:val="single"/>
        </w:rPr>
        <w:t>Action</w:t>
      </w:r>
      <w:r>
        <w:t xml:space="preserve">: </w:t>
      </w:r>
      <w:r w:rsidR="000927AA" w:rsidRPr="000927AA">
        <w:rPr>
          <w:u w:val="single"/>
        </w:rPr>
        <w:t>Paola and Jean-Paul</w:t>
      </w:r>
      <w:r w:rsidR="000927AA">
        <w:t xml:space="preserve"> to give their feedback the WG proposal</w:t>
      </w:r>
    </w:p>
    <w:p w:rsidR="00DF516C" w:rsidRDefault="00DF516C" w:rsidP="00DF516C">
      <w:pPr>
        <w:pStyle w:val="Heading1"/>
      </w:pPr>
      <w:bookmarkStart w:id="43" w:name="_Toc529286639"/>
      <w:r w:rsidRPr="007C30CE">
        <w:t>CA414</w:t>
      </w:r>
      <w:r>
        <w:tab/>
      </w:r>
      <w:r w:rsidRPr="007C30CE">
        <w:t>Usage of the Contractual Payment Indicator in MT564 &amp; 566</w:t>
      </w:r>
      <w:bookmarkEnd w:id="43"/>
    </w:p>
    <w:p w:rsidR="00DF516C" w:rsidRPr="00A16439" w:rsidRDefault="00DF516C" w:rsidP="00DF516C">
      <w:r>
        <w:t>Input from Mike:</w:t>
      </w:r>
    </w:p>
    <w:p w:rsidR="00DF516C" w:rsidRDefault="00DF516C" w:rsidP="00DF516C">
      <w:pPr>
        <w:autoSpaceDE w:val="0"/>
        <w:autoSpaceDN w:val="0"/>
        <w:adjustRightInd w:val="0"/>
      </w:pPr>
      <w:r>
        <w:rPr>
          <w:rFonts w:ascii="Calibri" w:hAnsi="Calibri" w:cs="Times New Roman"/>
          <w:sz w:val="22"/>
          <w:szCs w:val="22"/>
          <w:lang w:val="en-GB"/>
        </w:rPr>
        <w:object w:dxaOrig="1440" w:dyaOrig="1215">
          <v:shape id="_x0000_i1036" type="#_x0000_t75" style="width:1in;height:60.5pt" o:ole="">
            <v:imagedata r:id="rId36" o:title=""/>
          </v:shape>
          <o:OLEObject Type="Embed" ProgID="Outlook.FileAttach" ShapeID="_x0000_i1036" DrawAspect="Icon" ObjectID="_1603029007" r:id="rId37"/>
        </w:object>
      </w:r>
    </w:p>
    <w:p w:rsidR="00B16141" w:rsidRPr="00D77F5D" w:rsidRDefault="00B16141" w:rsidP="00B16141">
      <w:r w:rsidRPr="00D77F5D">
        <w:t>The WG discussed the usage of CONT and the input document</w:t>
      </w:r>
      <w:r>
        <w:t xml:space="preserve"> and agreed that Mike’s proposal could be summarized in a more concise MP like along the lines of  “</w:t>
      </w:r>
      <w:r w:rsidRPr="00B16141">
        <w:rPr>
          <w:i/>
        </w:rPr>
        <w:t>CONT should be used only when there is a contractual payment agreement on the account. If not, it should not be used.”</w:t>
      </w:r>
      <w:r>
        <w:t xml:space="preserve"> </w:t>
      </w:r>
    </w:p>
    <w:p w:rsidR="00B16141" w:rsidRPr="00D77F5D" w:rsidRDefault="00B16141" w:rsidP="00B16141">
      <w:pPr>
        <w:pStyle w:val="Actions"/>
      </w:pPr>
      <w:r w:rsidRPr="00B16141">
        <w:rPr>
          <w:b/>
          <w:u w:val="single"/>
        </w:rPr>
        <w:t>Action</w:t>
      </w:r>
      <w:r w:rsidRPr="00D77F5D">
        <w:rPr>
          <w:b/>
        </w:rPr>
        <w:t>:</w:t>
      </w:r>
      <w:r w:rsidRPr="00D77F5D">
        <w:t xml:space="preserve"> </w:t>
      </w:r>
      <w:r w:rsidRPr="00B16141">
        <w:rPr>
          <w:u w:val="single"/>
        </w:rPr>
        <w:t>Christine</w:t>
      </w:r>
      <w:r w:rsidRPr="00D77F5D">
        <w:t xml:space="preserve"> will draft a brief version of use of CONT (and when not to use it)</w:t>
      </w:r>
    </w:p>
    <w:p w:rsidR="00EE0C63" w:rsidRPr="00243F2D" w:rsidRDefault="00DF516C" w:rsidP="00243F2D">
      <w:pPr>
        <w:pStyle w:val="Heading1"/>
      </w:pPr>
      <w:bookmarkStart w:id="44" w:name="_Toc529286640"/>
      <w:r w:rsidRPr="00243F2D">
        <w:lastRenderedPageBreak/>
        <w:t>CA416</w:t>
      </w:r>
      <w:r w:rsidR="00EE0C63" w:rsidRPr="00243F2D">
        <w:tab/>
        <w:t>Announcement of DVOP / DRIP on Rights</w:t>
      </w:r>
      <w:bookmarkEnd w:id="44"/>
    </w:p>
    <w:p w:rsidR="002B050B" w:rsidRDefault="002B050B" w:rsidP="00EE0C63">
      <w:pPr>
        <w:autoSpaceDE w:val="0"/>
        <w:autoSpaceDN w:val="0"/>
        <w:adjustRightInd w:val="0"/>
      </w:pPr>
      <w:r>
        <w:object w:dxaOrig="2040" w:dyaOrig="1320">
          <v:shape id="_x0000_i1037" type="#_x0000_t75" style="width:101.95pt;height:65.65pt" o:ole="">
            <v:imagedata r:id="rId38" o:title=""/>
          </v:shape>
          <o:OLEObject Type="Embed" ProgID="Excel.Sheet.12" ShapeID="_x0000_i1037" DrawAspect="Icon" ObjectID="_1603029008" r:id="rId39"/>
        </w:object>
      </w:r>
    </w:p>
    <w:p w:rsidR="002B050B" w:rsidRDefault="00711EA5" w:rsidP="002B050B">
      <w:r>
        <w:t>H</w:t>
      </w:r>
      <w:r w:rsidR="002B050B">
        <w:t>ow other data providers handle the information side and how other SMPG markets/banks process such events?</w:t>
      </w:r>
    </w:p>
    <w:p w:rsidR="00711EA5" w:rsidRPr="00D77F5D" w:rsidRDefault="00711EA5" w:rsidP="00711EA5">
      <w:r w:rsidRPr="00D77F5D">
        <w:t>No feedback was received. The European NMPGs represented either do not have DVOP/DRIP events using interim securities or do not have them at all</w:t>
      </w:r>
      <w:r>
        <w:t>.</w:t>
      </w:r>
    </w:p>
    <w:p w:rsidR="002B050B" w:rsidRPr="008779A0" w:rsidRDefault="002B050B" w:rsidP="002B050B">
      <w:pPr>
        <w:pStyle w:val="Actions"/>
      </w:pPr>
      <w:r w:rsidRPr="0096523B">
        <w:rPr>
          <w:b/>
          <w:u w:val="single"/>
        </w:rPr>
        <w:t>Action</w:t>
      </w:r>
      <w:r w:rsidRPr="00600185">
        <w:rPr>
          <w:b/>
        </w:rPr>
        <w:t>:</w:t>
      </w:r>
      <w:r>
        <w:t xml:space="preserve"> </w:t>
      </w:r>
      <w:r w:rsidR="00711EA5">
        <w:rPr>
          <w:u w:val="single"/>
        </w:rPr>
        <w:t>Further</w:t>
      </w:r>
      <w:r w:rsidRPr="006D5AE7">
        <w:rPr>
          <w:u w:val="single"/>
        </w:rPr>
        <w:t xml:space="preserve"> NMPGs</w:t>
      </w:r>
      <w:r w:rsidRPr="008779A0">
        <w:t xml:space="preserve"> are requested to </w:t>
      </w:r>
      <w:r>
        <w:t>provide feedback on the proposal</w:t>
      </w:r>
      <w:r w:rsidRPr="008779A0">
        <w:t xml:space="preserve"> and revert.</w:t>
      </w:r>
    </w:p>
    <w:p w:rsidR="00293F10" w:rsidRDefault="00293F10" w:rsidP="003D3A56">
      <w:pPr>
        <w:pStyle w:val="Heading1"/>
      </w:pPr>
      <w:bookmarkStart w:id="45" w:name="_Toc529286641"/>
      <w:r>
        <w:t xml:space="preserve">CA417 </w:t>
      </w:r>
      <w:r>
        <w:tab/>
        <w:t>Meaning of PACK Status Vs PEND</w:t>
      </w:r>
      <w:bookmarkEnd w:id="45"/>
    </w:p>
    <w:p w:rsidR="00243F2D" w:rsidRPr="00243F2D" w:rsidRDefault="00243F2D" w:rsidP="00243F2D">
      <w:r>
        <w:t>Ba</w:t>
      </w:r>
      <w:r w:rsidRPr="00243F2D">
        <w:t>ckground: How can one make the difference in the status to say that the instruction has been received (acknowledged) but pending processing or that the</w:t>
      </w:r>
      <w:r w:rsidR="004A1314">
        <w:t xml:space="preserve"> instruction has been accepted/p</w:t>
      </w:r>
      <w:r w:rsidRPr="00243F2D">
        <w:t>rocessed</w:t>
      </w:r>
      <w:r>
        <w:t xml:space="preserve"> ?</w:t>
      </w:r>
    </w:p>
    <w:p w:rsidR="00D804C5" w:rsidRDefault="002A1E35" w:rsidP="002A1E35">
      <w:pPr>
        <w:pStyle w:val="Decisions"/>
      </w:pPr>
      <w:r w:rsidRPr="002A1E35">
        <w:rPr>
          <w:b/>
          <w:u w:val="single"/>
        </w:rPr>
        <w:t>Decision</w:t>
      </w:r>
      <w:r>
        <w:t xml:space="preserve">: </w:t>
      </w:r>
      <w:r w:rsidR="00243F2D" w:rsidRPr="00D77F5D">
        <w:t>There is nothing in the standards that can be used to provide this</w:t>
      </w:r>
      <w:r w:rsidR="00243F2D">
        <w:t xml:space="preserve"> status saying that the Instruction would be “Accepted</w:t>
      </w:r>
      <w:r w:rsidR="00D804C5">
        <w:t xml:space="preserve"> or Executed</w:t>
      </w:r>
      <w:r w:rsidR="00243F2D">
        <w:t>”.</w:t>
      </w:r>
      <w:r>
        <w:t xml:space="preserve"> </w:t>
      </w:r>
      <w:r w:rsidR="00D804C5">
        <w:t>Even after a PACK status it is always possible to receive a Reject. The meaning of PACK is simply to say: the instruction has been received and is valid and will be further processed.</w:t>
      </w:r>
      <w:r>
        <w:t xml:space="preserve"> </w:t>
      </w:r>
      <w:r w:rsidR="00D804C5">
        <w:t>The real acceptance of the instruction is when the payment is received.</w:t>
      </w:r>
    </w:p>
    <w:p w:rsidR="00243F2D" w:rsidRPr="00D804C5" w:rsidRDefault="00D804C5" w:rsidP="00243F2D">
      <w:pPr>
        <w:rPr>
          <w:b/>
          <w:color w:val="FF0000"/>
        </w:rPr>
      </w:pPr>
      <w:r w:rsidRPr="00D804C5">
        <w:rPr>
          <w:b/>
          <w:color w:val="FF0000"/>
          <w:u w:val="single"/>
        </w:rPr>
        <w:t>Action</w:t>
      </w:r>
      <w:r w:rsidRPr="00D804C5">
        <w:rPr>
          <w:b/>
          <w:color w:val="FF0000"/>
        </w:rPr>
        <w:t xml:space="preserve">: </w:t>
      </w:r>
      <w:r w:rsidRPr="004978C7">
        <w:rPr>
          <w:color w:val="FF0000"/>
        </w:rPr>
        <w:t>Item can be closed.</w:t>
      </w:r>
    </w:p>
    <w:p w:rsidR="00293F10" w:rsidRDefault="00293F10" w:rsidP="00293F10">
      <w:pPr>
        <w:pStyle w:val="Heading1"/>
      </w:pPr>
      <w:bookmarkStart w:id="46" w:name="_Toc529286642"/>
      <w:r w:rsidRPr="00293F10">
        <w:t>CA418</w:t>
      </w:r>
      <w:r w:rsidRPr="00293F10">
        <w:tab/>
        <w:t xml:space="preserve">SR2019 GMP </w:t>
      </w:r>
      <w:r w:rsidR="00090C34">
        <w:t xml:space="preserve">Parts </w:t>
      </w:r>
      <w:r w:rsidRPr="00293F10">
        <w:t xml:space="preserve">1-3 </w:t>
      </w:r>
      <w:r w:rsidR="00090C34">
        <w:t xml:space="preserve">&amp; Templates </w:t>
      </w:r>
      <w:r w:rsidRPr="00293F10">
        <w:t>Updates</w:t>
      </w:r>
      <w:bookmarkEnd w:id="46"/>
    </w:p>
    <w:p w:rsidR="00090C34" w:rsidRDefault="00090C34" w:rsidP="00090C34">
      <w:r>
        <w:t>Deliverable dates for the GMP Parts 1 -3 and Templates have been scheduled as follows:</w:t>
      </w:r>
    </w:p>
    <w:p w:rsidR="00090C34" w:rsidRDefault="00090C34" w:rsidP="00090C34">
      <w:pPr>
        <w:pStyle w:val="Actions"/>
      </w:pPr>
      <w:r w:rsidRPr="00213B01">
        <w:rPr>
          <w:b/>
          <w:u w:val="single"/>
        </w:rPr>
        <w:t>Actions</w:t>
      </w:r>
      <w:r w:rsidRPr="00D77F5D">
        <w:rPr>
          <w:b/>
        </w:rPr>
        <w:t>:</w:t>
      </w:r>
      <w:r w:rsidRPr="00D77F5D">
        <w:t xml:space="preserve"> </w:t>
      </w:r>
    </w:p>
    <w:p w:rsidR="00090C34" w:rsidRPr="00213B01" w:rsidRDefault="00090C34" w:rsidP="00090C34">
      <w:pPr>
        <w:pStyle w:val="Actions"/>
        <w:rPr>
          <w:b/>
          <w:u w:val="single"/>
        </w:rPr>
      </w:pPr>
      <w:r w:rsidRPr="00213B01">
        <w:rPr>
          <w:b/>
          <w:u w:val="single"/>
        </w:rPr>
        <w:t>By December 3:</w:t>
      </w:r>
    </w:p>
    <w:p w:rsidR="00E16BB2" w:rsidRDefault="00E16BB2" w:rsidP="00090C34">
      <w:pPr>
        <w:pStyle w:val="Actions"/>
        <w:numPr>
          <w:ilvl w:val="0"/>
          <w:numId w:val="41"/>
        </w:numPr>
      </w:pPr>
      <w:r w:rsidRPr="00090C34">
        <w:rPr>
          <w:u w:val="single"/>
        </w:rPr>
        <w:t>Christine</w:t>
      </w:r>
      <w:r w:rsidRPr="00D77F5D">
        <w:t xml:space="preserve"> to send the Summary </w:t>
      </w:r>
      <w:r w:rsidR="00090C34">
        <w:t>of SR 2019 MP changes</w:t>
      </w:r>
    </w:p>
    <w:p w:rsidR="00090C34" w:rsidRPr="00D77F5D" w:rsidRDefault="00090C34" w:rsidP="00090C34">
      <w:pPr>
        <w:pStyle w:val="Actions"/>
        <w:numPr>
          <w:ilvl w:val="0"/>
          <w:numId w:val="41"/>
        </w:numPr>
      </w:pPr>
      <w:r w:rsidRPr="00090C34">
        <w:rPr>
          <w:u w:val="single"/>
        </w:rPr>
        <w:t>NMPG’s</w:t>
      </w:r>
      <w:r>
        <w:t xml:space="preserve"> to send EIG+ Global Grid proposed changes (if any) </w:t>
      </w:r>
    </w:p>
    <w:p w:rsidR="00090C34" w:rsidRPr="00213B01" w:rsidRDefault="00090C34" w:rsidP="00090C34">
      <w:pPr>
        <w:pStyle w:val="Actions"/>
        <w:rPr>
          <w:b/>
          <w:u w:val="single"/>
        </w:rPr>
      </w:pPr>
      <w:r w:rsidRPr="00213B01">
        <w:rPr>
          <w:b/>
          <w:u w:val="single"/>
        </w:rPr>
        <w:t>By December 7:</w:t>
      </w:r>
    </w:p>
    <w:p w:rsidR="00E16BB2" w:rsidRDefault="00090C34" w:rsidP="00090C34">
      <w:pPr>
        <w:pStyle w:val="Actions"/>
        <w:numPr>
          <w:ilvl w:val="0"/>
          <w:numId w:val="41"/>
        </w:numPr>
      </w:pPr>
      <w:r w:rsidRPr="00213B01">
        <w:rPr>
          <w:u w:val="single"/>
        </w:rPr>
        <w:t>NMPG’s</w:t>
      </w:r>
      <w:r>
        <w:t xml:space="preserve"> to send </w:t>
      </w:r>
      <w:r w:rsidR="00E16BB2" w:rsidRPr="00D77F5D">
        <w:t xml:space="preserve">Country column updates (including </w:t>
      </w:r>
      <w:r>
        <w:t>“</w:t>
      </w:r>
      <w:r w:rsidR="00E16BB2" w:rsidRPr="00D77F5D">
        <w:t>no changes</w:t>
      </w:r>
      <w:r>
        <w:t>”</w:t>
      </w:r>
      <w:r w:rsidR="00E16BB2" w:rsidRPr="00D77F5D">
        <w:t>) to Jacques</w:t>
      </w:r>
    </w:p>
    <w:p w:rsidR="00090C34" w:rsidRPr="00213B01" w:rsidRDefault="00090C34" w:rsidP="00090C34">
      <w:pPr>
        <w:pStyle w:val="Actions"/>
        <w:rPr>
          <w:b/>
          <w:u w:val="single"/>
        </w:rPr>
      </w:pPr>
      <w:r w:rsidRPr="00213B01">
        <w:rPr>
          <w:b/>
          <w:u w:val="single"/>
        </w:rPr>
        <w:t>By December 31:</w:t>
      </w:r>
    </w:p>
    <w:p w:rsidR="00E16BB2" w:rsidRPr="00D77F5D" w:rsidRDefault="00213B01" w:rsidP="00090C34">
      <w:pPr>
        <w:pStyle w:val="Actions"/>
        <w:numPr>
          <w:ilvl w:val="0"/>
          <w:numId w:val="41"/>
        </w:numPr>
      </w:pPr>
      <w:r w:rsidRPr="00213B01">
        <w:rPr>
          <w:u w:val="single"/>
        </w:rPr>
        <w:t>Event template Responsible persons</w:t>
      </w:r>
      <w:r>
        <w:t xml:space="preserve"> (see list below) to review and send </w:t>
      </w:r>
      <w:r w:rsidR="00E16BB2" w:rsidRPr="00D77F5D">
        <w:t xml:space="preserve">Templates updates (including </w:t>
      </w:r>
      <w:r w:rsidR="00090C34">
        <w:t>“</w:t>
      </w:r>
      <w:r w:rsidR="00E16BB2" w:rsidRPr="00D77F5D">
        <w:t>no changes</w:t>
      </w:r>
      <w:r w:rsidR="00090C34">
        <w:t>”</w:t>
      </w:r>
      <w:r w:rsidR="00E16BB2" w:rsidRPr="00D77F5D">
        <w:t xml:space="preserve">) to </w:t>
      </w:r>
      <w:r w:rsidR="00090C34">
        <w:t>Jacques</w:t>
      </w:r>
      <w:r>
        <w:t xml:space="preserve"> with Track Changes</w:t>
      </w:r>
    </w:p>
    <w:p w:rsidR="00213B01" w:rsidRDefault="00E16BB2" w:rsidP="00090C34">
      <w:pPr>
        <w:pStyle w:val="Actions"/>
        <w:numPr>
          <w:ilvl w:val="0"/>
          <w:numId w:val="41"/>
        </w:numPr>
      </w:pPr>
      <w:r w:rsidRPr="00213B01">
        <w:rPr>
          <w:u w:val="single"/>
        </w:rPr>
        <w:t>Christine</w:t>
      </w:r>
      <w:r w:rsidRPr="00D77F5D">
        <w:t xml:space="preserve"> to discuss with Mari if she can take over some </w:t>
      </w:r>
      <w:r w:rsidR="00213B01">
        <w:t xml:space="preserve">event </w:t>
      </w:r>
      <w:r w:rsidRPr="00D77F5D">
        <w:t>templates</w:t>
      </w:r>
      <w:r w:rsidR="00213B01">
        <w:t xml:space="preserve"> </w:t>
      </w:r>
    </w:p>
    <w:p w:rsidR="00E16BB2" w:rsidRDefault="00213B01" w:rsidP="00090C34">
      <w:pPr>
        <w:pStyle w:val="Actions"/>
        <w:numPr>
          <w:ilvl w:val="0"/>
          <w:numId w:val="41"/>
        </w:numPr>
      </w:pPr>
      <w:r w:rsidRPr="00213B01">
        <w:rPr>
          <w:u w:val="single"/>
        </w:rPr>
        <w:t>New v</w:t>
      </w:r>
      <w:r w:rsidR="00E16BB2" w:rsidRPr="00213B01">
        <w:rPr>
          <w:u w:val="single"/>
        </w:rPr>
        <w:t>olunteers</w:t>
      </w:r>
      <w:r w:rsidR="00E16BB2" w:rsidRPr="00D77F5D">
        <w:t xml:space="preserve"> </w:t>
      </w:r>
      <w:r>
        <w:t xml:space="preserve">to maintain some of the Event Templates </w:t>
      </w:r>
      <w:r w:rsidR="00E16BB2" w:rsidRPr="00D77F5D">
        <w:t>are welcome!</w:t>
      </w:r>
    </w:p>
    <w:p w:rsidR="00213B01" w:rsidRDefault="00213B01" w:rsidP="00213B01">
      <w:pPr>
        <w:pStyle w:val="Actions"/>
      </w:pPr>
    </w:p>
    <w:tbl>
      <w:tblPr>
        <w:tblW w:w="0" w:type="auto"/>
        <w:tblInd w:w="93" w:type="dxa"/>
        <w:tblLook w:val="04A0" w:firstRow="1" w:lastRow="0" w:firstColumn="1" w:lastColumn="0" w:noHBand="0" w:noVBand="1"/>
      </w:tblPr>
      <w:tblGrid>
        <w:gridCol w:w="3218"/>
        <w:gridCol w:w="2139"/>
      </w:tblGrid>
      <w:tr w:rsidR="00213B01" w:rsidRPr="00213B01" w:rsidTr="00213B01">
        <w:trPr>
          <w:trHeight w:val="319"/>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213B01" w:rsidRPr="00213B01" w:rsidRDefault="00213B01" w:rsidP="00213B01">
            <w:pPr>
              <w:spacing w:before="0" w:after="0"/>
              <w:rPr>
                <w:b/>
                <w:lang w:val="en-GB" w:eastAsia="en-GB"/>
              </w:rPr>
            </w:pPr>
            <w:r w:rsidRPr="00213B01">
              <w:rPr>
                <w:b/>
                <w:lang w:val="en-GB" w:eastAsia="en-GB"/>
              </w:rPr>
              <w:t>Event Code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213B01" w:rsidRPr="00213B01" w:rsidRDefault="00213B01" w:rsidP="00213B01">
            <w:pPr>
              <w:spacing w:before="0" w:after="0"/>
              <w:rPr>
                <w:b/>
                <w:bCs/>
                <w:lang w:val="en-GB" w:eastAsia="en-GB"/>
              </w:rPr>
            </w:pPr>
            <w:r w:rsidRPr="00213B01">
              <w:rPr>
                <w:b/>
                <w:bCs/>
                <w:lang w:val="en-GB" w:eastAsia="en-GB"/>
              </w:rPr>
              <w:t>Person Responsible</w:t>
            </w:r>
          </w:p>
        </w:tc>
      </w:tr>
      <w:tr w:rsidR="00213B01" w:rsidRPr="00213B01" w:rsidTr="00213B01">
        <w:trPr>
          <w:trHeight w:val="319"/>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EXOF CHOS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REDM with OPTF CAOS on ELN</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CREV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PRIO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Alexander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BPUT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Alexander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EXWA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Alexander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lastRenderedPageBreak/>
              <w:t>EXWA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Alexander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MCAL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Alexander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DRIP CHOS with Interim</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Ben</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REDM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Ben</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CONS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BRUP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CHAN Name without ISIN change</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CONV VOLU</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CONV VOLU (PRPP)</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DECR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DECR MAND No Cash</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EXOF CHOS (after RHDI)</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EXRI CHOS</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LIQU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LIQU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MRGR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PCAL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RHDI MAND for EXOF</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RHDI MAND for EXRI</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WRTH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Christine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DVCA CHOS (Currency options)</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Daniel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DVCA MAND</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Daniel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RHTS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Daniel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PRED MAND</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CERT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DFLT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DSCL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EXTM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EXTM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INCR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INTR CHOS (currency options)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INTR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REDM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BONU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Jean-Pierre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BONU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Jean-Pierre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DVOP CHOS with Interim</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Jean-Pierre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SOFF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Jean-Pierre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DTCH VOLU UK</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Mari</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DVOP CHOS no Interim</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Mari</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DRIP CHOS no interim</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Matthew</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PARI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Matthew</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SPLF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Matthew</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BIDS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 xml:space="preserve">Matthew </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CLAS VOLU</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DRAW MAND</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DRCA MAND</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DTCH VOLU US</w:t>
            </w:r>
          </w:p>
        </w:tc>
        <w:tc>
          <w:tcPr>
            <w:tcW w:w="0" w:type="auto"/>
            <w:tcBorders>
              <w:top w:val="nil"/>
              <w:left w:val="nil"/>
              <w:bottom w:val="single" w:sz="4" w:space="0" w:color="auto"/>
              <w:right w:val="single" w:sz="4" w:space="0" w:color="auto"/>
            </w:tcBorders>
            <w:shd w:val="clear" w:color="000000" w:fill="FFFFFF"/>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Paul</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CAPG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Peter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DVSE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Peter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lastRenderedPageBreak/>
              <w:t>MRGR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Peter</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CAPD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Sanjeev</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EXOF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Sanjeev</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EXOF VOLU</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Sanjeev</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ODLT VOLU</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Sanjeev</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SHPR MAND</w:t>
            </w:r>
          </w:p>
        </w:tc>
        <w:tc>
          <w:tcPr>
            <w:tcW w:w="0" w:type="auto"/>
            <w:tcBorders>
              <w:top w:val="nil"/>
              <w:left w:val="nil"/>
              <w:bottom w:val="single" w:sz="4" w:space="0" w:color="auto"/>
              <w:right w:val="single" w:sz="4" w:space="0" w:color="auto"/>
            </w:tcBorders>
            <w:shd w:val="clear" w:color="auto" w:fill="auto"/>
            <w:noWrap/>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Sanjeev</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PINK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Sari</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SPLR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Sari</w:t>
            </w:r>
          </w:p>
        </w:tc>
      </w:tr>
      <w:tr w:rsidR="00213B01" w:rsidRPr="00213B01" w:rsidTr="00213B01">
        <w:trPr>
          <w:trHeight w:val="30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PPMT CHOS</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Veronique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TEND MAND</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Veronique</w:t>
            </w:r>
          </w:p>
        </w:tc>
      </w:tr>
      <w:tr w:rsidR="00213B01" w:rsidRPr="00213B01" w:rsidTr="00213B01">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13B01" w:rsidRPr="00213B01" w:rsidRDefault="00213B01" w:rsidP="00213B01">
            <w:pPr>
              <w:spacing w:before="0" w:after="0"/>
              <w:rPr>
                <w:color w:val="0000FF"/>
                <w:lang w:val="en-GB" w:eastAsia="en-GB"/>
              </w:rPr>
            </w:pPr>
            <w:r w:rsidRPr="00213B01">
              <w:rPr>
                <w:color w:val="0000FF"/>
                <w:lang w:val="en-GB" w:eastAsia="en-GB"/>
              </w:rPr>
              <w:t>TEND VOLU</w:t>
            </w:r>
          </w:p>
        </w:tc>
        <w:tc>
          <w:tcPr>
            <w:tcW w:w="0" w:type="auto"/>
            <w:tcBorders>
              <w:top w:val="nil"/>
              <w:left w:val="nil"/>
              <w:bottom w:val="single" w:sz="4" w:space="0" w:color="auto"/>
              <w:right w:val="single" w:sz="4" w:space="0" w:color="auto"/>
            </w:tcBorders>
            <w:shd w:val="clear" w:color="auto" w:fill="auto"/>
            <w:vAlign w:val="bottom"/>
            <w:hideMark/>
          </w:tcPr>
          <w:p w:rsidR="00213B01" w:rsidRPr="00213B01" w:rsidRDefault="00213B01" w:rsidP="00213B01">
            <w:pPr>
              <w:spacing w:before="0" w:after="0"/>
              <w:rPr>
                <w:b/>
                <w:bCs/>
                <w:color w:val="000000"/>
                <w:lang w:val="en-GB" w:eastAsia="en-GB"/>
              </w:rPr>
            </w:pPr>
            <w:r w:rsidRPr="00213B01">
              <w:rPr>
                <w:b/>
                <w:bCs/>
                <w:color w:val="000000"/>
                <w:lang w:val="en-GB" w:eastAsia="en-GB"/>
              </w:rPr>
              <w:t>Veronique</w:t>
            </w:r>
          </w:p>
        </w:tc>
      </w:tr>
    </w:tbl>
    <w:p w:rsidR="00293F10" w:rsidRDefault="00293F10" w:rsidP="00293F10">
      <w:pPr>
        <w:pStyle w:val="Heading1"/>
      </w:pPr>
      <w:bookmarkStart w:id="47" w:name="_Toc529286643"/>
      <w:r w:rsidRPr="00293F10">
        <w:t>CA419</w:t>
      </w:r>
      <w:r w:rsidRPr="00293F10">
        <w:tab/>
        <w:t>SR2019 MWG actions for the SMPG</w:t>
      </w:r>
      <w:bookmarkEnd w:id="47"/>
    </w:p>
    <w:p w:rsidR="00206B1C" w:rsidRPr="00D77F5D" w:rsidRDefault="00206B1C" w:rsidP="00206B1C">
      <w:pPr>
        <w:pStyle w:val="ListParagraph"/>
        <w:numPr>
          <w:ilvl w:val="0"/>
          <w:numId w:val="38"/>
        </w:numPr>
      </w:pPr>
      <w:r w:rsidRPr="00D77F5D">
        <w:t>CR1434, Contractual payment indicator</w:t>
      </w:r>
    </w:p>
    <w:p w:rsidR="00206B1C" w:rsidRDefault="00206B1C" w:rsidP="00ED5B07">
      <w:r>
        <w:t xml:space="preserve">See Open Item </w:t>
      </w:r>
      <w:r w:rsidR="0066506D">
        <w:t>CA414 above</w:t>
      </w:r>
      <w:r w:rsidR="00ED5B07">
        <w:t xml:space="preserve"> which cover this point.</w:t>
      </w:r>
    </w:p>
    <w:p w:rsidR="00206B1C" w:rsidRDefault="00206B1C" w:rsidP="00206B1C">
      <w:pPr>
        <w:pStyle w:val="ListParagraph"/>
        <w:numPr>
          <w:ilvl w:val="0"/>
          <w:numId w:val="38"/>
        </w:numPr>
      </w:pPr>
      <w:r w:rsidRPr="00D77F5D">
        <w:t>CR1482, CA instruction statement report</w:t>
      </w:r>
    </w:p>
    <w:p w:rsidR="00ED5B07" w:rsidRPr="00D77F5D" w:rsidRDefault="00ED5B07" w:rsidP="00ED5B07">
      <w:r>
        <w:t>Definitions of Instructed and Uninstructed balances: The MWG recommends to the SMPG to review those codes and definitions and to raise a CR for next release if these elements/definitions need to be amended.</w:t>
      </w:r>
    </w:p>
    <w:p w:rsidR="00206B1C" w:rsidRPr="00D77F5D" w:rsidRDefault="00206B1C" w:rsidP="00ED5B07">
      <w:pPr>
        <w:pStyle w:val="Actions"/>
      </w:pPr>
      <w:r w:rsidRPr="00ED5B07">
        <w:rPr>
          <w:b/>
          <w:u w:val="single"/>
        </w:rPr>
        <w:t>Action</w:t>
      </w:r>
      <w:r w:rsidRPr="00D77F5D">
        <w:rPr>
          <w:b/>
        </w:rPr>
        <w:t>:</w:t>
      </w:r>
      <w:r w:rsidRPr="00D77F5D">
        <w:t xml:space="preserve"> </w:t>
      </w:r>
      <w:r w:rsidR="00ED5B07" w:rsidRPr="00ED5B07">
        <w:rPr>
          <w:u w:val="single"/>
        </w:rPr>
        <w:t>ISITC</w:t>
      </w:r>
      <w:r w:rsidRPr="00D77F5D">
        <w:t xml:space="preserve"> to draft a proposal for the SMPG to review</w:t>
      </w:r>
      <w:r w:rsidR="0071798C">
        <w:t xml:space="preserve"> on d</w:t>
      </w:r>
      <w:r w:rsidR="0071798C" w:rsidRPr="0071798C">
        <w:t>efinitions of Instructed and Uninstructed balances</w:t>
      </w:r>
      <w:r w:rsidR="00ED5B07">
        <w:t>.</w:t>
      </w:r>
    </w:p>
    <w:p w:rsidR="00293F10" w:rsidRPr="00293F10" w:rsidRDefault="00293F10" w:rsidP="00293F10">
      <w:pPr>
        <w:pStyle w:val="Heading1"/>
      </w:pPr>
      <w:bookmarkStart w:id="48" w:name="_Toc529286644"/>
      <w:r w:rsidRPr="00293F10">
        <w:t>CA420</w:t>
      </w:r>
      <w:r w:rsidRPr="00293F10">
        <w:tab/>
        <w:t>RMPG / APAC regional update / Local NMPG market News</w:t>
      </w:r>
      <w:bookmarkEnd w:id="48"/>
    </w:p>
    <w:p w:rsidR="0066506D" w:rsidRPr="0066506D" w:rsidRDefault="0066506D" w:rsidP="00ED5B07">
      <w:pPr>
        <w:pStyle w:val="ListParagraph"/>
        <w:numPr>
          <w:ilvl w:val="0"/>
          <w:numId w:val="42"/>
        </w:numPr>
        <w:spacing w:before="0" w:after="0" w:line="280" w:lineRule="atLeast"/>
        <w:contextualSpacing/>
        <w:rPr>
          <w:rFonts w:cs="Arial"/>
          <w:u w:val="none"/>
        </w:rPr>
      </w:pPr>
      <w:r w:rsidRPr="00ED5B07">
        <w:rPr>
          <w:rFonts w:cs="Arial"/>
        </w:rPr>
        <w:t>HK exchange</w:t>
      </w:r>
      <w:r w:rsidRPr="0066506D">
        <w:rPr>
          <w:rFonts w:cs="Arial"/>
          <w:u w:val="none"/>
        </w:rPr>
        <w:t xml:space="preserve"> has announced </w:t>
      </w:r>
      <w:r w:rsidR="00ED5B07">
        <w:rPr>
          <w:rFonts w:cs="Arial"/>
          <w:u w:val="none"/>
        </w:rPr>
        <w:t>that they will start to provide</w:t>
      </w:r>
      <w:r w:rsidRPr="0066506D">
        <w:rPr>
          <w:rFonts w:cs="Arial"/>
          <w:u w:val="none"/>
        </w:rPr>
        <w:t xml:space="preserve"> CA notifications in </w:t>
      </w:r>
      <w:r w:rsidR="00ED5B07">
        <w:rPr>
          <w:rFonts w:cs="Arial"/>
          <w:u w:val="none"/>
        </w:rPr>
        <w:t xml:space="preserve">ISO </w:t>
      </w:r>
      <w:r w:rsidRPr="0066506D">
        <w:rPr>
          <w:rFonts w:cs="Arial"/>
          <w:u w:val="none"/>
        </w:rPr>
        <w:t xml:space="preserve">15022 and 20022, starting with </w:t>
      </w:r>
      <w:r w:rsidR="00ED5B07">
        <w:rPr>
          <w:rFonts w:cs="Arial"/>
          <w:u w:val="none"/>
        </w:rPr>
        <w:t xml:space="preserve">a bulk of </w:t>
      </w:r>
      <w:r w:rsidRPr="0066506D">
        <w:rPr>
          <w:rFonts w:cs="Arial"/>
          <w:u w:val="none"/>
        </w:rPr>
        <w:t>three events</w:t>
      </w:r>
      <w:r w:rsidR="00ED5B07">
        <w:rPr>
          <w:rFonts w:cs="Arial"/>
          <w:u w:val="none"/>
        </w:rPr>
        <w:t>.</w:t>
      </w:r>
    </w:p>
    <w:p w:rsidR="0066506D" w:rsidRPr="0066506D" w:rsidRDefault="0066506D" w:rsidP="00ED5B07">
      <w:pPr>
        <w:pStyle w:val="ListParagraph"/>
        <w:numPr>
          <w:ilvl w:val="0"/>
          <w:numId w:val="42"/>
        </w:numPr>
        <w:spacing w:before="0" w:after="0" w:line="280" w:lineRule="atLeast"/>
        <w:contextualSpacing/>
        <w:rPr>
          <w:rFonts w:cs="Arial"/>
          <w:u w:val="none"/>
        </w:rPr>
      </w:pPr>
      <w:r w:rsidRPr="00ED5B07">
        <w:rPr>
          <w:rFonts w:cs="Arial"/>
        </w:rPr>
        <w:t>Malaysia stock exchange</w:t>
      </w:r>
      <w:r w:rsidRPr="0066506D">
        <w:rPr>
          <w:rFonts w:cs="Arial"/>
          <w:u w:val="none"/>
        </w:rPr>
        <w:t xml:space="preserve"> has announced </w:t>
      </w:r>
      <w:r w:rsidR="00ED5B07">
        <w:rPr>
          <w:rFonts w:cs="Arial"/>
          <w:u w:val="none"/>
        </w:rPr>
        <w:t>that they will start to provide</w:t>
      </w:r>
      <w:r w:rsidRPr="0066506D">
        <w:rPr>
          <w:rFonts w:cs="Arial"/>
          <w:u w:val="none"/>
        </w:rPr>
        <w:t xml:space="preserve"> CA notifications in </w:t>
      </w:r>
      <w:r w:rsidR="00ED5B07">
        <w:rPr>
          <w:rFonts w:cs="Arial"/>
          <w:u w:val="none"/>
        </w:rPr>
        <w:t xml:space="preserve">ISO </w:t>
      </w:r>
      <w:r w:rsidRPr="0066506D">
        <w:rPr>
          <w:rFonts w:cs="Arial"/>
          <w:u w:val="none"/>
        </w:rPr>
        <w:t>20022, in a phased approach</w:t>
      </w:r>
      <w:r w:rsidR="00ED5B07">
        <w:rPr>
          <w:rFonts w:cs="Arial"/>
          <w:u w:val="none"/>
        </w:rPr>
        <w:t>.</w:t>
      </w:r>
    </w:p>
    <w:p w:rsidR="0066506D" w:rsidRPr="0066506D" w:rsidRDefault="0066506D" w:rsidP="00ED5B07">
      <w:pPr>
        <w:pStyle w:val="ListParagraph"/>
        <w:numPr>
          <w:ilvl w:val="0"/>
          <w:numId w:val="42"/>
        </w:numPr>
        <w:spacing w:before="0" w:after="0" w:line="280" w:lineRule="atLeast"/>
        <w:contextualSpacing/>
        <w:rPr>
          <w:rFonts w:cs="Arial"/>
          <w:u w:val="none"/>
        </w:rPr>
      </w:pPr>
      <w:r w:rsidRPr="00ED5B07">
        <w:rPr>
          <w:rFonts w:cs="Arial"/>
        </w:rPr>
        <w:t>Singapore</w:t>
      </w:r>
      <w:r w:rsidR="00ED5B07">
        <w:rPr>
          <w:rFonts w:cs="Arial"/>
          <w:u w:val="none"/>
        </w:rPr>
        <w:t>:</w:t>
      </w:r>
    </w:p>
    <w:p w:rsidR="0066506D" w:rsidRPr="0066506D" w:rsidRDefault="0066506D" w:rsidP="00ED5B07">
      <w:pPr>
        <w:pStyle w:val="ListParagraph"/>
        <w:numPr>
          <w:ilvl w:val="1"/>
          <w:numId w:val="42"/>
        </w:numPr>
        <w:spacing w:before="0" w:after="0" w:line="280" w:lineRule="atLeast"/>
        <w:contextualSpacing/>
        <w:rPr>
          <w:rFonts w:cs="Arial"/>
          <w:u w:val="none"/>
        </w:rPr>
      </w:pPr>
      <w:r w:rsidRPr="0066506D">
        <w:rPr>
          <w:rFonts w:cs="Arial"/>
          <w:u w:val="none"/>
        </w:rPr>
        <w:t>Lots of focus on proxy voting, with SGX recently launching a centralised hub for proxy voting instructions. However, registrars still require paper-based communication in addition to the electronic votes</w:t>
      </w:r>
      <w:r w:rsidR="00ED5B07">
        <w:rPr>
          <w:rFonts w:cs="Arial"/>
          <w:u w:val="none"/>
        </w:rPr>
        <w:t>.</w:t>
      </w:r>
    </w:p>
    <w:p w:rsidR="0066506D" w:rsidRPr="0066506D" w:rsidRDefault="0066506D" w:rsidP="00ED5B07">
      <w:pPr>
        <w:pStyle w:val="ListParagraph"/>
        <w:numPr>
          <w:ilvl w:val="1"/>
          <w:numId w:val="42"/>
        </w:numPr>
        <w:spacing w:before="0" w:after="0" w:line="280" w:lineRule="atLeast"/>
        <w:contextualSpacing/>
        <w:rPr>
          <w:rFonts w:cs="Arial"/>
          <w:u w:val="none"/>
        </w:rPr>
      </w:pPr>
      <w:r w:rsidRPr="0066506D">
        <w:rPr>
          <w:rFonts w:cs="Arial"/>
          <w:u w:val="none"/>
        </w:rPr>
        <w:t>SWIFT, SGX and a few market participants have started a PoC for a proxy voting DLT solution</w:t>
      </w:r>
    </w:p>
    <w:p w:rsidR="00ED5B07" w:rsidRDefault="0066506D" w:rsidP="00ED5B07">
      <w:pPr>
        <w:pStyle w:val="ListParagraph"/>
        <w:numPr>
          <w:ilvl w:val="0"/>
          <w:numId w:val="42"/>
        </w:numPr>
        <w:spacing w:before="0" w:after="0" w:line="280" w:lineRule="atLeast"/>
        <w:contextualSpacing/>
        <w:rPr>
          <w:rFonts w:cs="Arial"/>
          <w:u w:val="none"/>
        </w:rPr>
      </w:pPr>
      <w:r w:rsidRPr="00ED5B07">
        <w:rPr>
          <w:rFonts w:cs="Arial"/>
        </w:rPr>
        <w:t>Taiwan rights issue</w:t>
      </w:r>
      <w:r w:rsidRPr="0066506D">
        <w:rPr>
          <w:rFonts w:cs="Arial"/>
          <w:u w:val="none"/>
        </w:rPr>
        <w:t>: Last year</w:t>
      </w:r>
      <w:r w:rsidR="00C853C1">
        <w:rPr>
          <w:rFonts w:cs="Arial"/>
          <w:u w:val="none"/>
        </w:rPr>
        <w:t xml:space="preserve">, the </w:t>
      </w:r>
      <w:r w:rsidRPr="0066506D">
        <w:rPr>
          <w:rFonts w:cs="Arial"/>
          <w:u w:val="none"/>
        </w:rPr>
        <w:t xml:space="preserve">TW NMPG published a draft market practice on the SMPG website regarding RHTS with a DSS </w:t>
      </w:r>
      <w:r w:rsidR="00ED5B07">
        <w:rPr>
          <w:rFonts w:cs="Arial"/>
          <w:u w:val="none"/>
        </w:rPr>
        <w:t xml:space="preserve">for the CAEV </w:t>
      </w:r>
      <w:r w:rsidRPr="0066506D">
        <w:rPr>
          <w:rFonts w:cs="Arial"/>
          <w:u w:val="none"/>
        </w:rPr>
        <w:t xml:space="preserve">allowing them not to use the Intermediate Securities sequence. </w:t>
      </w:r>
      <w:r w:rsidR="00ED5B07">
        <w:rPr>
          <w:rFonts w:cs="Arial"/>
          <w:u w:val="none"/>
        </w:rPr>
        <w:t xml:space="preserve">The market practice has been </w:t>
      </w:r>
      <w:r w:rsidR="00C853C1">
        <w:rPr>
          <w:rFonts w:cs="Arial"/>
          <w:u w:val="none"/>
        </w:rPr>
        <w:t xml:space="preserve">thoroughly </w:t>
      </w:r>
      <w:r w:rsidR="00ED5B07">
        <w:rPr>
          <w:rFonts w:cs="Arial"/>
          <w:u w:val="none"/>
        </w:rPr>
        <w:t xml:space="preserve">analysed and appears to be in total contradiction with the global MP. </w:t>
      </w:r>
    </w:p>
    <w:p w:rsidR="00C853C1" w:rsidRDefault="00ED5B07" w:rsidP="00C853C1">
      <w:pPr>
        <w:pStyle w:val="ListParagraph"/>
        <w:numPr>
          <w:ilvl w:val="0"/>
          <w:numId w:val="0"/>
        </w:numPr>
        <w:spacing w:before="0" w:after="0" w:line="280" w:lineRule="atLeast"/>
        <w:ind w:left="360"/>
        <w:contextualSpacing/>
        <w:rPr>
          <w:rFonts w:cs="Arial"/>
          <w:u w:val="none"/>
        </w:rPr>
      </w:pPr>
      <w:r>
        <w:rPr>
          <w:rFonts w:cs="Arial"/>
          <w:u w:val="none"/>
        </w:rPr>
        <w:t>Therefore the SMPG CA WG c</w:t>
      </w:r>
      <w:r w:rsidR="0066506D" w:rsidRPr="0066506D">
        <w:rPr>
          <w:rFonts w:cs="Arial"/>
          <w:u w:val="none"/>
        </w:rPr>
        <w:t>o-chairs</w:t>
      </w:r>
      <w:r>
        <w:rPr>
          <w:rFonts w:cs="Arial"/>
          <w:u w:val="none"/>
        </w:rPr>
        <w:t xml:space="preserve"> and APAC Regional Director </w:t>
      </w:r>
      <w:r w:rsidR="00C853C1">
        <w:rPr>
          <w:rFonts w:cs="Arial"/>
          <w:u w:val="none"/>
        </w:rPr>
        <w:t>are</w:t>
      </w:r>
      <w:r w:rsidR="0066506D" w:rsidRPr="0066506D">
        <w:rPr>
          <w:rFonts w:cs="Arial"/>
          <w:u w:val="none"/>
        </w:rPr>
        <w:t xml:space="preserve"> working on getting the TW NMPG to change their market practice to PRIO</w:t>
      </w:r>
      <w:r>
        <w:rPr>
          <w:rFonts w:cs="Arial"/>
          <w:u w:val="none"/>
        </w:rPr>
        <w:t xml:space="preserve"> as recommended already at the Dublin meeting last year</w:t>
      </w:r>
      <w:r w:rsidR="0066506D" w:rsidRPr="0066506D">
        <w:rPr>
          <w:rFonts w:cs="Arial"/>
          <w:u w:val="none"/>
        </w:rPr>
        <w:t>.</w:t>
      </w:r>
      <w:r w:rsidR="00C853C1">
        <w:rPr>
          <w:rFonts w:cs="Arial"/>
          <w:u w:val="none"/>
        </w:rPr>
        <w:t xml:space="preserve"> </w:t>
      </w:r>
    </w:p>
    <w:p w:rsidR="00C853C1" w:rsidRDefault="00C853C1" w:rsidP="00ED5B07">
      <w:pPr>
        <w:pStyle w:val="ListParagraph"/>
        <w:numPr>
          <w:ilvl w:val="0"/>
          <w:numId w:val="0"/>
        </w:numPr>
        <w:spacing w:before="0" w:after="0" w:line="280" w:lineRule="atLeast"/>
        <w:ind w:left="360"/>
        <w:contextualSpacing/>
        <w:rPr>
          <w:rFonts w:cs="Arial"/>
          <w:u w:val="none"/>
        </w:rPr>
      </w:pPr>
      <w:r w:rsidRPr="0066506D">
        <w:rPr>
          <w:rFonts w:cs="Arial"/>
          <w:u w:val="none"/>
        </w:rPr>
        <w:t>At least we need to state that this is not at all supported by the SMPG. Mari has drafted a response to the T</w:t>
      </w:r>
      <w:r w:rsidR="00465DBC">
        <w:rPr>
          <w:rFonts w:cs="Arial"/>
          <w:u w:val="none"/>
        </w:rPr>
        <w:t xml:space="preserve">W NMPG, which Jacques will send very soon </w:t>
      </w:r>
      <w:r>
        <w:rPr>
          <w:rFonts w:cs="Arial"/>
          <w:u w:val="none"/>
        </w:rPr>
        <w:t>to inform them that the TW MP on RHTS will be removed from the SMPG Web Site.</w:t>
      </w:r>
    </w:p>
    <w:p w:rsidR="003D3A56" w:rsidRDefault="003D3A56" w:rsidP="003D3A56">
      <w:pPr>
        <w:pStyle w:val="Heading1"/>
      </w:pPr>
      <w:bookmarkStart w:id="49" w:name="_Toc529286645"/>
      <w:r>
        <w:lastRenderedPageBreak/>
        <w:t>AOB</w:t>
      </w:r>
      <w:bookmarkEnd w:id="49"/>
    </w:p>
    <w:p w:rsidR="00E16BB2" w:rsidRDefault="00E16BB2" w:rsidP="0066506D">
      <w:pPr>
        <w:pStyle w:val="ListParagraph"/>
        <w:numPr>
          <w:ilvl w:val="0"/>
          <w:numId w:val="40"/>
        </w:numPr>
      </w:pPr>
      <w:r w:rsidRPr="0066506D">
        <w:t>Index factor question from Alexander</w:t>
      </w:r>
    </w:p>
    <w:p w:rsidR="0066506D" w:rsidRDefault="0066506D" w:rsidP="0066506D">
      <w:r>
        <w:t xml:space="preserve">I would like this to be clarified in GMP 1 </w:t>
      </w:r>
      <w:r w:rsidR="00465DBC">
        <w:t xml:space="preserve">for </w:t>
      </w:r>
      <w:r>
        <w:t>Index bonds how to inform about the index that is used for payment. My understanding is the blocks E1/D1 and E2/D2 are the only once that should be used when calculating res</w:t>
      </w:r>
      <w:r w:rsidR="00465DBC">
        <w:t>pectively</w:t>
      </w:r>
      <w:r>
        <w:t xml:space="preserve"> the content of 19B:</w:t>
      </w:r>
      <w:proofErr w:type="gramStart"/>
      <w:r>
        <w:t>:PSTA</w:t>
      </w:r>
      <w:proofErr w:type="gramEnd"/>
      <w:r>
        <w:t>// and 36B::PSTA//. D and E block is there for informational purpose. For the index it</w:t>
      </w:r>
      <w:r w:rsidR="004A1314">
        <w:t xml:space="preserve"> can only be in D or E block. (</w:t>
      </w:r>
      <w:r>
        <w:t>maybe INDX should be similar to INTR in C-block)</w:t>
      </w:r>
    </w:p>
    <w:p w:rsidR="0066506D" w:rsidRPr="00465DBC" w:rsidRDefault="00465DBC" w:rsidP="00465DBC">
      <w:pPr>
        <w:rPr>
          <w:u w:val="single"/>
        </w:rPr>
      </w:pPr>
      <w:r w:rsidRPr="00465DBC">
        <w:rPr>
          <w:u w:val="single"/>
        </w:rPr>
        <w:t>A1</w:t>
      </w:r>
      <w:r>
        <w:rPr>
          <w:u w:val="single"/>
        </w:rPr>
        <w:t>.</w:t>
      </w:r>
      <w:r w:rsidRPr="00465DBC">
        <w:rPr>
          <w:u w:val="single"/>
        </w:rPr>
        <w:tab/>
      </w:r>
      <w:r w:rsidR="0066506D" w:rsidRPr="00465DBC">
        <w:rPr>
          <w:u w:val="single"/>
        </w:rPr>
        <w:t>For interest</w:t>
      </w:r>
    </w:p>
    <w:p w:rsidR="0066506D" w:rsidRDefault="0066506D" w:rsidP="0066506D">
      <w:r>
        <w:t>When calculating the payments for a bond with index</w:t>
      </w:r>
      <w:r w:rsidR="00465DBC">
        <w:t>,</w:t>
      </w:r>
      <w:r>
        <w:t xml:space="preserve"> it is the elig/confirmed balance time index and interest rate (INTR*DAAC)/MICO to give the payment. Here is the question, where to add the applicable index rate? </w:t>
      </w:r>
    </w:p>
    <w:p w:rsidR="0066506D" w:rsidRDefault="00465DBC" w:rsidP="0066506D">
      <w:r>
        <w:t>In the INTP or as a OFFR</w:t>
      </w:r>
      <w:r w:rsidR="0066506D">
        <w:t>?</w:t>
      </w:r>
    </w:p>
    <w:p w:rsidR="0066506D" w:rsidRPr="0066506D" w:rsidRDefault="00465DBC" w:rsidP="0066506D">
      <w:pPr>
        <w:rPr>
          <w:u w:val="single"/>
        </w:rPr>
      </w:pPr>
      <w:r>
        <w:rPr>
          <w:u w:val="single"/>
        </w:rPr>
        <w:t xml:space="preserve">A2. </w:t>
      </w:r>
      <w:r>
        <w:rPr>
          <w:u w:val="single"/>
        </w:rPr>
        <w:tab/>
        <w:t>For redemption</w:t>
      </w:r>
    </w:p>
    <w:p w:rsidR="0066506D" w:rsidRDefault="0066506D" w:rsidP="0066506D">
      <w:r>
        <w:t>When calculating the payments for a bond with index it is the elig/confirmed balance time index and redemption rate and the offer price to give the payment. How to incorporate the applicable index rate?</w:t>
      </w:r>
    </w:p>
    <w:p w:rsidR="0066506D" w:rsidRDefault="0066506D" w:rsidP="0066506D">
      <w:r>
        <w:t>For offer price it can be different the 100pct so should the index be added here? It would be consistent with INTR event, but the actual offer price would not be known</w:t>
      </w:r>
      <w:r w:rsidR="00465DBC">
        <w:t>.</w:t>
      </w:r>
    </w:p>
    <w:p w:rsidR="0066506D" w:rsidRDefault="0066506D" w:rsidP="0066506D">
      <w:r>
        <w:t>Not in rate, but could OFFR be used?</w:t>
      </w:r>
    </w:p>
    <w:p w:rsidR="00465DBC" w:rsidRPr="00465DBC" w:rsidRDefault="00E16BB2" w:rsidP="0066506D">
      <w:pPr>
        <w:pStyle w:val="Actions"/>
        <w:rPr>
          <w:b/>
          <w:u w:val="single"/>
        </w:rPr>
      </w:pPr>
      <w:r w:rsidRPr="00465DBC">
        <w:rPr>
          <w:b/>
          <w:u w:val="single"/>
        </w:rPr>
        <w:t>Action</w:t>
      </w:r>
      <w:r w:rsidR="00465DBC" w:rsidRPr="00465DBC">
        <w:rPr>
          <w:b/>
          <w:u w:val="single"/>
        </w:rPr>
        <w:t>s</w:t>
      </w:r>
    </w:p>
    <w:p w:rsidR="00E16BB2" w:rsidRPr="0066506D" w:rsidRDefault="00E16BB2" w:rsidP="00465DBC">
      <w:pPr>
        <w:pStyle w:val="Actions"/>
        <w:numPr>
          <w:ilvl w:val="0"/>
          <w:numId w:val="43"/>
        </w:numPr>
      </w:pPr>
      <w:r w:rsidRPr="0066506D">
        <w:t xml:space="preserve">Ask </w:t>
      </w:r>
      <w:r w:rsidRPr="00465DBC">
        <w:rPr>
          <w:u w:val="single"/>
        </w:rPr>
        <w:t>NMPGs</w:t>
      </w:r>
      <w:r w:rsidRPr="0066506D">
        <w:t xml:space="preserve"> how index factors are communicated. Is INDX at E level used? RINR (for INTR events) and NWFC (for REDM events) in D? Something else?</w:t>
      </w:r>
    </w:p>
    <w:p w:rsidR="00E16BB2" w:rsidRDefault="00E16BB2" w:rsidP="00465DBC">
      <w:pPr>
        <w:pStyle w:val="Actions"/>
        <w:numPr>
          <w:ilvl w:val="0"/>
          <w:numId w:val="43"/>
        </w:numPr>
      </w:pPr>
      <w:r w:rsidRPr="00465DBC">
        <w:rPr>
          <w:u w:val="single"/>
        </w:rPr>
        <w:t>Christine</w:t>
      </w:r>
      <w:r w:rsidRPr="0066506D">
        <w:t xml:space="preserve"> to investigate if GMPP1 states/explains that OFFR/PRPP (INTP) is the one used to multiply with entitled nominal amount/quantity in order to get the entitled cash amount</w:t>
      </w:r>
      <w:r w:rsidR="00465DBC">
        <w:t>.</w:t>
      </w:r>
    </w:p>
    <w:p w:rsidR="00E16BB2" w:rsidRPr="0066506D" w:rsidRDefault="00E16BB2" w:rsidP="0066506D">
      <w:pPr>
        <w:pStyle w:val="ListParagraph"/>
        <w:numPr>
          <w:ilvl w:val="0"/>
          <w:numId w:val="40"/>
        </w:numPr>
      </w:pPr>
      <w:r w:rsidRPr="0066506D">
        <w:t>Should WRTH in the GG be updated to include a record date?</w:t>
      </w:r>
    </w:p>
    <w:p w:rsidR="00E16BB2" w:rsidRPr="0066506D" w:rsidRDefault="00E16BB2" w:rsidP="0066506D">
      <w:pPr>
        <w:pStyle w:val="Decisions"/>
      </w:pPr>
      <w:r w:rsidRPr="00AC0DB8">
        <w:rPr>
          <w:b/>
          <w:u w:val="single"/>
        </w:rPr>
        <w:t>Decision</w:t>
      </w:r>
      <w:r w:rsidRPr="0066506D">
        <w:rPr>
          <w:b/>
        </w:rPr>
        <w:t>:</w:t>
      </w:r>
      <w:r w:rsidRPr="0066506D">
        <w:t xml:space="preserve"> The WG agreed that it should</w:t>
      </w:r>
      <w:r w:rsidR="00AC0DB8">
        <w:t>.</w:t>
      </w:r>
    </w:p>
    <w:p w:rsidR="00E16BB2" w:rsidRDefault="00E16BB2" w:rsidP="0066506D">
      <w:pPr>
        <w:pStyle w:val="Actions"/>
      </w:pPr>
      <w:r w:rsidRPr="00AC0DB8">
        <w:rPr>
          <w:b/>
          <w:u w:val="single"/>
        </w:rPr>
        <w:t>Action</w:t>
      </w:r>
      <w:r w:rsidRPr="0066506D">
        <w:rPr>
          <w:b/>
        </w:rPr>
        <w:t>:</w:t>
      </w:r>
      <w:r w:rsidRPr="0066506D">
        <w:t xml:space="preserve"> </w:t>
      </w:r>
      <w:r w:rsidRPr="00AC0DB8">
        <w:rPr>
          <w:u w:val="single"/>
        </w:rPr>
        <w:t>NMPGs</w:t>
      </w:r>
      <w:r w:rsidRPr="0066506D">
        <w:t xml:space="preserve"> are requested to review and revert by the next conference call</w:t>
      </w:r>
      <w:r w:rsidR="00AC0DB8">
        <w:t>.</w:t>
      </w:r>
    </w:p>
    <w:p w:rsidR="00AC0DB8" w:rsidRDefault="00AC0DB8" w:rsidP="0066506D">
      <w:pPr>
        <w:pStyle w:val="Actions"/>
      </w:pPr>
    </w:p>
    <w:p w:rsidR="00AC0DB8" w:rsidRPr="0066506D" w:rsidRDefault="00AC0DB8" w:rsidP="0066506D">
      <w:pPr>
        <w:pStyle w:val="Actions"/>
      </w:pPr>
    </w:p>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2043AA">
        <w:rPr>
          <w:sz w:val="28"/>
          <w:szCs w:val="28"/>
        </w:rPr>
        <w:t>13</w:t>
      </w:r>
      <w:r w:rsidRPr="001B0369">
        <w:rPr>
          <w:sz w:val="28"/>
          <w:szCs w:val="28"/>
        </w:rPr>
        <w:t xml:space="preserve"> </w:t>
      </w:r>
      <w:r w:rsidR="002043AA">
        <w:rPr>
          <w:sz w:val="28"/>
          <w:szCs w:val="28"/>
        </w:rPr>
        <w:t>November</w:t>
      </w:r>
      <w:r w:rsidRPr="001B0369">
        <w:rPr>
          <w:sz w:val="28"/>
          <w:szCs w:val="28"/>
        </w:rPr>
        <w:t>, 2018 from</w:t>
      </w:r>
      <w:r>
        <w:rPr>
          <w:b/>
          <w:sz w:val="28"/>
          <w:szCs w:val="28"/>
        </w:rPr>
        <w:t xml:space="preserve"> </w:t>
      </w:r>
      <w:r w:rsidRPr="001B0369">
        <w:rPr>
          <w:sz w:val="28"/>
          <w:szCs w:val="28"/>
          <w:u w:val="single"/>
        </w:rPr>
        <w:t xml:space="preserve">2:00 to </w:t>
      </w:r>
      <w:r w:rsidR="00A16439">
        <w:rPr>
          <w:sz w:val="28"/>
          <w:szCs w:val="28"/>
          <w:u w:val="single"/>
        </w:rPr>
        <w:t>4:00</w:t>
      </w:r>
      <w:r w:rsidRPr="001B0369">
        <w:rPr>
          <w:sz w:val="28"/>
          <w:szCs w:val="28"/>
          <w:u w:val="single"/>
        </w:rPr>
        <w:t xml:space="preserve"> PM CET</w:t>
      </w:r>
    </w:p>
    <w:p w:rsidR="00042840" w:rsidRPr="00900A63" w:rsidRDefault="00042840" w:rsidP="00900A6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40"/>
      <w:headerReference w:type="default" r:id="rId41"/>
      <w:headerReference w:type="first" r:id="rId42"/>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CA8" w:rsidRDefault="00116CA8" w:rsidP="00592037">
      <w:r>
        <w:separator/>
      </w:r>
    </w:p>
    <w:p w:rsidR="00116CA8" w:rsidRDefault="00116CA8" w:rsidP="00592037"/>
  </w:endnote>
  <w:endnote w:type="continuationSeparator" w:id="0">
    <w:p w:rsidR="00116CA8" w:rsidRDefault="00116CA8" w:rsidP="00592037">
      <w:r>
        <w:continuationSeparator/>
      </w:r>
    </w:p>
    <w:p w:rsidR="00116CA8" w:rsidRDefault="00116CA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Default="00FB1FB4"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B1FB4" w:rsidRDefault="00FB1FB4"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Pr="00C40CE5" w:rsidRDefault="00FB1FB4"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Sydney_October2018_CA_DRAFT_Minutes_v0_1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A20550">
      <w:rPr>
        <w:noProof/>
        <w:lang w:val="en-GB"/>
      </w:rPr>
      <w:t>3</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CA8" w:rsidRDefault="00116CA8" w:rsidP="00592037">
      <w:r>
        <w:separator/>
      </w:r>
    </w:p>
    <w:p w:rsidR="00116CA8" w:rsidRDefault="00116CA8" w:rsidP="00592037"/>
  </w:footnote>
  <w:footnote w:type="continuationSeparator" w:id="0">
    <w:p w:rsidR="00116CA8" w:rsidRDefault="00116CA8" w:rsidP="00592037">
      <w:r>
        <w:continuationSeparator/>
      </w:r>
    </w:p>
    <w:p w:rsidR="00116CA8" w:rsidRDefault="00116CA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Default="00FB1FB4"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Default="00FB1FB4" w:rsidP="00592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Pr="00284B42" w:rsidRDefault="00FB1FB4"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Sydney Meeting Minutes – 17-19 October 2018</w:t>
    </w:r>
    <w:r>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FB4" w:rsidRDefault="00FB1FB4"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3285"/>
    <w:multiLevelType w:val="hybridMultilevel"/>
    <w:tmpl w:val="A1C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B44CE"/>
    <w:multiLevelType w:val="hybridMultilevel"/>
    <w:tmpl w:val="1A243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85440E"/>
    <w:multiLevelType w:val="hybridMultilevel"/>
    <w:tmpl w:val="23FCE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F1090"/>
    <w:multiLevelType w:val="hybridMultilevel"/>
    <w:tmpl w:val="72629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281828"/>
    <w:multiLevelType w:val="hybridMultilevel"/>
    <w:tmpl w:val="BB44D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AB185F"/>
    <w:multiLevelType w:val="hybridMultilevel"/>
    <w:tmpl w:val="554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1E11E8"/>
    <w:multiLevelType w:val="hybridMultilevel"/>
    <w:tmpl w:val="7CCC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4379D4"/>
    <w:multiLevelType w:val="hybridMultilevel"/>
    <w:tmpl w:val="13946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6046F5"/>
    <w:multiLevelType w:val="hybridMultilevel"/>
    <w:tmpl w:val="AD7A92B6"/>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AB4D7B"/>
    <w:multiLevelType w:val="hybridMultilevel"/>
    <w:tmpl w:val="9410A302"/>
    <w:lvl w:ilvl="0" w:tplc="35FC55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3F535F"/>
    <w:multiLevelType w:val="hybridMultilevel"/>
    <w:tmpl w:val="520873C4"/>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4B7816"/>
    <w:multiLevelType w:val="hybridMultilevel"/>
    <w:tmpl w:val="8A22C01E"/>
    <w:lvl w:ilvl="0" w:tplc="EF5AF9B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8100ADB"/>
    <w:multiLevelType w:val="hybridMultilevel"/>
    <w:tmpl w:val="326CA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226F5B"/>
    <w:multiLevelType w:val="hybridMultilevel"/>
    <w:tmpl w:val="1688B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9">
    <w:nsid w:val="3BCC4B0C"/>
    <w:multiLevelType w:val="hybridMultilevel"/>
    <w:tmpl w:val="F618AD96"/>
    <w:lvl w:ilvl="0" w:tplc="46163ACA">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320552"/>
    <w:multiLevelType w:val="hybridMultilevel"/>
    <w:tmpl w:val="217CE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99730B"/>
    <w:multiLevelType w:val="hybridMultilevel"/>
    <w:tmpl w:val="6728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5E0EE0"/>
    <w:multiLevelType w:val="hybridMultilevel"/>
    <w:tmpl w:val="D0FE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E9646B"/>
    <w:multiLevelType w:val="hybridMultilevel"/>
    <w:tmpl w:val="BF48D50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977374"/>
    <w:multiLevelType w:val="hybridMultilevel"/>
    <w:tmpl w:val="F032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71D36A44"/>
    <w:multiLevelType w:val="hybridMultilevel"/>
    <w:tmpl w:val="7778B82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nsid w:val="71D670E1"/>
    <w:multiLevelType w:val="hybridMultilevel"/>
    <w:tmpl w:val="FF3AF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5869EF"/>
    <w:multiLevelType w:val="hybridMultilevel"/>
    <w:tmpl w:val="550AE3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B56648"/>
    <w:multiLevelType w:val="hybridMultilevel"/>
    <w:tmpl w:val="155A85B2"/>
    <w:lvl w:ilvl="0" w:tplc="4878A9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6">
    <w:nsid w:val="74B92799"/>
    <w:multiLevelType w:val="hybridMultilevel"/>
    <w:tmpl w:val="B01488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7444DCD"/>
    <w:multiLevelType w:val="hybridMultilevel"/>
    <w:tmpl w:val="0D34DE32"/>
    <w:lvl w:ilvl="0" w:tplc="0809000F">
      <w:start w:val="1"/>
      <w:numFmt w:val="decimal"/>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8">
    <w:nsid w:val="77A25831"/>
    <w:multiLevelType w:val="hybridMultilevel"/>
    <w:tmpl w:val="DF488CC6"/>
    <w:lvl w:ilvl="0" w:tplc="679A13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DD369A"/>
    <w:multiLevelType w:val="hybridMultilevel"/>
    <w:tmpl w:val="CC1844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85B0231"/>
    <w:multiLevelType w:val="hybridMultilevel"/>
    <w:tmpl w:val="A666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0"/>
  </w:num>
  <w:num w:numId="3">
    <w:abstractNumId w:val="18"/>
  </w:num>
  <w:num w:numId="4">
    <w:abstractNumId w:val="10"/>
  </w:num>
  <w:num w:numId="5">
    <w:abstractNumId w:val="7"/>
  </w:num>
  <w:num w:numId="6">
    <w:abstractNumId w:val="28"/>
  </w:num>
  <w:num w:numId="7">
    <w:abstractNumId w:val="27"/>
  </w:num>
  <w:num w:numId="8">
    <w:abstractNumId w:val="21"/>
  </w:num>
  <w:num w:numId="9">
    <w:abstractNumId w:val="41"/>
  </w:num>
  <w:num w:numId="10">
    <w:abstractNumId w:val="16"/>
  </w:num>
  <w:num w:numId="11">
    <w:abstractNumId w:val="30"/>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2"/>
  </w:num>
  <w:num w:numId="15">
    <w:abstractNumId w:val="40"/>
  </w:num>
  <w:num w:numId="16">
    <w:abstractNumId w:val="20"/>
  </w:num>
  <w:num w:numId="17">
    <w:abstractNumId w:val="25"/>
  </w:num>
  <w:num w:numId="18">
    <w:abstractNumId w:val="6"/>
  </w:num>
  <w:num w:numId="19">
    <w:abstractNumId w:val="32"/>
  </w:num>
  <w:num w:numId="20">
    <w:abstractNumId w:val="2"/>
  </w:num>
  <w:num w:numId="21">
    <w:abstractNumId w:val="8"/>
  </w:num>
  <w:num w:numId="22">
    <w:abstractNumId w:val="17"/>
  </w:num>
  <w:num w:numId="23">
    <w:abstractNumId w:val="3"/>
  </w:num>
  <w:num w:numId="24">
    <w:abstractNumId w:val="19"/>
  </w:num>
  <w:num w:numId="25">
    <w:abstractNumId w:val="4"/>
  </w:num>
  <w:num w:numId="26">
    <w:abstractNumId w:val="1"/>
  </w:num>
  <w:num w:numId="27">
    <w:abstractNumId w:val="14"/>
  </w:num>
  <w:num w:numId="28">
    <w:abstractNumId w:val="15"/>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1"/>
  </w:num>
  <w:num w:numId="32">
    <w:abstractNumId w:val="5"/>
  </w:num>
  <w:num w:numId="33">
    <w:abstractNumId w:val="37"/>
    <w:lvlOverride w:ilvl="0">
      <w:startOverride w:val="1"/>
    </w:lvlOverride>
    <w:lvlOverride w:ilvl="1"/>
    <w:lvlOverride w:ilvl="2"/>
    <w:lvlOverride w:ilvl="3"/>
    <w:lvlOverride w:ilvl="4"/>
    <w:lvlOverride w:ilvl="5"/>
    <w:lvlOverride w:ilvl="6"/>
    <w:lvlOverride w:ilvl="7"/>
    <w:lvlOverride w:ilvl="8"/>
  </w:num>
  <w:num w:numId="34">
    <w:abstractNumId w:val="34"/>
  </w:num>
  <w:num w:numId="35">
    <w:abstractNumId w:val="33"/>
  </w:num>
  <w:num w:numId="36">
    <w:abstractNumId w:val="29"/>
  </w:num>
  <w:num w:numId="37">
    <w:abstractNumId w:val="24"/>
  </w:num>
  <w:num w:numId="38">
    <w:abstractNumId w:val="36"/>
  </w:num>
  <w:num w:numId="39">
    <w:abstractNumId w:val="7"/>
    <w:lvlOverride w:ilvl="0">
      <w:startOverride w:val="1"/>
    </w:lvlOverride>
  </w:num>
  <w:num w:numId="40">
    <w:abstractNumId w:val="26"/>
  </w:num>
  <w:num w:numId="41">
    <w:abstractNumId w:val="9"/>
  </w:num>
  <w:num w:numId="42">
    <w:abstractNumId w:val="39"/>
  </w:num>
  <w:num w:numId="43">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88"/>
    <w:rsid w:val="00030CC6"/>
    <w:rsid w:val="000312DB"/>
    <w:rsid w:val="000316DB"/>
    <w:rsid w:val="000320E1"/>
    <w:rsid w:val="00033329"/>
    <w:rsid w:val="00033348"/>
    <w:rsid w:val="00034CFD"/>
    <w:rsid w:val="0003564A"/>
    <w:rsid w:val="000357FF"/>
    <w:rsid w:val="00037351"/>
    <w:rsid w:val="00037DB1"/>
    <w:rsid w:val="00040918"/>
    <w:rsid w:val="000410CD"/>
    <w:rsid w:val="00042840"/>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56AD"/>
    <w:rsid w:val="00055BD5"/>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786"/>
    <w:rsid w:val="000768FB"/>
    <w:rsid w:val="00081263"/>
    <w:rsid w:val="00081756"/>
    <w:rsid w:val="00081965"/>
    <w:rsid w:val="000822F7"/>
    <w:rsid w:val="00082FA1"/>
    <w:rsid w:val="0008399E"/>
    <w:rsid w:val="00085EE0"/>
    <w:rsid w:val="00086E1B"/>
    <w:rsid w:val="00087328"/>
    <w:rsid w:val="0008767E"/>
    <w:rsid w:val="000879AF"/>
    <w:rsid w:val="0009050D"/>
    <w:rsid w:val="00090C34"/>
    <w:rsid w:val="000910EF"/>
    <w:rsid w:val="00091A02"/>
    <w:rsid w:val="00091C2C"/>
    <w:rsid w:val="00092790"/>
    <w:rsid w:val="000927AA"/>
    <w:rsid w:val="00092FDC"/>
    <w:rsid w:val="00093B84"/>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4025"/>
    <w:rsid w:val="000B557A"/>
    <w:rsid w:val="000B5831"/>
    <w:rsid w:val="000B5DFD"/>
    <w:rsid w:val="000B62B8"/>
    <w:rsid w:val="000B6457"/>
    <w:rsid w:val="000B7094"/>
    <w:rsid w:val="000B70C1"/>
    <w:rsid w:val="000B7283"/>
    <w:rsid w:val="000B7C14"/>
    <w:rsid w:val="000C0581"/>
    <w:rsid w:val="000C0868"/>
    <w:rsid w:val="000C103C"/>
    <w:rsid w:val="000C14D0"/>
    <w:rsid w:val="000C15E7"/>
    <w:rsid w:val="000C173C"/>
    <w:rsid w:val="000C18B1"/>
    <w:rsid w:val="000C1E02"/>
    <w:rsid w:val="000C205A"/>
    <w:rsid w:val="000C29FB"/>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6974"/>
    <w:rsid w:val="000F738A"/>
    <w:rsid w:val="001006E9"/>
    <w:rsid w:val="00100E0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CA8"/>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7D2"/>
    <w:rsid w:val="001438E0"/>
    <w:rsid w:val="00143A98"/>
    <w:rsid w:val="00143CD5"/>
    <w:rsid w:val="00143F1C"/>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00F"/>
    <w:rsid w:val="00160901"/>
    <w:rsid w:val="00162C6E"/>
    <w:rsid w:val="00163115"/>
    <w:rsid w:val="00163878"/>
    <w:rsid w:val="00163E9F"/>
    <w:rsid w:val="00164CCB"/>
    <w:rsid w:val="0016508C"/>
    <w:rsid w:val="001661A6"/>
    <w:rsid w:val="001671A7"/>
    <w:rsid w:val="001676C8"/>
    <w:rsid w:val="00167B04"/>
    <w:rsid w:val="0017019E"/>
    <w:rsid w:val="00171970"/>
    <w:rsid w:val="00171F2F"/>
    <w:rsid w:val="001725CB"/>
    <w:rsid w:val="00172D93"/>
    <w:rsid w:val="0017306F"/>
    <w:rsid w:val="00173C0D"/>
    <w:rsid w:val="001753F9"/>
    <w:rsid w:val="00175E31"/>
    <w:rsid w:val="0017663A"/>
    <w:rsid w:val="00176E6C"/>
    <w:rsid w:val="001773E9"/>
    <w:rsid w:val="001803DE"/>
    <w:rsid w:val="00182C75"/>
    <w:rsid w:val="00182F65"/>
    <w:rsid w:val="0018324D"/>
    <w:rsid w:val="001838FC"/>
    <w:rsid w:val="00185A76"/>
    <w:rsid w:val="00186352"/>
    <w:rsid w:val="001865D5"/>
    <w:rsid w:val="001868D6"/>
    <w:rsid w:val="001869F3"/>
    <w:rsid w:val="00186EEA"/>
    <w:rsid w:val="00186F88"/>
    <w:rsid w:val="00187EB0"/>
    <w:rsid w:val="001909C4"/>
    <w:rsid w:val="00190D5F"/>
    <w:rsid w:val="00191E31"/>
    <w:rsid w:val="00192716"/>
    <w:rsid w:val="00193271"/>
    <w:rsid w:val="00193282"/>
    <w:rsid w:val="00193957"/>
    <w:rsid w:val="00193B1C"/>
    <w:rsid w:val="00193BD9"/>
    <w:rsid w:val="00193C6C"/>
    <w:rsid w:val="001942A3"/>
    <w:rsid w:val="00194818"/>
    <w:rsid w:val="001958ED"/>
    <w:rsid w:val="00196DC2"/>
    <w:rsid w:val="001A0FFD"/>
    <w:rsid w:val="001A13AA"/>
    <w:rsid w:val="001A172C"/>
    <w:rsid w:val="001A2690"/>
    <w:rsid w:val="001A27C7"/>
    <w:rsid w:val="001A2C12"/>
    <w:rsid w:val="001A2F9A"/>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D1D"/>
    <w:rsid w:val="001D2EE1"/>
    <w:rsid w:val="001D318B"/>
    <w:rsid w:val="001D47AD"/>
    <w:rsid w:val="001D51EC"/>
    <w:rsid w:val="001D7111"/>
    <w:rsid w:val="001D7F34"/>
    <w:rsid w:val="001E06A9"/>
    <w:rsid w:val="001E1FF3"/>
    <w:rsid w:val="001E2DFE"/>
    <w:rsid w:val="001E335A"/>
    <w:rsid w:val="001E3E8E"/>
    <w:rsid w:val="001E3F27"/>
    <w:rsid w:val="001E4444"/>
    <w:rsid w:val="001E44C0"/>
    <w:rsid w:val="001E5AAA"/>
    <w:rsid w:val="001E69F8"/>
    <w:rsid w:val="001E7101"/>
    <w:rsid w:val="001E774B"/>
    <w:rsid w:val="001E78CC"/>
    <w:rsid w:val="001E7ED4"/>
    <w:rsid w:val="001F03B0"/>
    <w:rsid w:val="001F07B6"/>
    <w:rsid w:val="001F0D38"/>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5310"/>
    <w:rsid w:val="002053BA"/>
    <w:rsid w:val="002058BD"/>
    <w:rsid w:val="00206B1C"/>
    <w:rsid w:val="00206DF5"/>
    <w:rsid w:val="002110AE"/>
    <w:rsid w:val="00211C67"/>
    <w:rsid w:val="002127BA"/>
    <w:rsid w:val="00212BFF"/>
    <w:rsid w:val="002131AF"/>
    <w:rsid w:val="00213B01"/>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8D8"/>
    <w:rsid w:val="00226A54"/>
    <w:rsid w:val="00226B5E"/>
    <w:rsid w:val="002275E0"/>
    <w:rsid w:val="0022784C"/>
    <w:rsid w:val="0023028C"/>
    <w:rsid w:val="0023072D"/>
    <w:rsid w:val="00230996"/>
    <w:rsid w:val="00230BC8"/>
    <w:rsid w:val="0023157A"/>
    <w:rsid w:val="00231DB6"/>
    <w:rsid w:val="002321F8"/>
    <w:rsid w:val="002322DE"/>
    <w:rsid w:val="00232E54"/>
    <w:rsid w:val="0023344E"/>
    <w:rsid w:val="00234A2F"/>
    <w:rsid w:val="00235730"/>
    <w:rsid w:val="002361FF"/>
    <w:rsid w:val="00236BA7"/>
    <w:rsid w:val="00236D1A"/>
    <w:rsid w:val="00236F14"/>
    <w:rsid w:val="0023774C"/>
    <w:rsid w:val="002377B1"/>
    <w:rsid w:val="00237CCE"/>
    <w:rsid w:val="00240189"/>
    <w:rsid w:val="00240BD1"/>
    <w:rsid w:val="00240FD7"/>
    <w:rsid w:val="00241119"/>
    <w:rsid w:val="00241C46"/>
    <w:rsid w:val="002421C4"/>
    <w:rsid w:val="002433C0"/>
    <w:rsid w:val="00243F2D"/>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86F"/>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5001"/>
    <w:rsid w:val="00285165"/>
    <w:rsid w:val="0028574A"/>
    <w:rsid w:val="0028587E"/>
    <w:rsid w:val="00285976"/>
    <w:rsid w:val="00285DAA"/>
    <w:rsid w:val="00285FBF"/>
    <w:rsid w:val="00286485"/>
    <w:rsid w:val="0028678C"/>
    <w:rsid w:val="00290DD9"/>
    <w:rsid w:val="00291BAA"/>
    <w:rsid w:val="00291FDD"/>
    <w:rsid w:val="002925CE"/>
    <w:rsid w:val="0029301A"/>
    <w:rsid w:val="00293BD3"/>
    <w:rsid w:val="00293F10"/>
    <w:rsid w:val="002950B7"/>
    <w:rsid w:val="0029519D"/>
    <w:rsid w:val="00295544"/>
    <w:rsid w:val="00296B65"/>
    <w:rsid w:val="00296E12"/>
    <w:rsid w:val="0029725B"/>
    <w:rsid w:val="00297D5D"/>
    <w:rsid w:val="002A0493"/>
    <w:rsid w:val="002A0A67"/>
    <w:rsid w:val="002A1D00"/>
    <w:rsid w:val="002A1E35"/>
    <w:rsid w:val="002A22A1"/>
    <w:rsid w:val="002A28D5"/>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BE9"/>
    <w:rsid w:val="002D13AB"/>
    <w:rsid w:val="002D15BA"/>
    <w:rsid w:val="002D1D5E"/>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6F31"/>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678"/>
    <w:rsid w:val="00312754"/>
    <w:rsid w:val="00312E97"/>
    <w:rsid w:val="00313942"/>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40D"/>
    <w:rsid w:val="00333A87"/>
    <w:rsid w:val="00334471"/>
    <w:rsid w:val="00334BED"/>
    <w:rsid w:val="00335451"/>
    <w:rsid w:val="00335A76"/>
    <w:rsid w:val="00342D38"/>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FFD"/>
    <w:rsid w:val="003611AC"/>
    <w:rsid w:val="00361484"/>
    <w:rsid w:val="00361DAB"/>
    <w:rsid w:val="003622D8"/>
    <w:rsid w:val="00362856"/>
    <w:rsid w:val="00363620"/>
    <w:rsid w:val="00363C0E"/>
    <w:rsid w:val="00363FDA"/>
    <w:rsid w:val="003656AB"/>
    <w:rsid w:val="003657AB"/>
    <w:rsid w:val="003679E4"/>
    <w:rsid w:val="0037101D"/>
    <w:rsid w:val="00371B50"/>
    <w:rsid w:val="00371D8F"/>
    <w:rsid w:val="00373F15"/>
    <w:rsid w:val="00374B83"/>
    <w:rsid w:val="003750EA"/>
    <w:rsid w:val="0037537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176"/>
    <w:rsid w:val="003A4564"/>
    <w:rsid w:val="003A4CDB"/>
    <w:rsid w:val="003A4FB7"/>
    <w:rsid w:val="003A50DC"/>
    <w:rsid w:val="003A548A"/>
    <w:rsid w:val="003A630B"/>
    <w:rsid w:val="003A66B0"/>
    <w:rsid w:val="003A6886"/>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35DD"/>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1EF2"/>
    <w:rsid w:val="0040244E"/>
    <w:rsid w:val="00403047"/>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4880"/>
    <w:rsid w:val="00445035"/>
    <w:rsid w:val="0044610D"/>
    <w:rsid w:val="004466C3"/>
    <w:rsid w:val="004502E1"/>
    <w:rsid w:val="00450689"/>
    <w:rsid w:val="00450990"/>
    <w:rsid w:val="00450EBE"/>
    <w:rsid w:val="0045174C"/>
    <w:rsid w:val="00451AAA"/>
    <w:rsid w:val="00451B99"/>
    <w:rsid w:val="0045218E"/>
    <w:rsid w:val="00452625"/>
    <w:rsid w:val="00454A63"/>
    <w:rsid w:val="00456BBD"/>
    <w:rsid w:val="00456E82"/>
    <w:rsid w:val="004572D2"/>
    <w:rsid w:val="00457BF4"/>
    <w:rsid w:val="004612F2"/>
    <w:rsid w:val="00463021"/>
    <w:rsid w:val="004659BF"/>
    <w:rsid w:val="00465DBC"/>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21B"/>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8C7"/>
    <w:rsid w:val="00497D76"/>
    <w:rsid w:val="004A0CDA"/>
    <w:rsid w:val="004A0D5F"/>
    <w:rsid w:val="004A0F2B"/>
    <w:rsid w:val="004A1314"/>
    <w:rsid w:val="004A17C2"/>
    <w:rsid w:val="004A17F3"/>
    <w:rsid w:val="004A2E7C"/>
    <w:rsid w:val="004A3256"/>
    <w:rsid w:val="004A355B"/>
    <w:rsid w:val="004A37EF"/>
    <w:rsid w:val="004A3833"/>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21"/>
    <w:rsid w:val="004E6B86"/>
    <w:rsid w:val="004E7310"/>
    <w:rsid w:val="004E7C60"/>
    <w:rsid w:val="004E7FAD"/>
    <w:rsid w:val="004F0171"/>
    <w:rsid w:val="004F0F26"/>
    <w:rsid w:val="004F10DC"/>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6869"/>
    <w:rsid w:val="00506F40"/>
    <w:rsid w:val="00507357"/>
    <w:rsid w:val="00510025"/>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16D73"/>
    <w:rsid w:val="0052033A"/>
    <w:rsid w:val="00520473"/>
    <w:rsid w:val="0052188C"/>
    <w:rsid w:val="00521B5E"/>
    <w:rsid w:val="0052413A"/>
    <w:rsid w:val="0052436E"/>
    <w:rsid w:val="0052516E"/>
    <w:rsid w:val="0052689B"/>
    <w:rsid w:val="0052715F"/>
    <w:rsid w:val="00527D1F"/>
    <w:rsid w:val="00530D13"/>
    <w:rsid w:val="0053156A"/>
    <w:rsid w:val="005315FD"/>
    <w:rsid w:val="00534016"/>
    <w:rsid w:val="00534622"/>
    <w:rsid w:val="00534F9F"/>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2ADF"/>
    <w:rsid w:val="0055350C"/>
    <w:rsid w:val="005549B2"/>
    <w:rsid w:val="00555506"/>
    <w:rsid w:val="005556F8"/>
    <w:rsid w:val="00555748"/>
    <w:rsid w:val="005558D8"/>
    <w:rsid w:val="00555BDD"/>
    <w:rsid w:val="00556B69"/>
    <w:rsid w:val="005577B6"/>
    <w:rsid w:val="0056132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45"/>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757"/>
    <w:rsid w:val="005A711E"/>
    <w:rsid w:val="005A73E9"/>
    <w:rsid w:val="005B0264"/>
    <w:rsid w:val="005B2C4D"/>
    <w:rsid w:val="005B3233"/>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B6F"/>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1B63"/>
    <w:rsid w:val="00601C9B"/>
    <w:rsid w:val="006029B1"/>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BF9"/>
    <w:rsid w:val="00613D4E"/>
    <w:rsid w:val="00615639"/>
    <w:rsid w:val="0061636A"/>
    <w:rsid w:val="0061750F"/>
    <w:rsid w:val="00617C4D"/>
    <w:rsid w:val="00617D25"/>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1E6C"/>
    <w:rsid w:val="006432AA"/>
    <w:rsid w:val="0064389D"/>
    <w:rsid w:val="00645723"/>
    <w:rsid w:val="00645735"/>
    <w:rsid w:val="00646B65"/>
    <w:rsid w:val="00646FB7"/>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06D"/>
    <w:rsid w:val="00665A6E"/>
    <w:rsid w:val="00665AFC"/>
    <w:rsid w:val="00665D03"/>
    <w:rsid w:val="00666940"/>
    <w:rsid w:val="00667717"/>
    <w:rsid w:val="0066790E"/>
    <w:rsid w:val="00667989"/>
    <w:rsid w:val="00667A76"/>
    <w:rsid w:val="00671693"/>
    <w:rsid w:val="006726C1"/>
    <w:rsid w:val="006731E7"/>
    <w:rsid w:val="00673558"/>
    <w:rsid w:val="0067632B"/>
    <w:rsid w:val="00676435"/>
    <w:rsid w:val="00676523"/>
    <w:rsid w:val="00676727"/>
    <w:rsid w:val="00676B5D"/>
    <w:rsid w:val="00676EF9"/>
    <w:rsid w:val="00677719"/>
    <w:rsid w:val="00677AAF"/>
    <w:rsid w:val="00681363"/>
    <w:rsid w:val="006830D0"/>
    <w:rsid w:val="006831EF"/>
    <w:rsid w:val="006833D2"/>
    <w:rsid w:val="0068361F"/>
    <w:rsid w:val="00683797"/>
    <w:rsid w:val="0068464B"/>
    <w:rsid w:val="006846A1"/>
    <w:rsid w:val="006859A1"/>
    <w:rsid w:val="006863FE"/>
    <w:rsid w:val="006877D0"/>
    <w:rsid w:val="00690328"/>
    <w:rsid w:val="006904E8"/>
    <w:rsid w:val="0069103E"/>
    <w:rsid w:val="0069126A"/>
    <w:rsid w:val="0069148C"/>
    <w:rsid w:val="0069152B"/>
    <w:rsid w:val="00691670"/>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5AE7"/>
    <w:rsid w:val="006D6051"/>
    <w:rsid w:val="006D7688"/>
    <w:rsid w:val="006E046C"/>
    <w:rsid w:val="006E0CB3"/>
    <w:rsid w:val="006E1767"/>
    <w:rsid w:val="006E1BB8"/>
    <w:rsid w:val="006E25AF"/>
    <w:rsid w:val="006E279A"/>
    <w:rsid w:val="006E505C"/>
    <w:rsid w:val="006E5FAB"/>
    <w:rsid w:val="006E623F"/>
    <w:rsid w:val="006E6532"/>
    <w:rsid w:val="006E6A11"/>
    <w:rsid w:val="006E6E56"/>
    <w:rsid w:val="006E7B80"/>
    <w:rsid w:val="006F1E33"/>
    <w:rsid w:val="006F1F52"/>
    <w:rsid w:val="006F1F8A"/>
    <w:rsid w:val="006F2337"/>
    <w:rsid w:val="006F309A"/>
    <w:rsid w:val="006F3139"/>
    <w:rsid w:val="006F3B70"/>
    <w:rsid w:val="006F41C4"/>
    <w:rsid w:val="006F5EB8"/>
    <w:rsid w:val="006F680E"/>
    <w:rsid w:val="006F7090"/>
    <w:rsid w:val="006F7DC5"/>
    <w:rsid w:val="00700C78"/>
    <w:rsid w:val="00701E12"/>
    <w:rsid w:val="007021B7"/>
    <w:rsid w:val="007025C3"/>
    <w:rsid w:val="00702CB8"/>
    <w:rsid w:val="0070379B"/>
    <w:rsid w:val="00704886"/>
    <w:rsid w:val="00705477"/>
    <w:rsid w:val="00705DEB"/>
    <w:rsid w:val="00705E60"/>
    <w:rsid w:val="007065DB"/>
    <w:rsid w:val="0070770C"/>
    <w:rsid w:val="007107F2"/>
    <w:rsid w:val="00710E8F"/>
    <w:rsid w:val="007114CE"/>
    <w:rsid w:val="00711EA5"/>
    <w:rsid w:val="0071272A"/>
    <w:rsid w:val="00712894"/>
    <w:rsid w:val="00712934"/>
    <w:rsid w:val="00713743"/>
    <w:rsid w:val="00713AC9"/>
    <w:rsid w:val="0071561F"/>
    <w:rsid w:val="007156FC"/>
    <w:rsid w:val="00715750"/>
    <w:rsid w:val="00715D9E"/>
    <w:rsid w:val="0071665F"/>
    <w:rsid w:val="0071674F"/>
    <w:rsid w:val="0071798C"/>
    <w:rsid w:val="00717BDB"/>
    <w:rsid w:val="00720AD3"/>
    <w:rsid w:val="007211A9"/>
    <w:rsid w:val="00722184"/>
    <w:rsid w:val="00722447"/>
    <w:rsid w:val="00722DCB"/>
    <w:rsid w:val="00724382"/>
    <w:rsid w:val="00725070"/>
    <w:rsid w:val="00725EDA"/>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6C33"/>
    <w:rsid w:val="00756FCF"/>
    <w:rsid w:val="00757308"/>
    <w:rsid w:val="00757645"/>
    <w:rsid w:val="00762F57"/>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81C"/>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06BD"/>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1009"/>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DA1"/>
    <w:rsid w:val="007E6459"/>
    <w:rsid w:val="007E6B60"/>
    <w:rsid w:val="007E6E79"/>
    <w:rsid w:val="007E7693"/>
    <w:rsid w:val="007E7D0D"/>
    <w:rsid w:val="007F0338"/>
    <w:rsid w:val="007F0AA6"/>
    <w:rsid w:val="007F0C1D"/>
    <w:rsid w:val="007F328A"/>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16E9"/>
    <w:rsid w:val="00872579"/>
    <w:rsid w:val="00873E0F"/>
    <w:rsid w:val="008756B9"/>
    <w:rsid w:val="0087571E"/>
    <w:rsid w:val="00875C2E"/>
    <w:rsid w:val="00875E99"/>
    <w:rsid w:val="00876A96"/>
    <w:rsid w:val="00877B1F"/>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85"/>
    <w:rsid w:val="008932C0"/>
    <w:rsid w:val="008933EE"/>
    <w:rsid w:val="0089368A"/>
    <w:rsid w:val="008940A1"/>
    <w:rsid w:val="008948DF"/>
    <w:rsid w:val="00895634"/>
    <w:rsid w:val="008958B0"/>
    <w:rsid w:val="008959EF"/>
    <w:rsid w:val="00895F7D"/>
    <w:rsid w:val="008966D7"/>
    <w:rsid w:val="00897688"/>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526C"/>
    <w:rsid w:val="008B53C9"/>
    <w:rsid w:val="008B566B"/>
    <w:rsid w:val="008B5B2B"/>
    <w:rsid w:val="008B5C50"/>
    <w:rsid w:val="008B60EC"/>
    <w:rsid w:val="008B656D"/>
    <w:rsid w:val="008B7113"/>
    <w:rsid w:val="008C025F"/>
    <w:rsid w:val="008C0AD3"/>
    <w:rsid w:val="008C0B15"/>
    <w:rsid w:val="008C1535"/>
    <w:rsid w:val="008C28E6"/>
    <w:rsid w:val="008C30B6"/>
    <w:rsid w:val="008C3137"/>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0A82"/>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23B"/>
    <w:rsid w:val="0096536B"/>
    <w:rsid w:val="0096564C"/>
    <w:rsid w:val="009660AE"/>
    <w:rsid w:val="00966710"/>
    <w:rsid w:val="009671BC"/>
    <w:rsid w:val="00970323"/>
    <w:rsid w:val="00972373"/>
    <w:rsid w:val="00972AE6"/>
    <w:rsid w:val="00973196"/>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30FB"/>
    <w:rsid w:val="009E33CB"/>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5040"/>
    <w:rsid w:val="009F533D"/>
    <w:rsid w:val="009F5422"/>
    <w:rsid w:val="009F5C6B"/>
    <w:rsid w:val="009F68F2"/>
    <w:rsid w:val="009F6E7E"/>
    <w:rsid w:val="009F752B"/>
    <w:rsid w:val="009F7B6E"/>
    <w:rsid w:val="00A009E2"/>
    <w:rsid w:val="00A01EB9"/>
    <w:rsid w:val="00A02058"/>
    <w:rsid w:val="00A02203"/>
    <w:rsid w:val="00A040E2"/>
    <w:rsid w:val="00A054ED"/>
    <w:rsid w:val="00A0635A"/>
    <w:rsid w:val="00A06939"/>
    <w:rsid w:val="00A06EE5"/>
    <w:rsid w:val="00A07459"/>
    <w:rsid w:val="00A077B2"/>
    <w:rsid w:val="00A0783D"/>
    <w:rsid w:val="00A10D34"/>
    <w:rsid w:val="00A11D42"/>
    <w:rsid w:val="00A129A4"/>
    <w:rsid w:val="00A13549"/>
    <w:rsid w:val="00A135A2"/>
    <w:rsid w:val="00A16439"/>
    <w:rsid w:val="00A16810"/>
    <w:rsid w:val="00A168DB"/>
    <w:rsid w:val="00A17697"/>
    <w:rsid w:val="00A20550"/>
    <w:rsid w:val="00A20F57"/>
    <w:rsid w:val="00A2179F"/>
    <w:rsid w:val="00A22413"/>
    <w:rsid w:val="00A22B3A"/>
    <w:rsid w:val="00A232E0"/>
    <w:rsid w:val="00A24683"/>
    <w:rsid w:val="00A24AA4"/>
    <w:rsid w:val="00A25A07"/>
    <w:rsid w:val="00A25D62"/>
    <w:rsid w:val="00A2628E"/>
    <w:rsid w:val="00A26E9B"/>
    <w:rsid w:val="00A26F0F"/>
    <w:rsid w:val="00A27D39"/>
    <w:rsid w:val="00A27D75"/>
    <w:rsid w:val="00A27E5E"/>
    <w:rsid w:val="00A30FE1"/>
    <w:rsid w:val="00A310AD"/>
    <w:rsid w:val="00A319F9"/>
    <w:rsid w:val="00A31D13"/>
    <w:rsid w:val="00A32526"/>
    <w:rsid w:val="00A325C7"/>
    <w:rsid w:val="00A32A2A"/>
    <w:rsid w:val="00A332BC"/>
    <w:rsid w:val="00A3342F"/>
    <w:rsid w:val="00A33552"/>
    <w:rsid w:val="00A35DE2"/>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7B3"/>
    <w:rsid w:val="00A54ED5"/>
    <w:rsid w:val="00A54F7D"/>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404"/>
    <w:rsid w:val="00A73A70"/>
    <w:rsid w:val="00A74410"/>
    <w:rsid w:val="00A7483C"/>
    <w:rsid w:val="00A7539A"/>
    <w:rsid w:val="00A765A4"/>
    <w:rsid w:val="00A76B2B"/>
    <w:rsid w:val="00A80DFD"/>
    <w:rsid w:val="00A80F8D"/>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6F73"/>
    <w:rsid w:val="00AA74EE"/>
    <w:rsid w:val="00AB0264"/>
    <w:rsid w:val="00AB18C0"/>
    <w:rsid w:val="00AB30F5"/>
    <w:rsid w:val="00AB36CF"/>
    <w:rsid w:val="00AB4F14"/>
    <w:rsid w:val="00AB5229"/>
    <w:rsid w:val="00AB5D12"/>
    <w:rsid w:val="00AB6103"/>
    <w:rsid w:val="00AB6283"/>
    <w:rsid w:val="00AB6617"/>
    <w:rsid w:val="00AB7794"/>
    <w:rsid w:val="00AB7EDB"/>
    <w:rsid w:val="00AC03B4"/>
    <w:rsid w:val="00AC0617"/>
    <w:rsid w:val="00AC0752"/>
    <w:rsid w:val="00AC0DB8"/>
    <w:rsid w:val="00AC0DEA"/>
    <w:rsid w:val="00AC1347"/>
    <w:rsid w:val="00AC1EC3"/>
    <w:rsid w:val="00AC27D4"/>
    <w:rsid w:val="00AC33D2"/>
    <w:rsid w:val="00AC3B87"/>
    <w:rsid w:val="00AC3EB5"/>
    <w:rsid w:val="00AC4E74"/>
    <w:rsid w:val="00AC51B8"/>
    <w:rsid w:val="00AC555A"/>
    <w:rsid w:val="00AC564B"/>
    <w:rsid w:val="00AC5C5B"/>
    <w:rsid w:val="00AC639A"/>
    <w:rsid w:val="00AC74CF"/>
    <w:rsid w:val="00AD0A2E"/>
    <w:rsid w:val="00AD28BB"/>
    <w:rsid w:val="00AD3274"/>
    <w:rsid w:val="00AD32C0"/>
    <w:rsid w:val="00AD4824"/>
    <w:rsid w:val="00AD498B"/>
    <w:rsid w:val="00AD5B9B"/>
    <w:rsid w:val="00AD6414"/>
    <w:rsid w:val="00AD7983"/>
    <w:rsid w:val="00AD7FAD"/>
    <w:rsid w:val="00AE045E"/>
    <w:rsid w:val="00AE053C"/>
    <w:rsid w:val="00AE0A1C"/>
    <w:rsid w:val="00AE28A9"/>
    <w:rsid w:val="00AE295B"/>
    <w:rsid w:val="00AE3D98"/>
    <w:rsid w:val="00AE40F5"/>
    <w:rsid w:val="00AE4272"/>
    <w:rsid w:val="00AE5261"/>
    <w:rsid w:val="00AE5902"/>
    <w:rsid w:val="00AE6237"/>
    <w:rsid w:val="00AE679C"/>
    <w:rsid w:val="00AE6BE7"/>
    <w:rsid w:val="00AE6D46"/>
    <w:rsid w:val="00AE785F"/>
    <w:rsid w:val="00AE7D6F"/>
    <w:rsid w:val="00AE7FD3"/>
    <w:rsid w:val="00AF020C"/>
    <w:rsid w:val="00AF0815"/>
    <w:rsid w:val="00AF2227"/>
    <w:rsid w:val="00AF3C2B"/>
    <w:rsid w:val="00AF46C2"/>
    <w:rsid w:val="00AF4B30"/>
    <w:rsid w:val="00AF4BD8"/>
    <w:rsid w:val="00AF4C0B"/>
    <w:rsid w:val="00AF4F1E"/>
    <w:rsid w:val="00AF51EF"/>
    <w:rsid w:val="00AF5344"/>
    <w:rsid w:val="00AF5E71"/>
    <w:rsid w:val="00AF631A"/>
    <w:rsid w:val="00AF6404"/>
    <w:rsid w:val="00AF6F69"/>
    <w:rsid w:val="00B00B25"/>
    <w:rsid w:val="00B010F4"/>
    <w:rsid w:val="00B01400"/>
    <w:rsid w:val="00B0227F"/>
    <w:rsid w:val="00B02FFF"/>
    <w:rsid w:val="00B03B5C"/>
    <w:rsid w:val="00B03BAC"/>
    <w:rsid w:val="00B04CD7"/>
    <w:rsid w:val="00B0526E"/>
    <w:rsid w:val="00B06527"/>
    <w:rsid w:val="00B06656"/>
    <w:rsid w:val="00B1091C"/>
    <w:rsid w:val="00B10A9C"/>
    <w:rsid w:val="00B10D99"/>
    <w:rsid w:val="00B10EB0"/>
    <w:rsid w:val="00B11B60"/>
    <w:rsid w:val="00B11C3B"/>
    <w:rsid w:val="00B11D2D"/>
    <w:rsid w:val="00B125DF"/>
    <w:rsid w:val="00B1342F"/>
    <w:rsid w:val="00B15953"/>
    <w:rsid w:val="00B16141"/>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6583"/>
    <w:rsid w:val="00B27018"/>
    <w:rsid w:val="00B27054"/>
    <w:rsid w:val="00B27168"/>
    <w:rsid w:val="00B2719B"/>
    <w:rsid w:val="00B273F1"/>
    <w:rsid w:val="00B307EB"/>
    <w:rsid w:val="00B31430"/>
    <w:rsid w:val="00B31EF3"/>
    <w:rsid w:val="00B322DA"/>
    <w:rsid w:val="00B3296C"/>
    <w:rsid w:val="00B3301A"/>
    <w:rsid w:val="00B3425D"/>
    <w:rsid w:val="00B34719"/>
    <w:rsid w:val="00B34F7B"/>
    <w:rsid w:val="00B35126"/>
    <w:rsid w:val="00B3529B"/>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66F"/>
    <w:rsid w:val="00B708B8"/>
    <w:rsid w:val="00B70C91"/>
    <w:rsid w:val="00B72DBD"/>
    <w:rsid w:val="00B72FEB"/>
    <w:rsid w:val="00B73257"/>
    <w:rsid w:val="00B73A0D"/>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15D"/>
    <w:rsid w:val="00B9125A"/>
    <w:rsid w:val="00B91AC1"/>
    <w:rsid w:val="00B9308F"/>
    <w:rsid w:val="00B9329E"/>
    <w:rsid w:val="00B9361F"/>
    <w:rsid w:val="00B93A7E"/>
    <w:rsid w:val="00B94457"/>
    <w:rsid w:val="00B959E3"/>
    <w:rsid w:val="00B95DCF"/>
    <w:rsid w:val="00B96670"/>
    <w:rsid w:val="00B96DC2"/>
    <w:rsid w:val="00BA0615"/>
    <w:rsid w:val="00BA0682"/>
    <w:rsid w:val="00BA0BBB"/>
    <w:rsid w:val="00BA2779"/>
    <w:rsid w:val="00BA2BC0"/>
    <w:rsid w:val="00BA327C"/>
    <w:rsid w:val="00BA390B"/>
    <w:rsid w:val="00BA4818"/>
    <w:rsid w:val="00BA5482"/>
    <w:rsid w:val="00BA76A3"/>
    <w:rsid w:val="00BA7B7D"/>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4BE"/>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6FA4"/>
    <w:rsid w:val="00BE7556"/>
    <w:rsid w:val="00BF0091"/>
    <w:rsid w:val="00BF0462"/>
    <w:rsid w:val="00BF0D72"/>
    <w:rsid w:val="00BF1231"/>
    <w:rsid w:val="00BF2474"/>
    <w:rsid w:val="00BF3939"/>
    <w:rsid w:val="00BF44FE"/>
    <w:rsid w:val="00BF4A13"/>
    <w:rsid w:val="00BF59B7"/>
    <w:rsid w:val="00BF5B07"/>
    <w:rsid w:val="00BF6227"/>
    <w:rsid w:val="00BF62E2"/>
    <w:rsid w:val="00BF6354"/>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530C"/>
    <w:rsid w:val="00C1714A"/>
    <w:rsid w:val="00C17ED7"/>
    <w:rsid w:val="00C2132B"/>
    <w:rsid w:val="00C21F19"/>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719"/>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367"/>
    <w:rsid w:val="00C7276D"/>
    <w:rsid w:val="00C733E2"/>
    <w:rsid w:val="00C74054"/>
    <w:rsid w:val="00C7495F"/>
    <w:rsid w:val="00C749BF"/>
    <w:rsid w:val="00C75AE1"/>
    <w:rsid w:val="00C75D8D"/>
    <w:rsid w:val="00C75E6C"/>
    <w:rsid w:val="00C7630D"/>
    <w:rsid w:val="00C76320"/>
    <w:rsid w:val="00C7660C"/>
    <w:rsid w:val="00C76DA3"/>
    <w:rsid w:val="00C77060"/>
    <w:rsid w:val="00C77D8B"/>
    <w:rsid w:val="00C80CB9"/>
    <w:rsid w:val="00C81103"/>
    <w:rsid w:val="00C81D18"/>
    <w:rsid w:val="00C825D5"/>
    <w:rsid w:val="00C825FB"/>
    <w:rsid w:val="00C82EF7"/>
    <w:rsid w:val="00C831C3"/>
    <w:rsid w:val="00C84E49"/>
    <w:rsid w:val="00C853C1"/>
    <w:rsid w:val="00C85770"/>
    <w:rsid w:val="00C858AB"/>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20DA"/>
    <w:rsid w:val="00CA43E2"/>
    <w:rsid w:val="00CA58A2"/>
    <w:rsid w:val="00CA58E8"/>
    <w:rsid w:val="00CA5A2E"/>
    <w:rsid w:val="00CA6B04"/>
    <w:rsid w:val="00CA7C44"/>
    <w:rsid w:val="00CA7E4F"/>
    <w:rsid w:val="00CB1D85"/>
    <w:rsid w:val="00CB2316"/>
    <w:rsid w:val="00CB3613"/>
    <w:rsid w:val="00CB43B0"/>
    <w:rsid w:val="00CB57BC"/>
    <w:rsid w:val="00CB5EF7"/>
    <w:rsid w:val="00CB7221"/>
    <w:rsid w:val="00CB723D"/>
    <w:rsid w:val="00CB72CB"/>
    <w:rsid w:val="00CC01AE"/>
    <w:rsid w:val="00CC049E"/>
    <w:rsid w:val="00CC1238"/>
    <w:rsid w:val="00CC18E1"/>
    <w:rsid w:val="00CC231A"/>
    <w:rsid w:val="00CC2989"/>
    <w:rsid w:val="00CC2EFE"/>
    <w:rsid w:val="00CC31E6"/>
    <w:rsid w:val="00CC363D"/>
    <w:rsid w:val="00CC3901"/>
    <w:rsid w:val="00CC3E9C"/>
    <w:rsid w:val="00CC4866"/>
    <w:rsid w:val="00CC4F08"/>
    <w:rsid w:val="00CC51FA"/>
    <w:rsid w:val="00CC59EA"/>
    <w:rsid w:val="00CC60B6"/>
    <w:rsid w:val="00CC647E"/>
    <w:rsid w:val="00CC64F0"/>
    <w:rsid w:val="00CC6678"/>
    <w:rsid w:val="00CC6ACE"/>
    <w:rsid w:val="00CC6BCF"/>
    <w:rsid w:val="00CC7B13"/>
    <w:rsid w:val="00CC7DDD"/>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D8E"/>
    <w:rsid w:val="00D07072"/>
    <w:rsid w:val="00D075AB"/>
    <w:rsid w:val="00D1047C"/>
    <w:rsid w:val="00D1060C"/>
    <w:rsid w:val="00D10871"/>
    <w:rsid w:val="00D10BEC"/>
    <w:rsid w:val="00D10EC8"/>
    <w:rsid w:val="00D1189D"/>
    <w:rsid w:val="00D130A4"/>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FEA"/>
    <w:rsid w:val="00D271A6"/>
    <w:rsid w:val="00D27410"/>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4CF"/>
    <w:rsid w:val="00D747F6"/>
    <w:rsid w:val="00D74881"/>
    <w:rsid w:val="00D75BD8"/>
    <w:rsid w:val="00D75CB5"/>
    <w:rsid w:val="00D76297"/>
    <w:rsid w:val="00D76B18"/>
    <w:rsid w:val="00D76C08"/>
    <w:rsid w:val="00D76F5E"/>
    <w:rsid w:val="00D804C5"/>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662E"/>
    <w:rsid w:val="00DA6660"/>
    <w:rsid w:val="00DA7497"/>
    <w:rsid w:val="00DA77D9"/>
    <w:rsid w:val="00DA7CED"/>
    <w:rsid w:val="00DB0135"/>
    <w:rsid w:val="00DB1325"/>
    <w:rsid w:val="00DB1963"/>
    <w:rsid w:val="00DB1F54"/>
    <w:rsid w:val="00DB25AA"/>
    <w:rsid w:val="00DB2D42"/>
    <w:rsid w:val="00DB2F02"/>
    <w:rsid w:val="00DB32F6"/>
    <w:rsid w:val="00DB3E5B"/>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BB2"/>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5E7F"/>
    <w:rsid w:val="00E3672C"/>
    <w:rsid w:val="00E4042B"/>
    <w:rsid w:val="00E40FE4"/>
    <w:rsid w:val="00E41142"/>
    <w:rsid w:val="00E42EDD"/>
    <w:rsid w:val="00E4375C"/>
    <w:rsid w:val="00E43EE6"/>
    <w:rsid w:val="00E4455A"/>
    <w:rsid w:val="00E45C02"/>
    <w:rsid w:val="00E472D9"/>
    <w:rsid w:val="00E47B77"/>
    <w:rsid w:val="00E47BFA"/>
    <w:rsid w:val="00E47EAE"/>
    <w:rsid w:val="00E5097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507"/>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A7EE2"/>
    <w:rsid w:val="00EB0EB9"/>
    <w:rsid w:val="00EB100C"/>
    <w:rsid w:val="00EB326E"/>
    <w:rsid w:val="00EB34A0"/>
    <w:rsid w:val="00EB34E8"/>
    <w:rsid w:val="00EB34FD"/>
    <w:rsid w:val="00EB4378"/>
    <w:rsid w:val="00EB44E7"/>
    <w:rsid w:val="00EB4797"/>
    <w:rsid w:val="00EB4870"/>
    <w:rsid w:val="00EB51C4"/>
    <w:rsid w:val="00EB63D3"/>
    <w:rsid w:val="00EB6FFB"/>
    <w:rsid w:val="00EC0302"/>
    <w:rsid w:val="00EC15E6"/>
    <w:rsid w:val="00EC23D0"/>
    <w:rsid w:val="00EC2D10"/>
    <w:rsid w:val="00EC2F4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5B07"/>
    <w:rsid w:val="00ED5F8C"/>
    <w:rsid w:val="00ED6119"/>
    <w:rsid w:val="00ED7C2B"/>
    <w:rsid w:val="00EE005E"/>
    <w:rsid w:val="00EE0AC8"/>
    <w:rsid w:val="00EE0C63"/>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873"/>
    <w:rsid w:val="00F108CC"/>
    <w:rsid w:val="00F109E9"/>
    <w:rsid w:val="00F12771"/>
    <w:rsid w:val="00F12E26"/>
    <w:rsid w:val="00F135E1"/>
    <w:rsid w:val="00F1476E"/>
    <w:rsid w:val="00F14788"/>
    <w:rsid w:val="00F14A80"/>
    <w:rsid w:val="00F14CB6"/>
    <w:rsid w:val="00F156AA"/>
    <w:rsid w:val="00F15DFD"/>
    <w:rsid w:val="00F167E2"/>
    <w:rsid w:val="00F205F6"/>
    <w:rsid w:val="00F20BB9"/>
    <w:rsid w:val="00F22107"/>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0BF"/>
    <w:rsid w:val="00F4133C"/>
    <w:rsid w:val="00F413AB"/>
    <w:rsid w:val="00F415C5"/>
    <w:rsid w:val="00F42AEB"/>
    <w:rsid w:val="00F42F2A"/>
    <w:rsid w:val="00F43E37"/>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10D3"/>
    <w:rsid w:val="00F71C26"/>
    <w:rsid w:val="00F71CB6"/>
    <w:rsid w:val="00F733D4"/>
    <w:rsid w:val="00F74665"/>
    <w:rsid w:val="00F749AC"/>
    <w:rsid w:val="00F76537"/>
    <w:rsid w:val="00F76A92"/>
    <w:rsid w:val="00F80AA8"/>
    <w:rsid w:val="00F80FF6"/>
    <w:rsid w:val="00F81C66"/>
    <w:rsid w:val="00F81EA1"/>
    <w:rsid w:val="00F822C3"/>
    <w:rsid w:val="00F83132"/>
    <w:rsid w:val="00F844C1"/>
    <w:rsid w:val="00F84714"/>
    <w:rsid w:val="00F84CA3"/>
    <w:rsid w:val="00F85392"/>
    <w:rsid w:val="00F853EA"/>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B1C33"/>
    <w:rsid w:val="00FB1FB4"/>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2328"/>
    <w:rsid w:val="00FE2A44"/>
    <w:rsid w:val="00FE2CAE"/>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 w:val="00FF6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7752442">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757625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637072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4.bin"/><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Word_Document5.docx"/><Relationship Id="rId32" Type="http://schemas.openxmlformats.org/officeDocument/2006/relationships/package" Target="embeddings/Microsoft_Word_Document7.docx"/><Relationship Id="rId37" Type="http://schemas.openxmlformats.org/officeDocument/2006/relationships/oleObject" Target="embeddings/oleObject5.bin"/><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2.bin"/><Relationship Id="rId36"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oleObject" Target="embeddings/oleObject3.bin"/><Relationship Id="rId35" Type="http://schemas.openxmlformats.org/officeDocument/2006/relationships/hyperlink" Target="/paym/intro/governance/shared/pdf/ami_seco_mandate.pdf"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A9A90-37E1-423C-85DC-E983564F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12</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22236</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61</cp:revision>
  <cp:lastPrinted>2017-10-19T12:45:00Z</cp:lastPrinted>
  <dcterms:created xsi:type="dcterms:W3CDTF">2018-11-05T11:08:00Z</dcterms:created>
  <dcterms:modified xsi:type="dcterms:W3CDTF">2018-11-06T15:55:00Z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