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03" w:rsidRPr="007A69C8" w:rsidRDefault="00AF4018" w:rsidP="00592037">
      <w:pP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45.5pt;margin-top:-16.5pt;width:296pt;height:222pt;z-index:251657728">
            <v:imagedata r:id="rId8" o:title="SMPG2"/>
            <w10:wrap type="topAndBottom"/>
          </v:shape>
        </w:pict>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652BA8" w:rsidP="00592037">
      <w:pPr>
        <w:pStyle w:val="Header"/>
        <w:rPr>
          <w:lang w:val="en-GB"/>
        </w:rPr>
      </w:pPr>
      <w:r>
        <w:rPr>
          <w:lang w:val="en-GB"/>
        </w:rPr>
        <w:t>Telephone Conference</w:t>
      </w:r>
      <w:r w:rsidR="0057492E">
        <w:rPr>
          <w:lang w:val="en-GB"/>
        </w:rPr>
        <w:t xml:space="preserve"> </w:t>
      </w:r>
      <w:r>
        <w:rPr>
          <w:lang w:val="en-GB"/>
        </w:rPr>
        <w:t>Minutes</w:t>
      </w:r>
    </w:p>
    <w:p w:rsidR="00AB6103" w:rsidRPr="007A69C8" w:rsidRDefault="00CF6406" w:rsidP="00592037">
      <w:pPr>
        <w:pStyle w:val="Header"/>
        <w:rPr>
          <w:lang w:val="en-GB"/>
        </w:rPr>
      </w:pPr>
      <w:r>
        <w:rPr>
          <w:lang w:val="en-GB"/>
        </w:rPr>
        <w:t>23</w:t>
      </w:r>
      <w:r w:rsidR="00652BA8">
        <w:rPr>
          <w:lang w:val="en-GB"/>
        </w:rPr>
        <w:t xml:space="preserve"> </w:t>
      </w:r>
      <w:r>
        <w:rPr>
          <w:lang w:val="en-GB"/>
        </w:rPr>
        <w:t>May</w:t>
      </w:r>
      <w:r w:rsidR="00B20795">
        <w:rPr>
          <w:lang w:val="en-GB"/>
        </w:rPr>
        <w:t xml:space="preserve"> 201</w:t>
      </w:r>
      <w:r w:rsidR="00567EB8">
        <w:rPr>
          <w:lang w:val="en-GB"/>
        </w:rPr>
        <w:t>2</w:t>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57492E" w:rsidRDefault="007A08A5" w:rsidP="00141100">
      <w:pPr>
        <w:tabs>
          <w:tab w:val="left" w:pos="3690"/>
        </w:tabs>
        <w:rPr>
          <w:lang w:val="en-GB"/>
        </w:rPr>
        <w:sectPr w:rsidR="00AB6103" w:rsidRPr="0057492E">
          <w:footerReference w:type="even" r:id="rId9"/>
          <w:footerReference w:type="default" r:id="rId10"/>
          <w:pgSz w:w="12240" w:h="15840"/>
          <w:pgMar w:top="1106" w:right="1800" w:bottom="1440" w:left="1800" w:header="720" w:footer="720" w:gutter="0"/>
          <w:cols w:space="720"/>
          <w:docGrid w:linePitch="360"/>
        </w:sectPr>
      </w:pPr>
      <w:bookmarkStart w:id="0" w:name="_Toc54501830"/>
      <w:r>
        <w:rPr>
          <w:lang w:val="en-GB"/>
        </w:rPr>
        <w:t>Draft</w:t>
      </w:r>
      <w:r w:rsidR="00BB670F">
        <w:rPr>
          <w:lang w:val="en-GB"/>
        </w:rPr>
        <w:t xml:space="preserve"> Version</w:t>
      </w:r>
      <w:r w:rsidR="00BB670F" w:rsidRPr="0057492E">
        <w:rPr>
          <w:lang w:val="en-GB"/>
        </w:rPr>
        <w:t xml:space="preserve">  </w:t>
      </w:r>
      <w:r w:rsidR="0076568D" w:rsidRPr="0057492E">
        <w:rPr>
          <w:lang w:val="en-GB"/>
        </w:rPr>
        <w:t>v</w:t>
      </w:r>
      <w:r w:rsidR="00CF6406">
        <w:rPr>
          <w:lang w:val="en-GB"/>
        </w:rPr>
        <w:t>0.1</w:t>
      </w:r>
      <w:r w:rsidR="008179FB">
        <w:rPr>
          <w:lang w:val="en-GB"/>
        </w:rPr>
        <w:t xml:space="preserve"> –</w:t>
      </w:r>
      <w:r w:rsidR="0004321D">
        <w:rPr>
          <w:lang w:val="en-GB"/>
        </w:rPr>
        <w:t xml:space="preserve"> </w:t>
      </w:r>
      <w:r w:rsidR="00CF6406">
        <w:rPr>
          <w:lang w:val="en-GB"/>
        </w:rPr>
        <w:t>June</w:t>
      </w:r>
      <w:r w:rsidR="00CF5C49">
        <w:rPr>
          <w:lang w:val="en-GB"/>
        </w:rPr>
        <w:t xml:space="preserve"> </w:t>
      </w:r>
      <w:r w:rsidR="00CF6406">
        <w:rPr>
          <w:lang w:val="en-GB"/>
        </w:rPr>
        <w:t>6</w:t>
      </w:r>
      <w:r w:rsidR="00567EB8">
        <w:rPr>
          <w:lang w:val="en-GB"/>
        </w:rPr>
        <w:t>, 2012</w:t>
      </w:r>
    </w:p>
    <w:p w:rsidR="00AB6103" w:rsidRPr="007A69C8" w:rsidRDefault="00E81D81" w:rsidP="00592037">
      <w:pPr>
        <w:pStyle w:val="Title1"/>
      </w:pPr>
      <w:r>
        <w:lastRenderedPageBreak/>
        <w:t>Table of Contents</w:t>
      </w:r>
    </w:p>
    <w:p w:rsidR="00A1598F" w:rsidRDefault="00AF4018">
      <w:pPr>
        <w:pStyle w:val="TOC1"/>
        <w:rPr>
          <w:rFonts w:asciiTheme="minorHAnsi" w:eastAsiaTheme="minorEastAsia" w:hAnsiTheme="minorHAnsi" w:cstheme="minorBidi"/>
          <w:b w:val="0"/>
          <w:bCs w:val="0"/>
          <w:sz w:val="22"/>
          <w:szCs w:val="22"/>
          <w:lang w:val="en-GB" w:eastAsia="en-GB"/>
        </w:rPr>
      </w:pPr>
      <w:r w:rsidRPr="00AF4018">
        <w:fldChar w:fldCharType="begin"/>
      </w:r>
      <w:r w:rsidR="00C26716">
        <w:instrText xml:space="preserve"> TOC \o "1-3" \h \z \u </w:instrText>
      </w:r>
      <w:r w:rsidRPr="00AF4018">
        <w:fldChar w:fldCharType="separate"/>
      </w:r>
      <w:hyperlink w:anchor="_Toc326775201" w:history="1">
        <w:r w:rsidR="00A1598F" w:rsidRPr="00CB6FC0">
          <w:rPr>
            <w:rStyle w:val="Hyperlink"/>
          </w:rPr>
          <w:t>1.</w:t>
        </w:r>
        <w:r w:rsidR="00A1598F">
          <w:rPr>
            <w:rFonts w:asciiTheme="minorHAnsi" w:eastAsiaTheme="minorEastAsia" w:hAnsiTheme="minorHAnsi" w:cstheme="minorBidi"/>
            <w:b w:val="0"/>
            <w:bCs w:val="0"/>
            <w:sz w:val="22"/>
            <w:szCs w:val="22"/>
            <w:lang w:val="en-GB" w:eastAsia="en-GB"/>
          </w:rPr>
          <w:tab/>
        </w:r>
        <w:r w:rsidR="00A1598F" w:rsidRPr="00CB6FC0">
          <w:rPr>
            <w:rStyle w:val="Hyperlink"/>
          </w:rPr>
          <w:t>CA 203 – EIG+ Date (review &amp; follow up NMPG inputs and related CR on INTP)</w:t>
        </w:r>
        <w:r w:rsidR="00A1598F">
          <w:rPr>
            <w:webHidden/>
          </w:rPr>
          <w:tab/>
        </w:r>
        <w:r w:rsidR="00A1598F">
          <w:rPr>
            <w:webHidden/>
          </w:rPr>
          <w:fldChar w:fldCharType="begin"/>
        </w:r>
        <w:r w:rsidR="00A1598F">
          <w:rPr>
            <w:webHidden/>
          </w:rPr>
          <w:instrText xml:space="preserve"> PAGEREF _Toc326775201 \h </w:instrText>
        </w:r>
        <w:r w:rsidR="00A1598F">
          <w:rPr>
            <w:webHidden/>
          </w:rPr>
        </w:r>
        <w:r w:rsidR="00A1598F">
          <w:rPr>
            <w:webHidden/>
          </w:rPr>
          <w:fldChar w:fldCharType="separate"/>
        </w:r>
        <w:r w:rsidR="00A1598F">
          <w:rPr>
            <w:webHidden/>
          </w:rPr>
          <w:t>4</w:t>
        </w:r>
        <w:r w:rsidR="00A1598F">
          <w:rPr>
            <w:webHidden/>
          </w:rPr>
          <w:fldChar w:fldCharType="end"/>
        </w:r>
      </w:hyperlink>
    </w:p>
    <w:p w:rsidR="00A1598F" w:rsidRDefault="00A1598F">
      <w:pPr>
        <w:pStyle w:val="TOC1"/>
        <w:rPr>
          <w:rFonts w:asciiTheme="minorHAnsi" w:eastAsiaTheme="minorEastAsia" w:hAnsiTheme="minorHAnsi" w:cstheme="minorBidi"/>
          <w:b w:val="0"/>
          <w:bCs w:val="0"/>
          <w:sz w:val="22"/>
          <w:szCs w:val="22"/>
          <w:lang w:val="en-GB" w:eastAsia="en-GB"/>
        </w:rPr>
      </w:pPr>
      <w:hyperlink w:anchor="_Toc326775202" w:history="1">
        <w:r w:rsidRPr="00CB6FC0">
          <w:rPr>
            <w:rStyle w:val="Hyperlink"/>
          </w:rPr>
          <w:t>2.</w:t>
        </w:r>
        <w:r>
          <w:rPr>
            <w:rFonts w:asciiTheme="minorHAnsi" w:eastAsiaTheme="minorEastAsia" w:hAnsiTheme="minorHAnsi" w:cstheme="minorBidi"/>
            <w:b w:val="0"/>
            <w:bCs w:val="0"/>
            <w:sz w:val="22"/>
            <w:szCs w:val="22"/>
            <w:lang w:val="en-GB" w:eastAsia="en-GB"/>
          </w:rPr>
          <w:tab/>
        </w:r>
        <w:r w:rsidRPr="00CB6FC0">
          <w:rPr>
            <w:rStyle w:val="Hyperlink"/>
          </w:rPr>
          <w:t>CA 194 – Reinvestment of Fund Cash Distribution (REIN) Code (UK CR review)</w:t>
        </w:r>
        <w:r>
          <w:rPr>
            <w:webHidden/>
          </w:rPr>
          <w:tab/>
        </w:r>
        <w:r>
          <w:rPr>
            <w:webHidden/>
          </w:rPr>
          <w:fldChar w:fldCharType="begin"/>
        </w:r>
        <w:r>
          <w:rPr>
            <w:webHidden/>
          </w:rPr>
          <w:instrText xml:space="preserve"> PAGEREF _Toc326775202 \h </w:instrText>
        </w:r>
        <w:r>
          <w:rPr>
            <w:webHidden/>
          </w:rPr>
        </w:r>
        <w:r>
          <w:rPr>
            <w:webHidden/>
          </w:rPr>
          <w:fldChar w:fldCharType="separate"/>
        </w:r>
        <w:r>
          <w:rPr>
            <w:webHidden/>
          </w:rPr>
          <w:t>4</w:t>
        </w:r>
        <w:r>
          <w:rPr>
            <w:webHidden/>
          </w:rPr>
          <w:fldChar w:fldCharType="end"/>
        </w:r>
      </w:hyperlink>
    </w:p>
    <w:p w:rsidR="00A1598F" w:rsidRDefault="00A1598F">
      <w:pPr>
        <w:pStyle w:val="TOC1"/>
        <w:rPr>
          <w:rFonts w:asciiTheme="minorHAnsi" w:eastAsiaTheme="minorEastAsia" w:hAnsiTheme="minorHAnsi" w:cstheme="minorBidi"/>
          <w:b w:val="0"/>
          <w:bCs w:val="0"/>
          <w:sz w:val="22"/>
          <w:szCs w:val="22"/>
          <w:lang w:val="en-GB" w:eastAsia="en-GB"/>
        </w:rPr>
      </w:pPr>
      <w:hyperlink w:anchor="_Toc326775203" w:history="1">
        <w:r w:rsidRPr="00CB6FC0">
          <w:rPr>
            <w:rStyle w:val="Hyperlink"/>
          </w:rPr>
          <w:t>3.</w:t>
        </w:r>
        <w:r>
          <w:rPr>
            <w:rFonts w:asciiTheme="minorHAnsi" w:eastAsiaTheme="minorEastAsia" w:hAnsiTheme="minorHAnsi" w:cstheme="minorBidi"/>
            <w:b w:val="0"/>
            <w:bCs w:val="0"/>
            <w:sz w:val="22"/>
            <w:szCs w:val="22"/>
            <w:lang w:val="en-GB" w:eastAsia="en-GB"/>
          </w:rPr>
          <w:tab/>
        </w:r>
        <w:r w:rsidRPr="00CB6FC0">
          <w:rPr>
            <w:rStyle w:val="Hyperlink"/>
          </w:rPr>
          <w:t>CA 223 - MT 56X - New Event Type for Partial Redemption in Pro-Rata (CR review)</w:t>
        </w:r>
        <w:r>
          <w:rPr>
            <w:webHidden/>
          </w:rPr>
          <w:tab/>
        </w:r>
        <w:r>
          <w:rPr>
            <w:webHidden/>
          </w:rPr>
          <w:fldChar w:fldCharType="begin"/>
        </w:r>
        <w:r>
          <w:rPr>
            <w:webHidden/>
          </w:rPr>
          <w:instrText xml:space="preserve"> PAGEREF _Toc326775203 \h </w:instrText>
        </w:r>
        <w:r>
          <w:rPr>
            <w:webHidden/>
          </w:rPr>
        </w:r>
        <w:r>
          <w:rPr>
            <w:webHidden/>
          </w:rPr>
          <w:fldChar w:fldCharType="separate"/>
        </w:r>
        <w:r>
          <w:rPr>
            <w:webHidden/>
          </w:rPr>
          <w:t>4</w:t>
        </w:r>
        <w:r>
          <w:rPr>
            <w:webHidden/>
          </w:rPr>
          <w:fldChar w:fldCharType="end"/>
        </w:r>
      </w:hyperlink>
    </w:p>
    <w:p w:rsidR="00A1598F" w:rsidRDefault="00A1598F">
      <w:pPr>
        <w:pStyle w:val="TOC1"/>
        <w:rPr>
          <w:rFonts w:asciiTheme="minorHAnsi" w:eastAsiaTheme="minorEastAsia" w:hAnsiTheme="minorHAnsi" w:cstheme="minorBidi"/>
          <w:b w:val="0"/>
          <w:bCs w:val="0"/>
          <w:sz w:val="22"/>
          <w:szCs w:val="22"/>
          <w:lang w:val="en-GB" w:eastAsia="en-GB"/>
        </w:rPr>
      </w:pPr>
      <w:hyperlink w:anchor="_Toc326775204" w:history="1">
        <w:r w:rsidRPr="00CB6FC0">
          <w:rPr>
            <w:rStyle w:val="Hyperlink"/>
          </w:rPr>
          <w:t>4.</w:t>
        </w:r>
        <w:r>
          <w:rPr>
            <w:rFonts w:asciiTheme="minorHAnsi" w:eastAsiaTheme="minorEastAsia" w:hAnsiTheme="minorHAnsi" w:cstheme="minorBidi"/>
            <w:b w:val="0"/>
            <w:bCs w:val="0"/>
            <w:sz w:val="22"/>
            <w:szCs w:val="22"/>
            <w:lang w:val="en-GB" w:eastAsia="en-GB"/>
          </w:rPr>
          <w:tab/>
        </w:r>
        <w:r w:rsidRPr="00CB6FC0">
          <w:rPr>
            <w:rStyle w:val="Hyperlink"/>
          </w:rPr>
          <w:t>CA 224 - MT 56X - New Event Type INFO &amp; new INFO Indicator (CR review)</w:t>
        </w:r>
        <w:r>
          <w:rPr>
            <w:webHidden/>
          </w:rPr>
          <w:tab/>
        </w:r>
        <w:r>
          <w:rPr>
            <w:webHidden/>
          </w:rPr>
          <w:fldChar w:fldCharType="begin"/>
        </w:r>
        <w:r>
          <w:rPr>
            <w:webHidden/>
          </w:rPr>
          <w:instrText xml:space="preserve"> PAGEREF _Toc326775204 \h </w:instrText>
        </w:r>
        <w:r>
          <w:rPr>
            <w:webHidden/>
          </w:rPr>
        </w:r>
        <w:r>
          <w:rPr>
            <w:webHidden/>
          </w:rPr>
          <w:fldChar w:fldCharType="separate"/>
        </w:r>
        <w:r>
          <w:rPr>
            <w:webHidden/>
          </w:rPr>
          <w:t>5</w:t>
        </w:r>
        <w:r>
          <w:rPr>
            <w:webHidden/>
          </w:rPr>
          <w:fldChar w:fldCharType="end"/>
        </w:r>
      </w:hyperlink>
    </w:p>
    <w:p w:rsidR="00A1598F" w:rsidRDefault="00A1598F">
      <w:pPr>
        <w:pStyle w:val="TOC1"/>
        <w:rPr>
          <w:rFonts w:asciiTheme="minorHAnsi" w:eastAsiaTheme="minorEastAsia" w:hAnsiTheme="minorHAnsi" w:cstheme="minorBidi"/>
          <w:b w:val="0"/>
          <w:bCs w:val="0"/>
          <w:sz w:val="22"/>
          <w:szCs w:val="22"/>
          <w:lang w:val="en-GB" w:eastAsia="en-GB"/>
        </w:rPr>
      </w:pPr>
      <w:hyperlink w:anchor="_Toc326775205" w:history="1">
        <w:r w:rsidRPr="00CB6FC0">
          <w:rPr>
            <w:rStyle w:val="Hyperlink"/>
          </w:rPr>
          <w:t>5.</w:t>
        </w:r>
        <w:r>
          <w:rPr>
            <w:rFonts w:asciiTheme="minorHAnsi" w:eastAsiaTheme="minorEastAsia" w:hAnsiTheme="minorHAnsi" w:cstheme="minorBidi"/>
            <w:b w:val="0"/>
            <w:bCs w:val="0"/>
            <w:sz w:val="22"/>
            <w:szCs w:val="22"/>
            <w:lang w:val="en-GB" w:eastAsia="en-GB"/>
          </w:rPr>
          <w:tab/>
        </w:r>
        <w:r w:rsidRPr="00CB6FC0">
          <w:rPr>
            <w:rStyle w:val="Hyperlink"/>
          </w:rPr>
          <w:t>CA 225 – MT 565 - Add Option Features, Rates and Narrative &amp; Remove OFFR (NMPG Feedback)</w:t>
        </w:r>
        <w:r>
          <w:rPr>
            <w:webHidden/>
          </w:rPr>
          <w:tab/>
        </w:r>
        <w:r>
          <w:rPr>
            <w:webHidden/>
          </w:rPr>
          <w:fldChar w:fldCharType="begin"/>
        </w:r>
        <w:r>
          <w:rPr>
            <w:webHidden/>
          </w:rPr>
          <w:instrText xml:space="preserve"> PAGEREF _Toc326775205 \h </w:instrText>
        </w:r>
        <w:r>
          <w:rPr>
            <w:webHidden/>
          </w:rPr>
        </w:r>
        <w:r>
          <w:rPr>
            <w:webHidden/>
          </w:rPr>
          <w:fldChar w:fldCharType="separate"/>
        </w:r>
        <w:r>
          <w:rPr>
            <w:webHidden/>
          </w:rPr>
          <w:t>5</w:t>
        </w:r>
        <w:r>
          <w:rPr>
            <w:webHidden/>
          </w:rPr>
          <w:fldChar w:fldCharType="end"/>
        </w:r>
      </w:hyperlink>
    </w:p>
    <w:p w:rsidR="00A1598F" w:rsidRDefault="00A1598F">
      <w:pPr>
        <w:pStyle w:val="TOC1"/>
        <w:rPr>
          <w:rFonts w:asciiTheme="minorHAnsi" w:eastAsiaTheme="minorEastAsia" w:hAnsiTheme="minorHAnsi" w:cstheme="minorBidi"/>
          <w:b w:val="0"/>
          <w:bCs w:val="0"/>
          <w:sz w:val="22"/>
          <w:szCs w:val="22"/>
          <w:lang w:val="en-GB" w:eastAsia="en-GB"/>
        </w:rPr>
      </w:pPr>
      <w:hyperlink w:anchor="_Toc326775206" w:history="1">
        <w:r w:rsidRPr="00CB6FC0">
          <w:rPr>
            <w:rStyle w:val="Hyperlink"/>
          </w:rPr>
          <w:t>6.</w:t>
        </w:r>
        <w:r>
          <w:rPr>
            <w:rFonts w:asciiTheme="minorHAnsi" w:eastAsiaTheme="minorEastAsia" w:hAnsiTheme="minorHAnsi" w:cstheme="minorBidi"/>
            <w:b w:val="0"/>
            <w:bCs w:val="0"/>
            <w:sz w:val="22"/>
            <w:szCs w:val="22"/>
            <w:lang w:val="en-GB" w:eastAsia="en-GB"/>
          </w:rPr>
          <w:tab/>
        </w:r>
        <w:r w:rsidRPr="00CB6FC0">
          <w:rPr>
            <w:rStyle w:val="Hyperlink"/>
          </w:rPr>
          <w:t>CA 226 – Disclosure (DSCL) event  (CR review) NMPG feedback</w:t>
        </w:r>
        <w:r>
          <w:rPr>
            <w:webHidden/>
          </w:rPr>
          <w:tab/>
        </w:r>
        <w:r>
          <w:rPr>
            <w:webHidden/>
          </w:rPr>
          <w:fldChar w:fldCharType="begin"/>
        </w:r>
        <w:r>
          <w:rPr>
            <w:webHidden/>
          </w:rPr>
          <w:instrText xml:space="preserve"> PAGEREF _Toc326775206 \h </w:instrText>
        </w:r>
        <w:r>
          <w:rPr>
            <w:webHidden/>
          </w:rPr>
        </w:r>
        <w:r>
          <w:rPr>
            <w:webHidden/>
          </w:rPr>
          <w:fldChar w:fldCharType="separate"/>
        </w:r>
        <w:r>
          <w:rPr>
            <w:webHidden/>
          </w:rPr>
          <w:t>6</w:t>
        </w:r>
        <w:r>
          <w:rPr>
            <w:webHidden/>
          </w:rPr>
          <w:fldChar w:fldCharType="end"/>
        </w:r>
      </w:hyperlink>
    </w:p>
    <w:p w:rsidR="00A1598F" w:rsidRDefault="00A1598F">
      <w:pPr>
        <w:pStyle w:val="TOC1"/>
        <w:rPr>
          <w:rFonts w:asciiTheme="minorHAnsi" w:eastAsiaTheme="minorEastAsia" w:hAnsiTheme="minorHAnsi" w:cstheme="minorBidi"/>
          <w:b w:val="0"/>
          <w:bCs w:val="0"/>
          <w:sz w:val="22"/>
          <w:szCs w:val="22"/>
          <w:lang w:val="en-GB" w:eastAsia="en-GB"/>
        </w:rPr>
      </w:pPr>
      <w:hyperlink w:anchor="_Toc326775207" w:history="1">
        <w:r w:rsidRPr="00CB6FC0">
          <w:rPr>
            <w:rStyle w:val="Hyperlink"/>
          </w:rPr>
          <w:t>7.</w:t>
        </w:r>
        <w:r>
          <w:rPr>
            <w:rFonts w:asciiTheme="minorHAnsi" w:eastAsiaTheme="minorEastAsia" w:hAnsiTheme="minorHAnsi" w:cstheme="minorBidi"/>
            <w:b w:val="0"/>
            <w:bCs w:val="0"/>
            <w:sz w:val="22"/>
            <w:szCs w:val="22"/>
            <w:lang w:val="en-GB" w:eastAsia="en-GB"/>
          </w:rPr>
          <w:tab/>
        </w:r>
        <w:r w:rsidRPr="00CB6FC0">
          <w:rPr>
            <w:rStyle w:val="Hyperlink"/>
          </w:rPr>
          <w:t>CA 230 – SOFE and INCE redundancy (CR review)</w:t>
        </w:r>
        <w:r>
          <w:rPr>
            <w:webHidden/>
          </w:rPr>
          <w:tab/>
        </w:r>
        <w:r>
          <w:rPr>
            <w:webHidden/>
          </w:rPr>
          <w:fldChar w:fldCharType="begin"/>
        </w:r>
        <w:r>
          <w:rPr>
            <w:webHidden/>
          </w:rPr>
          <w:instrText xml:space="preserve"> PAGEREF _Toc326775207 \h </w:instrText>
        </w:r>
        <w:r>
          <w:rPr>
            <w:webHidden/>
          </w:rPr>
        </w:r>
        <w:r>
          <w:rPr>
            <w:webHidden/>
          </w:rPr>
          <w:fldChar w:fldCharType="separate"/>
        </w:r>
        <w:r>
          <w:rPr>
            <w:webHidden/>
          </w:rPr>
          <w:t>6</w:t>
        </w:r>
        <w:r>
          <w:rPr>
            <w:webHidden/>
          </w:rPr>
          <w:fldChar w:fldCharType="end"/>
        </w:r>
      </w:hyperlink>
    </w:p>
    <w:p w:rsidR="00A1598F" w:rsidRDefault="00A1598F">
      <w:pPr>
        <w:pStyle w:val="TOC1"/>
        <w:rPr>
          <w:rFonts w:asciiTheme="minorHAnsi" w:eastAsiaTheme="minorEastAsia" w:hAnsiTheme="minorHAnsi" w:cstheme="minorBidi"/>
          <w:b w:val="0"/>
          <w:bCs w:val="0"/>
          <w:sz w:val="22"/>
          <w:szCs w:val="22"/>
          <w:lang w:val="en-GB" w:eastAsia="en-GB"/>
        </w:rPr>
      </w:pPr>
      <w:hyperlink w:anchor="_Toc326775208" w:history="1">
        <w:r w:rsidRPr="00CB6FC0">
          <w:rPr>
            <w:rStyle w:val="Hyperlink"/>
          </w:rPr>
          <w:t>8.</w:t>
        </w:r>
        <w:r>
          <w:rPr>
            <w:rFonts w:asciiTheme="minorHAnsi" w:eastAsiaTheme="minorEastAsia" w:hAnsiTheme="minorHAnsi" w:cstheme="minorBidi"/>
            <w:b w:val="0"/>
            <w:bCs w:val="0"/>
            <w:sz w:val="22"/>
            <w:szCs w:val="22"/>
            <w:lang w:val="en-GB" w:eastAsia="en-GB"/>
          </w:rPr>
          <w:tab/>
        </w:r>
        <w:r w:rsidRPr="00CB6FC0">
          <w:rPr>
            <w:rStyle w:val="Hyperlink"/>
          </w:rPr>
          <w:t>CA 234 – New MP for Unknown Proceeds and CAOS (Review)</w:t>
        </w:r>
        <w:r>
          <w:rPr>
            <w:webHidden/>
          </w:rPr>
          <w:tab/>
        </w:r>
        <w:r>
          <w:rPr>
            <w:webHidden/>
          </w:rPr>
          <w:fldChar w:fldCharType="begin"/>
        </w:r>
        <w:r>
          <w:rPr>
            <w:webHidden/>
          </w:rPr>
          <w:instrText xml:space="preserve"> PAGEREF _Toc326775208 \h </w:instrText>
        </w:r>
        <w:r>
          <w:rPr>
            <w:webHidden/>
          </w:rPr>
        </w:r>
        <w:r>
          <w:rPr>
            <w:webHidden/>
          </w:rPr>
          <w:fldChar w:fldCharType="separate"/>
        </w:r>
        <w:r>
          <w:rPr>
            <w:webHidden/>
          </w:rPr>
          <w:t>6</w:t>
        </w:r>
        <w:r>
          <w:rPr>
            <w:webHidden/>
          </w:rPr>
          <w:fldChar w:fldCharType="end"/>
        </w:r>
      </w:hyperlink>
    </w:p>
    <w:p w:rsidR="00A1598F" w:rsidRDefault="00A1598F">
      <w:pPr>
        <w:pStyle w:val="TOC1"/>
        <w:rPr>
          <w:rFonts w:asciiTheme="minorHAnsi" w:eastAsiaTheme="minorEastAsia" w:hAnsiTheme="minorHAnsi" w:cstheme="minorBidi"/>
          <w:b w:val="0"/>
          <w:bCs w:val="0"/>
          <w:sz w:val="22"/>
          <w:szCs w:val="22"/>
          <w:lang w:val="en-GB" w:eastAsia="en-GB"/>
        </w:rPr>
      </w:pPr>
      <w:hyperlink w:anchor="_Toc326775209" w:history="1">
        <w:r w:rsidRPr="00CB6FC0">
          <w:rPr>
            <w:rStyle w:val="Hyperlink"/>
            <w:rFonts w:cs="Palatino"/>
            <w:lang w:val="sv-SE"/>
          </w:rPr>
          <w:t>9.</w:t>
        </w:r>
        <w:r>
          <w:rPr>
            <w:rFonts w:asciiTheme="minorHAnsi" w:eastAsiaTheme="minorEastAsia" w:hAnsiTheme="minorHAnsi" w:cstheme="minorBidi"/>
            <w:b w:val="0"/>
            <w:bCs w:val="0"/>
            <w:sz w:val="22"/>
            <w:szCs w:val="22"/>
            <w:lang w:val="en-GB" w:eastAsia="en-GB"/>
          </w:rPr>
          <w:tab/>
        </w:r>
        <w:r w:rsidRPr="00CB6FC0">
          <w:rPr>
            <w:rStyle w:val="Hyperlink"/>
          </w:rPr>
          <w:t>CA 236 – Last Trading Date (CR Review)</w:t>
        </w:r>
        <w:r>
          <w:rPr>
            <w:webHidden/>
          </w:rPr>
          <w:tab/>
        </w:r>
        <w:r>
          <w:rPr>
            <w:webHidden/>
          </w:rPr>
          <w:fldChar w:fldCharType="begin"/>
        </w:r>
        <w:r>
          <w:rPr>
            <w:webHidden/>
          </w:rPr>
          <w:instrText xml:space="preserve"> PAGEREF _Toc326775209 \h </w:instrText>
        </w:r>
        <w:r>
          <w:rPr>
            <w:webHidden/>
          </w:rPr>
        </w:r>
        <w:r>
          <w:rPr>
            <w:webHidden/>
          </w:rPr>
          <w:fldChar w:fldCharType="separate"/>
        </w:r>
        <w:r>
          <w:rPr>
            <w:webHidden/>
          </w:rPr>
          <w:t>6</w:t>
        </w:r>
        <w:r>
          <w:rPr>
            <w:webHidden/>
          </w:rPr>
          <w:fldChar w:fldCharType="end"/>
        </w:r>
      </w:hyperlink>
    </w:p>
    <w:p w:rsidR="00A1598F" w:rsidRDefault="00A1598F">
      <w:pPr>
        <w:pStyle w:val="TOC1"/>
        <w:rPr>
          <w:rFonts w:asciiTheme="minorHAnsi" w:eastAsiaTheme="minorEastAsia" w:hAnsiTheme="minorHAnsi" w:cstheme="minorBidi"/>
          <w:b w:val="0"/>
          <w:bCs w:val="0"/>
          <w:sz w:val="22"/>
          <w:szCs w:val="22"/>
          <w:lang w:val="en-GB" w:eastAsia="en-GB"/>
        </w:rPr>
      </w:pPr>
      <w:hyperlink w:anchor="_Toc326775210" w:history="1">
        <w:r w:rsidRPr="00CB6FC0">
          <w:rPr>
            <w:rStyle w:val="Hyperlink"/>
          </w:rPr>
          <w:t>10.</w:t>
        </w:r>
        <w:r>
          <w:rPr>
            <w:rFonts w:asciiTheme="minorHAnsi" w:eastAsiaTheme="minorEastAsia" w:hAnsiTheme="minorHAnsi" w:cstheme="minorBidi"/>
            <w:b w:val="0"/>
            <w:bCs w:val="0"/>
            <w:sz w:val="22"/>
            <w:szCs w:val="22"/>
            <w:lang w:val="en-GB" w:eastAsia="en-GB"/>
          </w:rPr>
          <w:tab/>
        </w:r>
        <w:r w:rsidRPr="00CB6FC0">
          <w:rPr>
            <w:rStyle w:val="Hyperlink"/>
          </w:rPr>
          <w:t>IPRC//PACK CR</w:t>
        </w:r>
        <w:r>
          <w:rPr>
            <w:webHidden/>
          </w:rPr>
          <w:tab/>
        </w:r>
        <w:r>
          <w:rPr>
            <w:webHidden/>
          </w:rPr>
          <w:fldChar w:fldCharType="begin"/>
        </w:r>
        <w:r>
          <w:rPr>
            <w:webHidden/>
          </w:rPr>
          <w:instrText xml:space="preserve"> PAGEREF _Toc326775210 \h </w:instrText>
        </w:r>
        <w:r>
          <w:rPr>
            <w:webHidden/>
          </w:rPr>
        </w:r>
        <w:r>
          <w:rPr>
            <w:webHidden/>
          </w:rPr>
          <w:fldChar w:fldCharType="separate"/>
        </w:r>
        <w:r>
          <w:rPr>
            <w:webHidden/>
          </w:rPr>
          <w:t>7</w:t>
        </w:r>
        <w:r>
          <w:rPr>
            <w:webHidden/>
          </w:rPr>
          <w:fldChar w:fldCharType="end"/>
        </w:r>
      </w:hyperlink>
    </w:p>
    <w:p w:rsidR="00A1598F" w:rsidRDefault="00A1598F">
      <w:pPr>
        <w:pStyle w:val="TOC1"/>
        <w:rPr>
          <w:rFonts w:asciiTheme="minorHAnsi" w:eastAsiaTheme="minorEastAsia" w:hAnsiTheme="minorHAnsi" w:cstheme="minorBidi"/>
          <w:b w:val="0"/>
          <w:bCs w:val="0"/>
          <w:sz w:val="22"/>
          <w:szCs w:val="22"/>
          <w:lang w:val="en-GB" w:eastAsia="en-GB"/>
        </w:rPr>
      </w:pPr>
      <w:hyperlink w:anchor="_Toc326775211" w:history="1">
        <w:r w:rsidRPr="00CB6FC0">
          <w:rPr>
            <w:rStyle w:val="Hyperlink"/>
          </w:rPr>
          <w:t>11.</w:t>
        </w:r>
        <w:r>
          <w:rPr>
            <w:rFonts w:asciiTheme="minorHAnsi" w:eastAsiaTheme="minorEastAsia" w:hAnsiTheme="minorHAnsi" w:cstheme="minorBidi"/>
            <w:b w:val="0"/>
            <w:bCs w:val="0"/>
            <w:sz w:val="22"/>
            <w:szCs w:val="22"/>
            <w:lang w:val="en-GB" w:eastAsia="en-GB"/>
          </w:rPr>
          <w:tab/>
        </w:r>
        <w:r w:rsidRPr="00CB6FC0">
          <w:rPr>
            <w:rStyle w:val="Hyperlink"/>
          </w:rPr>
          <w:t>Next Conference Call</w:t>
        </w:r>
        <w:r>
          <w:rPr>
            <w:webHidden/>
          </w:rPr>
          <w:tab/>
        </w:r>
        <w:r>
          <w:rPr>
            <w:webHidden/>
          </w:rPr>
          <w:fldChar w:fldCharType="begin"/>
        </w:r>
        <w:r>
          <w:rPr>
            <w:webHidden/>
          </w:rPr>
          <w:instrText xml:space="preserve"> PAGEREF _Toc326775211 \h </w:instrText>
        </w:r>
        <w:r>
          <w:rPr>
            <w:webHidden/>
          </w:rPr>
        </w:r>
        <w:r>
          <w:rPr>
            <w:webHidden/>
          </w:rPr>
          <w:fldChar w:fldCharType="separate"/>
        </w:r>
        <w:r>
          <w:rPr>
            <w:webHidden/>
          </w:rPr>
          <w:t>7</w:t>
        </w:r>
        <w:r>
          <w:rPr>
            <w:webHidden/>
          </w:rPr>
          <w:fldChar w:fldCharType="end"/>
        </w:r>
      </w:hyperlink>
    </w:p>
    <w:p w:rsidR="00AB6103" w:rsidRDefault="00AF4018" w:rsidP="00D343DB">
      <w:pPr>
        <w:pStyle w:val="Title1"/>
        <w:tabs>
          <w:tab w:val="left" w:pos="450"/>
        </w:tabs>
      </w:pPr>
      <w:r>
        <w:fldChar w:fldCharType="end"/>
      </w:r>
      <w:r w:rsidR="00AB6103" w:rsidRPr="007A69C8">
        <w:br w:type="page"/>
      </w:r>
      <w:bookmarkStart w:id="1" w:name="OLE_LINK1"/>
      <w:bookmarkStart w:id="2" w:name="OLE_LINK2"/>
      <w:r w:rsidR="00AB6103" w:rsidRPr="00C11FA9">
        <w:lastRenderedPageBreak/>
        <w:t>Attendees</w:t>
      </w:r>
      <w:bookmarkEnd w:id="0"/>
    </w:p>
    <w:p w:rsidR="0057492E" w:rsidRDefault="0057492E" w:rsidP="00C26716">
      <w:pPr>
        <w:pStyle w:val="Title1"/>
      </w:pP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58"/>
        <w:gridCol w:w="1478"/>
        <w:gridCol w:w="2200"/>
        <w:gridCol w:w="1850"/>
        <w:gridCol w:w="3324"/>
      </w:tblGrid>
      <w:tr w:rsidR="00766510" w:rsidRPr="007A69C8" w:rsidTr="00107248">
        <w:tc>
          <w:tcPr>
            <w:tcW w:w="622" w:type="pct"/>
            <w:tcBorders>
              <w:top w:val="nil"/>
              <w:left w:val="nil"/>
              <w:bottom w:val="nil"/>
              <w:right w:val="single" w:sz="4" w:space="0" w:color="auto"/>
            </w:tcBorders>
            <w:shd w:val="clear" w:color="auto" w:fill="FFFFFF"/>
          </w:tcPr>
          <w:p w:rsidR="00766510" w:rsidRPr="007A69C8" w:rsidRDefault="00766510" w:rsidP="008C2942">
            <w:pPr>
              <w:spacing w:before="40" w:after="40"/>
              <w:rPr>
                <w:b/>
                <w:sz w:val="22"/>
                <w:lang w:val="en-GB"/>
              </w:rPr>
            </w:pPr>
          </w:p>
        </w:tc>
        <w:tc>
          <w:tcPr>
            <w:tcW w:w="731" w:type="pct"/>
            <w:tcBorders>
              <w:left w:val="single" w:sz="4" w:space="0" w:color="auto"/>
            </w:tcBorders>
            <w:shd w:val="clear" w:color="auto" w:fill="CCCCCC"/>
          </w:tcPr>
          <w:p w:rsidR="00766510" w:rsidRPr="007A69C8" w:rsidRDefault="00766510" w:rsidP="008C2942">
            <w:pPr>
              <w:spacing w:before="40" w:after="40"/>
              <w:rPr>
                <w:b/>
                <w:sz w:val="22"/>
                <w:lang w:val="en-GB"/>
              </w:rPr>
            </w:pPr>
            <w:r w:rsidRPr="007A69C8">
              <w:rPr>
                <w:b/>
                <w:sz w:val="22"/>
                <w:lang w:val="en-GB"/>
              </w:rPr>
              <w:t>Country</w:t>
            </w:r>
          </w:p>
        </w:tc>
        <w:tc>
          <w:tcPr>
            <w:tcW w:w="1088" w:type="pct"/>
            <w:shd w:val="clear" w:color="auto" w:fill="CCCCCC"/>
          </w:tcPr>
          <w:p w:rsidR="00766510" w:rsidRPr="007A69C8" w:rsidRDefault="00766510" w:rsidP="008C2942">
            <w:pPr>
              <w:spacing w:before="40" w:after="40"/>
              <w:rPr>
                <w:b/>
                <w:sz w:val="22"/>
                <w:lang w:val="en-GB"/>
              </w:rPr>
            </w:pPr>
            <w:r>
              <w:rPr>
                <w:b/>
                <w:sz w:val="22"/>
                <w:lang w:val="en-GB"/>
              </w:rPr>
              <w:t>First Name</w:t>
            </w:r>
          </w:p>
        </w:tc>
        <w:tc>
          <w:tcPr>
            <w:tcW w:w="915" w:type="pct"/>
            <w:shd w:val="clear" w:color="auto" w:fill="CCCCCC"/>
          </w:tcPr>
          <w:p w:rsidR="00766510" w:rsidRPr="007A69C8" w:rsidRDefault="00766510" w:rsidP="008C2942">
            <w:pPr>
              <w:spacing w:before="40" w:after="40"/>
              <w:rPr>
                <w:b/>
                <w:sz w:val="22"/>
                <w:lang w:val="en-GB"/>
              </w:rPr>
            </w:pPr>
            <w:r>
              <w:rPr>
                <w:b/>
                <w:sz w:val="22"/>
                <w:lang w:val="en-GB"/>
              </w:rPr>
              <w:t>Last Name</w:t>
            </w:r>
          </w:p>
        </w:tc>
        <w:tc>
          <w:tcPr>
            <w:tcW w:w="1644" w:type="pct"/>
            <w:shd w:val="clear" w:color="auto" w:fill="CCCCCC"/>
          </w:tcPr>
          <w:p w:rsidR="00766510" w:rsidRPr="007A69C8" w:rsidRDefault="00766510" w:rsidP="008C2942">
            <w:pPr>
              <w:spacing w:before="40" w:after="40"/>
              <w:rPr>
                <w:b/>
                <w:sz w:val="22"/>
                <w:lang w:val="en-GB"/>
              </w:rPr>
            </w:pPr>
            <w:r w:rsidRPr="007A69C8">
              <w:rPr>
                <w:b/>
                <w:sz w:val="22"/>
                <w:lang w:val="en-GB"/>
              </w:rPr>
              <w:t>Institution</w:t>
            </w:r>
          </w:p>
        </w:tc>
      </w:tr>
      <w:tr w:rsidR="00173FAC"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173FAC" w:rsidRPr="00445272" w:rsidRDefault="00173FAC"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173FAC" w:rsidRPr="00445272" w:rsidRDefault="008A574C" w:rsidP="008C2942">
            <w:pPr>
              <w:spacing w:before="40" w:after="40"/>
              <w:rPr>
                <w:sz w:val="22"/>
                <w:lang w:val="en-GB"/>
              </w:rPr>
            </w:pPr>
            <w:r w:rsidRPr="00445272">
              <w:rPr>
                <w:sz w:val="22"/>
                <w:lang w:val="en-GB"/>
              </w:rPr>
              <w:t>CH</w:t>
            </w:r>
          </w:p>
        </w:tc>
        <w:tc>
          <w:tcPr>
            <w:tcW w:w="1088" w:type="pct"/>
            <w:shd w:val="clear" w:color="auto" w:fill="FFFFFF" w:themeFill="background1"/>
          </w:tcPr>
          <w:p w:rsidR="00173FAC" w:rsidRPr="00445272" w:rsidRDefault="008A574C" w:rsidP="008C2942">
            <w:pPr>
              <w:spacing w:before="40" w:after="40"/>
              <w:rPr>
                <w:sz w:val="22"/>
                <w:lang w:val="en-GB"/>
              </w:rPr>
            </w:pPr>
            <w:r w:rsidRPr="00445272">
              <w:rPr>
                <w:sz w:val="22"/>
                <w:lang w:val="en-GB"/>
              </w:rPr>
              <w:t>Michael</w:t>
            </w:r>
          </w:p>
        </w:tc>
        <w:tc>
          <w:tcPr>
            <w:tcW w:w="915" w:type="pct"/>
            <w:shd w:val="clear" w:color="auto" w:fill="FFFFFF" w:themeFill="background1"/>
          </w:tcPr>
          <w:p w:rsidR="00173FAC" w:rsidRPr="00445272" w:rsidRDefault="008A574C" w:rsidP="008C2942">
            <w:pPr>
              <w:spacing w:before="40" w:after="40"/>
              <w:rPr>
                <w:sz w:val="22"/>
                <w:lang w:val="en-GB"/>
              </w:rPr>
            </w:pPr>
            <w:r w:rsidRPr="00445272">
              <w:rPr>
                <w:sz w:val="22"/>
                <w:lang w:val="en-GB"/>
              </w:rPr>
              <w:t>Blumer</w:t>
            </w:r>
          </w:p>
        </w:tc>
        <w:tc>
          <w:tcPr>
            <w:tcW w:w="1644" w:type="pct"/>
            <w:shd w:val="clear" w:color="auto" w:fill="FFFFFF" w:themeFill="background1"/>
          </w:tcPr>
          <w:p w:rsidR="00173FAC" w:rsidRPr="00445272" w:rsidRDefault="008A574C" w:rsidP="008C2942">
            <w:pPr>
              <w:spacing w:before="40" w:after="40"/>
              <w:rPr>
                <w:sz w:val="22"/>
                <w:lang w:val="en-GB"/>
              </w:rPr>
            </w:pPr>
            <w:r w:rsidRPr="00445272">
              <w:rPr>
                <w:sz w:val="22"/>
                <w:lang w:val="en-GB"/>
              </w:rPr>
              <w:t>Credit Suisse</w:t>
            </w:r>
          </w:p>
        </w:tc>
      </w:tr>
      <w:tr w:rsidR="00445272"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45272" w:rsidRPr="00445272" w:rsidRDefault="00445272"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445272" w:rsidRPr="00445272" w:rsidRDefault="00445272" w:rsidP="00E370F1">
            <w:pPr>
              <w:spacing w:before="40" w:after="40"/>
              <w:rPr>
                <w:sz w:val="22"/>
                <w:lang w:val="en-GB"/>
              </w:rPr>
            </w:pPr>
            <w:r w:rsidRPr="00445272">
              <w:rPr>
                <w:sz w:val="22"/>
                <w:lang w:val="en-GB"/>
              </w:rPr>
              <w:t>FI</w:t>
            </w:r>
          </w:p>
        </w:tc>
        <w:tc>
          <w:tcPr>
            <w:tcW w:w="1088" w:type="pct"/>
            <w:shd w:val="clear" w:color="auto" w:fill="FFFFFF" w:themeFill="background1"/>
          </w:tcPr>
          <w:p w:rsidR="00445272" w:rsidRPr="00445272" w:rsidRDefault="00445272" w:rsidP="00E370F1">
            <w:pPr>
              <w:spacing w:before="40" w:after="40"/>
              <w:rPr>
                <w:sz w:val="22"/>
                <w:lang w:val="en-GB"/>
              </w:rPr>
            </w:pPr>
            <w:r w:rsidRPr="00445272">
              <w:rPr>
                <w:sz w:val="22"/>
                <w:lang w:val="en-GB"/>
              </w:rPr>
              <w:t>Sari</w:t>
            </w:r>
          </w:p>
        </w:tc>
        <w:tc>
          <w:tcPr>
            <w:tcW w:w="915" w:type="pct"/>
            <w:shd w:val="clear" w:color="auto" w:fill="FFFFFF" w:themeFill="background1"/>
          </w:tcPr>
          <w:p w:rsidR="00445272" w:rsidRPr="00445272" w:rsidRDefault="00445272" w:rsidP="00E370F1">
            <w:pPr>
              <w:spacing w:before="40" w:after="40"/>
              <w:rPr>
                <w:sz w:val="22"/>
                <w:lang w:val="en-GB"/>
              </w:rPr>
            </w:pPr>
            <w:r w:rsidRPr="00445272">
              <w:rPr>
                <w:sz w:val="22"/>
                <w:lang w:val="en-GB"/>
              </w:rPr>
              <w:t>Rask</w:t>
            </w:r>
          </w:p>
        </w:tc>
        <w:tc>
          <w:tcPr>
            <w:tcW w:w="1644" w:type="pct"/>
            <w:shd w:val="clear" w:color="auto" w:fill="FFFFFF" w:themeFill="background1"/>
          </w:tcPr>
          <w:p w:rsidR="00445272" w:rsidRPr="00445272" w:rsidRDefault="00445272" w:rsidP="00E370F1">
            <w:pPr>
              <w:spacing w:before="40" w:after="40"/>
              <w:rPr>
                <w:sz w:val="22"/>
                <w:lang w:val="en-GB"/>
              </w:rPr>
            </w:pPr>
            <w:r w:rsidRPr="00445272">
              <w:rPr>
                <w:sz w:val="22"/>
                <w:lang w:val="en-GB"/>
              </w:rPr>
              <w:t>Nordea</w:t>
            </w:r>
          </w:p>
        </w:tc>
      </w:tr>
      <w:tr w:rsidR="00E370F1"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445272" w:rsidRDefault="00E370F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445272" w:rsidRDefault="00E370F1" w:rsidP="00E370F1">
            <w:pPr>
              <w:spacing w:before="40" w:after="40"/>
              <w:rPr>
                <w:sz w:val="22"/>
                <w:lang w:val="en-GB"/>
              </w:rPr>
            </w:pPr>
            <w:r w:rsidRPr="00445272">
              <w:rPr>
                <w:sz w:val="22"/>
                <w:lang w:val="en-GB"/>
              </w:rPr>
              <w:t>FR</w:t>
            </w:r>
          </w:p>
        </w:tc>
        <w:tc>
          <w:tcPr>
            <w:tcW w:w="1088" w:type="pct"/>
            <w:shd w:val="clear" w:color="auto" w:fill="FFFFFF" w:themeFill="background1"/>
          </w:tcPr>
          <w:p w:rsidR="00E370F1" w:rsidRPr="00445272" w:rsidRDefault="00E370F1" w:rsidP="00E370F1">
            <w:pPr>
              <w:spacing w:before="40" w:after="40"/>
              <w:rPr>
                <w:sz w:val="22"/>
                <w:lang w:val="en-GB"/>
              </w:rPr>
            </w:pPr>
            <w:r w:rsidRPr="00445272">
              <w:rPr>
                <w:sz w:val="22"/>
                <w:lang w:val="en-GB"/>
              </w:rPr>
              <w:t>Kimchi</w:t>
            </w:r>
          </w:p>
        </w:tc>
        <w:tc>
          <w:tcPr>
            <w:tcW w:w="915" w:type="pct"/>
            <w:shd w:val="clear" w:color="auto" w:fill="FFFFFF" w:themeFill="background1"/>
          </w:tcPr>
          <w:p w:rsidR="00E370F1" w:rsidRPr="00445272" w:rsidRDefault="00E370F1" w:rsidP="00E370F1">
            <w:pPr>
              <w:spacing w:before="40" w:after="40"/>
              <w:rPr>
                <w:sz w:val="22"/>
                <w:lang w:val="en-GB"/>
              </w:rPr>
            </w:pPr>
            <w:r w:rsidRPr="00445272">
              <w:rPr>
                <w:sz w:val="22"/>
                <w:lang w:val="en-GB"/>
              </w:rPr>
              <w:t>Phungtran</w:t>
            </w:r>
          </w:p>
        </w:tc>
        <w:tc>
          <w:tcPr>
            <w:tcW w:w="1644" w:type="pct"/>
            <w:shd w:val="clear" w:color="auto" w:fill="FFFFFF" w:themeFill="background1"/>
          </w:tcPr>
          <w:p w:rsidR="00E370F1" w:rsidRPr="00445272" w:rsidRDefault="00E370F1" w:rsidP="00E370F1">
            <w:pPr>
              <w:spacing w:before="40" w:after="40"/>
              <w:rPr>
                <w:sz w:val="22"/>
                <w:lang w:val="en-GB"/>
              </w:rPr>
            </w:pPr>
            <w:r w:rsidRPr="00445272">
              <w:rPr>
                <w:sz w:val="22"/>
                <w:lang w:val="en-GB"/>
              </w:rPr>
              <w:t>BNP Paribas</w:t>
            </w:r>
          </w:p>
        </w:tc>
      </w:tr>
      <w:tr w:rsidR="00E370F1"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445272" w:rsidRDefault="00E370F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445272" w:rsidRDefault="00E370F1" w:rsidP="008C2942">
            <w:pPr>
              <w:spacing w:before="40" w:after="40"/>
              <w:rPr>
                <w:sz w:val="22"/>
                <w:lang w:val="en-GB"/>
              </w:rPr>
            </w:pPr>
            <w:r w:rsidRPr="00445272">
              <w:rPr>
                <w:sz w:val="22"/>
                <w:lang w:val="en-GB"/>
              </w:rPr>
              <w:t>JP</w:t>
            </w:r>
          </w:p>
        </w:tc>
        <w:tc>
          <w:tcPr>
            <w:tcW w:w="1088" w:type="pct"/>
            <w:shd w:val="clear" w:color="auto" w:fill="FFFFFF" w:themeFill="background1"/>
          </w:tcPr>
          <w:p w:rsidR="00E370F1" w:rsidRPr="00445272" w:rsidRDefault="00E370F1" w:rsidP="008C2942">
            <w:pPr>
              <w:spacing w:before="40" w:after="40"/>
              <w:rPr>
                <w:sz w:val="22"/>
                <w:lang w:val="en-GB"/>
              </w:rPr>
            </w:pPr>
            <w:r w:rsidRPr="00445272">
              <w:rPr>
                <w:sz w:val="22"/>
                <w:lang w:val="en-GB"/>
              </w:rPr>
              <w:t>Ichiro</w:t>
            </w:r>
          </w:p>
        </w:tc>
        <w:tc>
          <w:tcPr>
            <w:tcW w:w="915" w:type="pct"/>
            <w:shd w:val="clear" w:color="auto" w:fill="FFFFFF" w:themeFill="background1"/>
          </w:tcPr>
          <w:p w:rsidR="00E370F1" w:rsidRPr="00445272" w:rsidRDefault="00E370F1" w:rsidP="008C2942">
            <w:pPr>
              <w:spacing w:before="40" w:after="40"/>
              <w:rPr>
                <w:sz w:val="22"/>
                <w:lang w:val="en-GB"/>
              </w:rPr>
            </w:pPr>
            <w:r w:rsidRPr="00445272">
              <w:rPr>
                <w:sz w:val="22"/>
                <w:lang w:val="en-GB"/>
              </w:rPr>
              <w:t>Yamamoto</w:t>
            </w:r>
          </w:p>
        </w:tc>
        <w:tc>
          <w:tcPr>
            <w:tcW w:w="1644" w:type="pct"/>
            <w:shd w:val="clear" w:color="auto" w:fill="FFFFFF" w:themeFill="background1"/>
          </w:tcPr>
          <w:p w:rsidR="00E370F1" w:rsidRPr="00445272" w:rsidRDefault="00E370F1" w:rsidP="008C2942">
            <w:pPr>
              <w:spacing w:before="40" w:after="40"/>
              <w:rPr>
                <w:sz w:val="22"/>
                <w:lang w:val="en-GB"/>
              </w:rPr>
            </w:pPr>
            <w:r w:rsidRPr="00445272">
              <w:rPr>
                <w:sz w:val="22"/>
                <w:lang w:val="en-GB"/>
              </w:rPr>
              <w:t>Mizuho</w:t>
            </w:r>
          </w:p>
        </w:tc>
      </w:tr>
      <w:tr w:rsidR="00E370F1" w:rsidRPr="00DD20C5" w:rsidTr="00425220">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445272" w:rsidRDefault="00E370F1" w:rsidP="008C2942">
            <w:pPr>
              <w:spacing w:before="40" w:after="40"/>
              <w:jc w:val="right"/>
              <w:rPr>
                <w:sz w:val="22"/>
                <w:lang w:val="en-GB"/>
              </w:rPr>
            </w:pPr>
            <w:r w:rsidRPr="00445272">
              <w:rPr>
                <w:sz w:val="22"/>
                <w:lang w:val="en-GB"/>
              </w:rPr>
              <w:t>Co-chair</w:t>
            </w:r>
          </w:p>
        </w:tc>
        <w:tc>
          <w:tcPr>
            <w:tcW w:w="731" w:type="pct"/>
            <w:tcBorders>
              <w:left w:val="single" w:sz="4" w:space="0" w:color="auto"/>
            </w:tcBorders>
            <w:shd w:val="clear" w:color="auto" w:fill="FFFFFF" w:themeFill="background1"/>
          </w:tcPr>
          <w:p w:rsidR="00E370F1" w:rsidRPr="00445272" w:rsidRDefault="00E370F1" w:rsidP="008C2942">
            <w:pPr>
              <w:spacing w:before="40" w:after="40"/>
              <w:rPr>
                <w:sz w:val="22"/>
                <w:lang w:val="en-GB"/>
              </w:rPr>
            </w:pPr>
            <w:r w:rsidRPr="00445272">
              <w:rPr>
                <w:sz w:val="22"/>
                <w:lang w:val="en-GB"/>
              </w:rPr>
              <w:t>LU</w:t>
            </w:r>
          </w:p>
        </w:tc>
        <w:tc>
          <w:tcPr>
            <w:tcW w:w="1088" w:type="pct"/>
            <w:shd w:val="clear" w:color="auto" w:fill="FFFFFF" w:themeFill="background1"/>
          </w:tcPr>
          <w:p w:rsidR="00E370F1" w:rsidRPr="00445272" w:rsidRDefault="00E370F1" w:rsidP="008C2942">
            <w:pPr>
              <w:spacing w:before="40" w:after="40"/>
              <w:rPr>
                <w:sz w:val="22"/>
                <w:lang w:val="en-GB"/>
              </w:rPr>
            </w:pPr>
            <w:r w:rsidRPr="00445272">
              <w:rPr>
                <w:sz w:val="22"/>
                <w:lang w:val="en-GB"/>
              </w:rPr>
              <w:t xml:space="preserve">Bernard </w:t>
            </w:r>
          </w:p>
        </w:tc>
        <w:tc>
          <w:tcPr>
            <w:tcW w:w="915" w:type="pct"/>
            <w:shd w:val="clear" w:color="auto" w:fill="FFFFFF" w:themeFill="background1"/>
          </w:tcPr>
          <w:p w:rsidR="00E370F1" w:rsidRPr="00445272" w:rsidRDefault="00E370F1" w:rsidP="008C2942">
            <w:pPr>
              <w:spacing w:before="40" w:after="40"/>
              <w:rPr>
                <w:sz w:val="22"/>
                <w:lang w:val="en-GB"/>
              </w:rPr>
            </w:pPr>
            <w:r w:rsidRPr="00445272">
              <w:rPr>
                <w:sz w:val="22"/>
                <w:lang w:val="en-GB"/>
              </w:rPr>
              <w:t>Lenelle</w:t>
            </w:r>
          </w:p>
        </w:tc>
        <w:tc>
          <w:tcPr>
            <w:tcW w:w="1644" w:type="pct"/>
            <w:shd w:val="clear" w:color="auto" w:fill="FFFFFF" w:themeFill="background1"/>
          </w:tcPr>
          <w:p w:rsidR="00E370F1" w:rsidRPr="00445272" w:rsidRDefault="00E370F1" w:rsidP="008C2942">
            <w:pPr>
              <w:spacing w:before="40" w:after="40"/>
              <w:rPr>
                <w:sz w:val="22"/>
                <w:lang w:val="en-GB"/>
              </w:rPr>
            </w:pPr>
            <w:r w:rsidRPr="00445272">
              <w:rPr>
                <w:sz w:val="22"/>
                <w:lang w:val="en-GB"/>
              </w:rPr>
              <w:t>Clearstream Banking</w:t>
            </w:r>
          </w:p>
        </w:tc>
      </w:tr>
      <w:tr w:rsidR="00E370F1" w:rsidRPr="00DD20C5" w:rsidTr="00425220">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445272" w:rsidRDefault="00E370F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445272" w:rsidRDefault="00E370F1" w:rsidP="008C2942">
            <w:pPr>
              <w:spacing w:before="40" w:after="40"/>
              <w:rPr>
                <w:snapToGrid w:val="0"/>
                <w:color w:val="000000"/>
                <w:sz w:val="22"/>
                <w:lang w:val="en-GB"/>
              </w:rPr>
            </w:pPr>
            <w:r w:rsidRPr="00445272">
              <w:rPr>
                <w:snapToGrid w:val="0"/>
                <w:color w:val="000000"/>
                <w:sz w:val="22"/>
                <w:lang w:val="en-GB"/>
              </w:rPr>
              <w:t>MDPUG</w:t>
            </w:r>
          </w:p>
        </w:tc>
        <w:tc>
          <w:tcPr>
            <w:tcW w:w="1088" w:type="pct"/>
            <w:shd w:val="clear" w:color="auto" w:fill="FFFFFF" w:themeFill="background1"/>
          </w:tcPr>
          <w:p w:rsidR="00E370F1" w:rsidRPr="00445272" w:rsidRDefault="00E370F1" w:rsidP="008C2942">
            <w:pPr>
              <w:spacing w:before="40" w:after="40"/>
              <w:rPr>
                <w:snapToGrid w:val="0"/>
                <w:sz w:val="22"/>
                <w:lang w:val="en-GB"/>
              </w:rPr>
            </w:pPr>
            <w:r w:rsidRPr="00445272">
              <w:rPr>
                <w:snapToGrid w:val="0"/>
                <w:sz w:val="22"/>
                <w:lang w:val="en-GB"/>
              </w:rPr>
              <w:t>Laura</w:t>
            </w:r>
          </w:p>
        </w:tc>
        <w:tc>
          <w:tcPr>
            <w:tcW w:w="915" w:type="pct"/>
            <w:shd w:val="clear" w:color="auto" w:fill="FFFFFF" w:themeFill="background1"/>
          </w:tcPr>
          <w:p w:rsidR="00E370F1" w:rsidRPr="00445272" w:rsidRDefault="00E370F1" w:rsidP="008C2942">
            <w:pPr>
              <w:spacing w:before="40" w:after="40"/>
              <w:rPr>
                <w:snapToGrid w:val="0"/>
                <w:sz w:val="22"/>
                <w:lang w:val="en-GB"/>
              </w:rPr>
            </w:pPr>
            <w:r w:rsidRPr="00445272">
              <w:rPr>
                <w:snapToGrid w:val="0"/>
                <w:sz w:val="22"/>
                <w:lang w:val="en-GB"/>
              </w:rPr>
              <w:t>Fuller</w:t>
            </w:r>
          </w:p>
        </w:tc>
        <w:tc>
          <w:tcPr>
            <w:tcW w:w="1644" w:type="pct"/>
            <w:shd w:val="clear" w:color="auto" w:fill="FFFFFF" w:themeFill="background1"/>
          </w:tcPr>
          <w:p w:rsidR="00E370F1" w:rsidRPr="00445272" w:rsidRDefault="00E370F1" w:rsidP="008C2942">
            <w:pPr>
              <w:spacing w:before="40" w:after="40"/>
              <w:rPr>
                <w:snapToGrid w:val="0"/>
                <w:color w:val="000000"/>
                <w:sz w:val="22"/>
                <w:lang w:val="en-GB"/>
              </w:rPr>
            </w:pPr>
            <w:r w:rsidRPr="00445272">
              <w:rPr>
                <w:snapToGrid w:val="0"/>
                <w:color w:val="000000"/>
                <w:sz w:val="22"/>
                <w:lang w:val="en-GB"/>
              </w:rPr>
              <w:t>Telekurs</w:t>
            </w:r>
          </w:p>
        </w:tc>
      </w:tr>
      <w:tr w:rsidR="00E370F1"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445272" w:rsidRDefault="00E370F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445272" w:rsidRDefault="00E370F1" w:rsidP="008C2942">
            <w:pPr>
              <w:spacing w:before="40" w:after="40"/>
              <w:rPr>
                <w:snapToGrid w:val="0"/>
                <w:color w:val="000000"/>
                <w:sz w:val="22"/>
                <w:lang w:val="en-GB"/>
              </w:rPr>
            </w:pPr>
            <w:r w:rsidRPr="00445272">
              <w:rPr>
                <w:snapToGrid w:val="0"/>
                <w:color w:val="000000"/>
                <w:sz w:val="22"/>
                <w:lang w:val="en-GB"/>
              </w:rPr>
              <w:t>MDPUG</w:t>
            </w:r>
          </w:p>
        </w:tc>
        <w:tc>
          <w:tcPr>
            <w:tcW w:w="1088" w:type="pct"/>
            <w:shd w:val="clear" w:color="auto" w:fill="FFFFFF" w:themeFill="background1"/>
          </w:tcPr>
          <w:p w:rsidR="00E370F1" w:rsidRPr="00445272" w:rsidRDefault="00E370F1" w:rsidP="008C2942">
            <w:pPr>
              <w:spacing w:before="40" w:after="40"/>
              <w:rPr>
                <w:snapToGrid w:val="0"/>
                <w:sz w:val="22"/>
                <w:lang w:val="en-GB"/>
              </w:rPr>
            </w:pPr>
            <w:r w:rsidRPr="00445272">
              <w:rPr>
                <w:snapToGrid w:val="0"/>
                <w:sz w:val="22"/>
                <w:lang w:val="en-GB"/>
              </w:rPr>
              <w:t>Peter</w:t>
            </w:r>
          </w:p>
        </w:tc>
        <w:tc>
          <w:tcPr>
            <w:tcW w:w="915" w:type="pct"/>
            <w:shd w:val="clear" w:color="auto" w:fill="FFFFFF" w:themeFill="background1"/>
          </w:tcPr>
          <w:p w:rsidR="00E370F1" w:rsidRPr="00445272" w:rsidRDefault="00E370F1" w:rsidP="008C2942">
            <w:pPr>
              <w:spacing w:before="40" w:after="40"/>
              <w:rPr>
                <w:snapToGrid w:val="0"/>
                <w:sz w:val="22"/>
                <w:lang w:val="en-GB"/>
              </w:rPr>
            </w:pPr>
            <w:r w:rsidRPr="00445272">
              <w:rPr>
                <w:snapToGrid w:val="0"/>
                <w:sz w:val="22"/>
                <w:lang w:val="en-GB"/>
              </w:rPr>
              <w:t>Hinds</w:t>
            </w:r>
          </w:p>
        </w:tc>
        <w:tc>
          <w:tcPr>
            <w:tcW w:w="1644" w:type="pct"/>
            <w:shd w:val="clear" w:color="auto" w:fill="FFFFFF" w:themeFill="background1"/>
          </w:tcPr>
          <w:p w:rsidR="00E370F1" w:rsidRPr="00445272" w:rsidRDefault="00E370F1" w:rsidP="008C2942">
            <w:pPr>
              <w:spacing w:before="40" w:after="40"/>
              <w:rPr>
                <w:snapToGrid w:val="0"/>
                <w:color w:val="000000"/>
                <w:sz w:val="22"/>
                <w:lang w:val="en-GB"/>
              </w:rPr>
            </w:pPr>
            <w:r w:rsidRPr="00445272">
              <w:rPr>
                <w:snapToGrid w:val="0"/>
                <w:color w:val="000000"/>
                <w:sz w:val="22"/>
                <w:lang w:val="en-GB"/>
              </w:rPr>
              <w:t>Interactive Data</w:t>
            </w:r>
          </w:p>
        </w:tc>
      </w:tr>
      <w:tr w:rsidR="00E370F1"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445272" w:rsidRDefault="00E370F1" w:rsidP="008C2942">
            <w:pPr>
              <w:spacing w:before="40" w:after="40"/>
              <w:jc w:val="right"/>
              <w:rPr>
                <w:sz w:val="22"/>
                <w:lang w:val="en-GB"/>
              </w:rPr>
            </w:pPr>
            <w:r w:rsidRPr="00445272">
              <w:rPr>
                <w:sz w:val="22"/>
                <w:lang w:val="en-GB"/>
              </w:rPr>
              <w:t>Co-chair</w:t>
            </w:r>
          </w:p>
        </w:tc>
        <w:tc>
          <w:tcPr>
            <w:tcW w:w="731" w:type="pct"/>
            <w:tcBorders>
              <w:left w:val="single" w:sz="4" w:space="0" w:color="auto"/>
            </w:tcBorders>
            <w:shd w:val="clear" w:color="auto" w:fill="FFFFFF" w:themeFill="background1"/>
          </w:tcPr>
          <w:p w:rsidR="00E370F1" w:rsidRPr="00445272" w:rsidRDefault="00E370F1" w:rsidP="008C2942">
            <w:pPr>
              <w:spacing w:before="40" w:after="40"/>
              <w:rPr>
                <w:sz w:val="22"/>
                <w:lang w:val="en-GB"/>
              </w:rPr>
            </w:pPr>
            <w:r w:rsidRPr="00445272">
              <w:rPr>
                <w:sz w:val="22"/>
                <w:lang w:val="en-GB"/>
              </w:rPr>
              <w:t>SE</w:t>
            </w:r>
          </w:p>
        </w:tc>
        <w:tc>
          <w:tcPr>
            <w:tcW w:w="1088" w:type="pct"/>
            <w:shd w:val="clear" w:color="auto" w:fill="FFFFFF" w:themeFill="background1"/>
          </w:tcPr>
          <w:p w:rsidR="00E370F1" w:rsidRPr="00445272" w:rsidRDefault="00E370F1" w:rsidP="008C2942">
            <w:pPr>
              <w:spacing w:before="40" w:after="40"/>
              <w:rPr>
                <w:sz w:val="22"/>
                <w:lang w:val="en-GB"/>
              </w:rPr>
            </w:pPr>
            <w:r w:rsidRPr="00445272">
              <w:rPr>
                <w:snapToGrid w:val="0"/>
                <w:sz w:val="22"/>
                <w:lang w:val="en-GB"/>
              </w:rPr>
              <w:t xml:space="preserve">Christine </w:t>
            </w:r>
          </w:p>
        </w:tc>
        <w:tc>
          <w:tcPr>
            <w:tcW w:w="915" w:type="pct"/>
            <w:shd w:val="clear" w:color="auto" w:fill="FFFFFF" w:themeFill="background1"/>
          </w:tcPr>
          <w:p w:rsidR="00E370F1" w:rsidRPr="00445272" w:rsidRDefault="00E370F1" w:rsidP="008C2942">
            <w:pPr>
              <w:pStyle w:val="CommentText"/>
              <w:spacing w:before="40" w:after="40"/>
              <w:rPr>
                <w:sz w:val="22"/>
                <w:lang w:val="en-GB"/>
              </w:rPr>
            </w:pPr>
            <w:r w:rsidRPr="00445272">
              <w:rPr>
                <w:snapToGrid w:val="0"/>
                <w:sz w:val="22"/>
                <w:lang w:val="en-GB"/>
              </w:rPr>
              <w:t>Strandberg</w:t>
            </w:r>
          </w:p>
        </w:tc>
        <w:tc>
          <w:tcPr>
            <w:tcW w:w="1644" w:type="pct"/>
            <w:shd w:val="clear" w:color="auto" w:fill="FFFFFF" w:themeFill="background1"/>
          </w:tcPr>
          <w:p w:rsidR="00E370F1" w:rsidRPr="00445272" w:rsidRDefault="00E370F1" w:rsidP="008C2942">
            <w:pPr>
              <w:pStyle w:val="CommentText"/>
              <w:spacing w:before="40" w:after="40"/>
              <w:rPr>
                <w:sz w:val="22"/>
                <w:lang w:val="en-GB"/>
              </w:rPr>
            </w:pPr>
            <w:smartTag w:uri="urn:schemas-microsoft-com:office:smarttags" w:element="stockticker">
              <w:r w:rsidRPr="00445272">
                <w:rPr>
                  <w:sz w:val="22"/>
                  <w:lang w:val="en-GB"/>
                </w:rPr>
                <w:t>SEB</w:t>
              </w:r>
            </w:smartTag>
          </w:p>
        </w:tc>
      </w:tr>
      <w:tr w:rsidR="00E370F1"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445272" w:rsidRDefault="00E370F1" w:rsidP="008C2942">
            <w:pPr>
              <w:pStyle w:val="CommentText"/>
              <w:spacing w:before="40" w:after="40"/>
              <w:rPr>
                <w:sz w:val="22"/>
                <w:lang w:val="en-GB"/>
              </w:rPr>
            </w:pPr>
          </w:p>
        </w:tc>
        <w:tc>
          <w:tcPr>
            <w:tcW w:w="731" w:type="pct"/>
            <w:tcBorders>
              <w:left w:val="single" w:sz="4" w:space="0" w:color="auto"/>
            </w:tcBorders>
            <w:shd w:val="clear" w:color="auto" w:fill="FFFFFF" w:themeFill="background1"/>
          </w:tcPr>
          <w:p w:rsidR="00E370F1" w:rsidRPr="00445272" w:rsidRDefault="00E370F1" w:rsidP="008C2942">
            <w:pPr>
              <w:spacing w:before="40" w:after="40"/>
              <w:rPr>
                <w:sz w:val="22"/>
                <w:lang w:val="en-GB"/>
              </w:rPr>
            </w:pPr>
            <w:r w:rsidRPr="00445272">
              <w:rPr>
                <w:sz w:val="22"/>
                <w:lang w:val="en-GB"/>
              </w:rPr>
              <w:t>UK &amp; IE</w:t>
            </w:r>
          </w:p>
        </w:tc>
        <w:tc>
          <w:tcPr>
            <w:tcW w:w="1088" w:type="pct"/>
            <w:shd w:val="clear" w:color="auto" w:fill="FFFFFF" w:themeFill="background1"/>
          </w:tcPr>
          <w:p w:rsidR="00E370F1" w:rsidRPr="00445272" w:rsidRDefault="00E370F1" w:rsidP="008C2942">
            <w:pPr>
              <w:spacing w:before="40" w:after="40"/>
              <w:rPr>
                <w:snapToGrid w:val="0"/>
                <w:sz w:val="22"/>
                <w:lang w:val="en-GB"/>
              </w:rPr>
            </w:pPr>
            <w:r w:rsidRPr="00445272">
              <w:rPr>
                <w:snapToGrid w:val="0"/>
                <w:sz w:val="22"/>
                <w:lang w:val="en-GB"/>
              </w:rPr>
              <w:t>Mariangela</w:t>
            </w:r>
          </w:p>
        </w:tc>
        <w:tc>
          <w:tcPr>
            <w:tcW w:w="915" w:type="pct"/>
            <w:shd w:val="clear" w:color="auto" w:fill="FFFFFF" w:themeFill="background1"/>
          </w:tcPr>
          <w:p w:rsidR="00E370F1" w:rsidRPr="00445272" w:rsidRDefault="00E370F1" w:rsidP="008C2942">
            <w:pPr>
              <w:pStyle w:val="CommentText"/>
              <w:spacing w:before="40" w:after="40"/>
              <w:rPr>
                <w:snapToGrid w:val="0"/>
                <w:sz w:val="22"/>
                <w:lang w:val="en-GB"/>
              </w:rPr>
            </w:pPr>
            <w:r w:rsidRPr="00445272">
              <w:rPr>
                <w:snapToGrid w:val="0"/>
                <w:sz w:val="22"/>
                <w:lang w:val="en-GB"/>
              </w:rPr>
              <w:t>Fumagalli</w:t>
            </w:r>
          </w:p>
        </w:tc>
        <w:tc>
          <w:tcPr>
            <w:tcW w:w="1644" w:type="pct"/>
            <w:shd w:val="clear" w:color="auto" w:fill="FFFFFF" w:themeFill="background1"/>
          </w:tcPr>
          <w:p w:rsidR="00E370F1" w:rsidRPr="00445272" w:rsidRDefault="00E370F1" w:rsidP="008C2942">
            <w:pPr>
              <w:pStyle w:val="CommentText"/>
              <w:spacing w:before="40" w:after="40"/>
              <w:rPr>
                <w:sz w:val="22"/>
                <w:lang w:val="en-GB"/>
              </w:rPr>
            </w:pPr>
            <w:r w:rsidRPr="00445272">
              <w:rPr>
                <w:sz w:val="22"/>
                <w:lang w:val="en-GB"/>
              </w:rPr>
              <w:t>BNP Paribas</w:t>
            </w:r>
          </w:p>
        </w:tc>
      </w:tr>
      <w:tr w:rsidR="00E370F1" w:rsidRPr="00DD20C5" w:rsidTr="008E586A">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445272" w:rsidRDefault="00E370F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445272" w:rsidRDefault="00E370F1" w:rsidP="008C2942">
            <w:pPr>
              <w:spacing w:before="40" w:after="40"/>
              <w:rPr>
                <w:sz w:val="22"/>
                <w:lang w:val="en-GB"/>
              </w:rPr>
            </w:pPr>
            <w:r w:rsidRPr="00445272">
              <w:rPr>
                <w:sz w:val="22"/>
                <w:lang w:val="en-GB"/>
              </w:rPr>
              <w:t>UK &amp; IE</w:t>
            </w:r>
          </w:p>
        </w:tc>
        <w:tc>
          <w:tcPr>
            <w:tcW w:w="1088" w:type="pct"/>
            <w:shd w:val="clear" w:color="auto" w:fill="FFFFFF" w:themeFill="background1"/>
          </w:tcPr>
          <w:p w:rsidR="00E370F1" w:rsidRPr="00445272" w:rsidRDefault="00E370F1" w:rsidP="008C2942">
            <w:pPr>
              <w:pStyle w:val="CommentText"/>
              <w:spacing w:before="40" w:after="40"/>
              <w:rPr>
                <w:sz w:val="22"/>
                <w:lang w:val="en-GB"/>
              </w:rPr>
            </w:pPr>
            <w:r w:rsidRPr="00445272">
              <w:rPr>
                <w:sz w:val="22"/>
                <w:lang w:val="en-GB"/>
              </w:rPr>
              <w:t xml:space="preserve">Matthew </w:t>
            </w:r>
          </w:p>
        </w:tc>
        <w:tc>
          <w:tcPr>
            <w:tcW w:w="915" w:type="pct"/>
            <w:shd w:val="clear" w:color="auto" w:fill="FFFFFF" w:themeFill="background1"/>
          </w:tcPr>
          <w:p w:rsidR="00E370F1" w:rsidRPr="00445272" w:rsidRDefault="00E370F1" w:rsidP="008C2942">
            <w:pPr>
              <w:spacing w:before="40" w:after="40"/>
              <w:rPr>
                <w:sz w:val="22"/>
                <w:lang w:val="en-GB"/>
              </w:rPr>
            </w:pPr>
            <w:r w:rsidRPr="00445272">
              <w:rPr>
                <w:sz w:val="22"/>
                <w:lang w:val="en-GB"/>
              </w:rPr>
              <w:t>Middleton</w:t>
            </w:r>
          </w:p>
        </w:tc>
        <w:tc>
          <w:tcPr>
            <w:tcW w:w="1644" w:type="pct"/>
            <w:shd w:val="clear" w:color="auto" w:fill="FFFFFF" w:themeFill="background1"/>
          </w:tcPr>
          <w:p w:rsidR="00E370F1" w:rsidRPr="00445272" w:rsidRDefault="00E370F1" w:rsidP="008C2942">
            <w:pPr>
              <w:spacing w:before="40" w:after="40"/>
              <w:rPr>
                <w:sz w:val="22"/>
                <w:szCs w:val="22"/>
                <w:lang w:val="en-GB"/>
              </w:rPr>
            </w:pPr>
            <w:r w:rsidRPr="00445272">
              <w:rPr>
                <w:sz w:val="22"/>
                <w:szCs w:val="22"/>
                <w:lang w:val="en-GB"/>
              </w:rPr>
              <w:t>LSE</w:t>
            </w:r>
          </w:p>
        </w:tc>
      </w:tr>
      <w:tr w:rsidR="00445272" w:rsidRPr="00DD20C5" w:rsidTr="00445272">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45272" w:rsidRPr="00445272" w:rsidRDefault="00445272" w:rsidP="00445272">
            <w:pPr>
              <w:spacing w:before="40" w:after="40"/>
              <w:jc w:val="right"/>
              <w:rPr>
                <w:sz w:val="22"/>
                <w:lang w:val="en-GB"/>
              </w:rPr>
            </w:pPr>
          </w:p>
        </w:tc>
        <w:tc>
          <w:tcPr>
            <w:tcW w:w="731" w:type="pct"/>
            <w:tcBorders>
              <w:left w:val="single" w:sz="4" w:space="0" w:color="auto"/>
            </w:tcBorders>
            <w:shd w:val="clear" w:color="auto" w:fill="FFFFFF" w:themeFill="background1"/>
          </w:tcPr>
          <w:p w:rsidR="00445272" w:rsidRPr="00445272" w:rsidRDefault="00445272" w:rsidP="00445272">
            <w:pPr>
              <w:spacing w:before="40" w:after="40"/>
              <w:rPr>
                <w:sz w:val="22"/>
                <w:lang w:val="en-GB"/>
              </w:rPr>
            </w:pPr>
            <w:r w:rsidRPr="00445272">
              <w:rPr>
                <w:sz w:val="22"/>
                <w:lang w:val="en-GB"/>
              </w:rPr>
              <w:t>US</w:t>
            </w:r>
          </w:p>
        </w:tc>
        <w:tc>
          <w:tcPr>
            <w:tcW w:w="1088" w:type="pct"/>
            <w:shd w:val="clear" w:color="auto" w:fill="FFFFFF" w:themeFill="background1"/>
          </w:tcPr>
          <w:p w:rsidR="00445272" w:rsidRPr="00445272" w:rsidRDefault="00445272" w:rsidP="00445272">
            <w:pPr>
              <w:pStyle w:val="CommentText"/>
              <w:spacing w:before="40" w:after="40"/>
              <w:rPr>
                <w:sz w:val="22"/>
                <w:lang w:val="en-GB"/>
              </w:rPr>
            </w:pPr>
            <w:r w:rsidRPr="00445272">
              <w:rPr>
                <w:sz w:val="22"/>
                <w:lang w:val="en-GB"/>
              </w:rPr>
              <w:t>Sonda</w:t>
            </w:r>
          </w:p>
        </w:tc>
        <w:tc>
          <w:tcPr>
            <w:tcW w:w="915" w:type="pct"/>
            <w:shd w:val="clear" w:color="auto" w:fill="FFFFFF" w:themeFill="background1"/>
          </w:tcPr>
          <w:p w:rsidR="00445272" w:rsidRPr="00445272" w:rsidRDefault="00445272" w:rsidP="00445272">
            <w:pPr>
              <w:spacing w:before="40" w:after="40"/>
              <w:rPr>
                <w:sz w:val="22"/>
                <w:lang w:val="en-GB"/>
              </w:rPr>
            </w:pPr>
            <w:r w:rsidRPr="00445272">
              <w:rPr>
                <w:sz w:val="22"/>
                <w:lang w:val="en-GB"/>
              </w:rPr>
              <w:t>Pimental</w:t>
            </w:r>
          </w:p>
        </w:tc>
        <w:tc>
          <w:tcPr>
            <w:tcW w:w="1644" w:type="pct"/>
            <w:shd w:val="clear" w:color="auto" w:fill="FFFFFF" w:themeFill="background1"/>
          </w:tcPr>
          <w:p w:rsidR="00445272" w:rsidRPr="00445272" w:rsidRDefault="00445272" w:rsidP="00445272">
            <w:pPr>
              <w:spacing w:before="40" w:after="40"/>
              <w:rPr>
                <w:sz w:val="22"/>
                <w:lang w:val="en-GB"/>
              </w:rPr>
            </w:pPr>
            <w:r w:rsidRPr="00445272">
              <w:rPr>
                <w:sz w:val="22"/>
                <w:lang w:val="en-GB"/>
              </w:rPr>
              <w:t>BBH</w:t>
            </w:r>
          </w:p>
        </w:tc>
      </w:tr>
      <w:tr w:rsidR="00E370F1" w:rsidRPr="00E370F1"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445272" w:rsidRDefault="00E370F1" w:rsidP="008C2942">
            <w:pPr>
              <w:pStyle w:val="CommentText"/>
              <w:spacing w:before="40" w:after="40"/>
              <w:rPr>
                <w:sz w:val="22"/>
                <w:lang w:val="en-GB"/>
              </w:rPr>
            </w:pPr>
          </w:p>
        </w:tc>
        <w:tc>
          <w:tcPr>
            <w:tcW w:w="731" w:type="pct"/>
            <w:tcBorders>
              <w:left w:val="single" w:sz="4" w:space="0" w:color="auto"/>
            </w:tcBorders>
            <w:shd w:val="clear" w:color="auto" w:fill="FFFFFF" w:themeFill="background1"/>
          </w:tcPr>
          <w:p w:rsidR="00E370F1" w:rsidRPr="00445272" w:rsidRDefault="00E370F1" w:rsidP="008C2942">
            <w:pPr>
              <w:spacing w:before="40" w:after="40"/>
              <w:rPr>
                <w:sz w:val="22"/>
                <w:lang w:val="en-GB"/>
              </w:rPr>
            </w:pPr>
            <w:r w:rsidRPr="00445272">
              <w:rPr>
                <w:sz w:val="22"/>
                <w:lang w:val="en-GB"/>
              </w:rPr>
              <w:t>XS</w:t>
            </w:r>
          </w:p>
        </w:tc>
        <w:tc>
          <w:tcPr>
            <w:tcW w:w="1088" w:type="pct"/>
            <w:shd w:val="clear" w:color="auto" w:fill="FFFFFF" w:themeFill="background1"/>
          </w:tcPr>
          <w:p w:rsidR="00E370F1" w:rsidRPr="00445272" w:rsidRDefault="00E370F1" w:rsidP="008C2942">
            <w:pPr>
              <w:pStyle w:val="CommentText"/>
              <w:spacing w:before="40" w:after="40"/>
              <w:rPr>
                <w:sz w:val="22"/>
                <w:lang w:val="en-GB"/>
              </w:rPr>
            </w:pPr>
            <w:r w:rsidRPr="00445272">
              <w:rPr>
                <w:sz w:val="22"/>
                <w:lang w:val="en-GB"/>
              </w:rPr>
              <w:t xml:space="preserve">Delphine </w:t>
            </w:r>
          </w:p>
        </w:tc>
        <w:tc>
          <w:tcPr>
            <w:tcW w:w="915" w:type="pct"/>
            <w:shd w:val="clear" w:color="auto" w:fill="FFFFFF" w:themeFill="background1"/>
          </w:tcPr>
          <w:p w:rsidR="00E370F1" w:rsidRPr="00445272" w:rsidRDefault="00E370F1" w:rsidP="008C2942">
            <w:pPr>
              <w:spacing w:before="40" w:after="40"/>
              <w:rPr>
                <w:sz w:val="22"/>
                <w:lang w:val="en-GB"/>
              </w:rPr>
            </w:pPr>
            <w:r w:rsidRPr="00445272">
              <w:rPr>
                <w:sz w:val="22"/>
                <w:lang w:val="en-GB"/>
              </w:rPr>
              <w:t>Haillez</w:t>
            </w:r>
          </w:p>
        </w:tc>
        <w:tc>
          <w:tcPr>
            <w:tcW w:w="1644" w:type="pct"/>
            <w:shd w:val="clear" w:color="auto" w:fill="FFFFFF" w:themeFill="background1"/>
          </w:tcPr>
          <w:p w:rsidR="00E370F1" w:rsidRPr="00445272" w:rsidRDefault="00E370F1" w:rsidP="008C2942">
            <w:pPr>
              <w:spacing w:before="40" w:after="40"/>
              <w:rPr>
                <w:sz w:val="22"/>
                <w:lang w:val="en-GB"/>
              </w:rPr>
            </w:pPr>
            <w:r w:rsidRPr="00445272">
              <w:rPr>
                <w:sz w:val="22"/>
                <w:lang w:val="en-GB"/>
              </w:rPr>
              <w:t>Euroclear</w:t>
            </w:r>
          </w:p>
        </w:tc>
      </w:tr>
      <w:tr w:rsidR="00E370F1" w:rsidRPr="00C9606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445272" w:rsidRDefault="00E370F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445272" w:rsidRDefault="00445272" w:rsidP="008C2942">
            <w:pPr>
              <w:spacing w:before="40" w:after="40"/>
              <w:rPr>
                <w:sz w:val="22"/>
                <w:lang w:val="en-GB"/>
              </w:rPr>
            </w:pPr>
            <w:r w:rsidRPr="00445272">
              <w:rPr>
                <w:sz w:val="22"/>
                <w:lang w:val="en-GB"/>
              </w:rPr>
              <w:t>ZA</w:t>
            </w:r>
          </w:p>
        </w:tc>
        <w:tc>
          <w:tcPr>
            <w:tcW w:w="1088" w:type="pct"/>
            <w:shd w:val="clear" w:color="auto" w:fill="FFFFFF" w:themeFill="background1"/>
          </w:tcPr>
          <w:p w:rsidR="00E370F1" w:rsidRPr="00445272" w:rsidRDefault="00445272" w:rsidP="008C2942">
            <w:pPr>
              <w:pStyle w:val="CommentText"/>
              <w:spacing w:before="40" w:after="40"/>
              <w:rPr>
                <w:sz w:val="22"/>
                <w:lang w:val="en-GB"/>
              </w:rPr>
            </w:pPr>
            <w:r w:rsidRPr="00445272">
              <w:rPr>
                <w:sz w:val="22"/>
                <w:lang w:val="en-GB"/>
              </w:rPr>
              <w:t>Sanjeev</w:t>
            </w:r>
          </w:p>
        </w:tc>
        <w:tc>
          <w:tcPr>
            <w:tcW w:w="915" w:type="pct"/>
            <w:shd w:val="clear" w:color="auto" w:fill="FFFFFF" w:themeFill="background1"/>
          </w:tcPr>
          <w:p w:rsidR="00E370F1" w:rsidRPr="00445272" w:rsidRDefault="00445272" w:rsidP="008C2942">
            <w:pPr>
              <w:spacing w:before="40" w:after="40"/>
              <w:rPr>
                <w:sz w:val="22"/>
                <w:lang w:val="en-GB"/>
              </w:rPr>
            </w:pPr>
            <w:r w:rsidRPr="00445272">
              <w:rPr>
                <w:sz w:val="22"/>
                <w:lang w:val="en-GB"/>
              </w:rPr>
              <w:t>Jayram</w:t>
            </w:r>
          </w:p>
        </w:tc>
        <w:tc>
          <w:tcPr>
            <w:tcW w:w="1644" w:type="pct"/>
            <w:shd w:val="clear" w:color="auto" w:fill="FFFFFF" w:themeFill="background1"/>
          </w:tcPr>
          <w:p w:rsidR="00E370F1" w:rsidRPr="00445272" w:rsidRDefault="00445272" w:rsidP="008C2942">
            <w:pPr>
              <w:spacing w:before="40" w:after="40"/>
              <w:rPr>
                <w:sz w:val="22"/>
                <w:lang w:val="en-GB"/>
              </w:rPr>
            </w:pPr>
            <w:r w:rsidRPr="00445272">
              <w:rPr>
                <w:sz w:val="22"/>
                <w:lang w:val="en-GB"/>
              </w:rPr>
              <w:t>First National Bank</w:t>
            </w:r>
          </w:p>
        </w:tc>
      </w:tr>
    </w:tbl>
    <w:p w:rsidR="00B02FFF" w:rsidRPr="00BA2B97" w:rsidRDefault="00B02FFF" w:rsidP="00592037">
      <w:pPr>
        <w:pStyle w:val="BlockText"/>
        <w:rPr>
          <w:shd w:val="clear" w:color="auto" w:fill="00FFFF"/>
        </w:rPr>
      </w:pPr>
    </w:p>
    <w:bookmarkEnd w:id="1"/>
    <w:bookmarkEnd w:id="2"/>
    <w:p w:rsidR="00652BA8" w:rsidRPr="00BA2B97" w:rsidRDefault="00652BA8" w:rsidP="00652BA8">
      <w:pPr>
        <w:pStyle w:val="Title1"/>
      </w:pPr>
      <w:r w:rsidRPr="00BA2B97">
        <w:t>Apologies</w:t>
      </w: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58"/>
        <w:gridCol w:w="1478"/>
        <w:gridCol w:w="2200"/>
        <w:gridCol w:w="1850"/>
        <w:gridCol w:w="3324"/>
      </w:tblGrid>
      <w:tr w:rsidR="00432190" w:rsidRPr="00BA2B97" w:rsidTr="00432190">
        <w:tc>
          <w:tcPr>
            <w:tcW w:w="622" w:type="pct"/>
            <w:tcBorders>
              <w:top w:val="nil"/>
              <w:left w:val="nil"/>
              <w:bottom w:val="nil"/>
              <w:right w:val="single" w:sz="4" w:space="0" w:color="auto"/>
            </w:tcBorders>
            <w:shd w:val="clear" w:color="auto" w:fill="FFFFFF"/>
          </w:tcPr>
          <w:p w:rsidR="00432190" w:rsidRPr="00BA2B97" w:rsidRDefault="00432190" w:rsidP="00432190">
            <w:pPr>
              <w:rPr>
                <w:b/>
                <w:sz w:val="22"/>
                <w:lang w:val="en-GB"/>
              </w:rPr>
            </w:pPr>
          </w:p>
        </w:tc>
        <w:tc>
          <w:tcPr>
            <w:tcW w:w="731" w:type="pct"/>
            <w:tcBorders>
              <w:left w:val="single" w:sz="4" w:space="0" w:color="auto"/>
            </w:tcBorders>
            <w:shd w:val="clear" w:color="auto" w:fill="CCCCCC"/>
          </w:tcPr>
          <w:p w:rsidR="00432190" w:rsidRPr="00BA2B97" w:rsidRDefault="00432190" w:rsidP="00432190">
            <w:pPr>
              <w:rPr>
                <w:b/>
                <w:sz w:val="22"/>
                <w:lang w:val="en-GB"/>
              </w:rPr>
            </w:pPr>
            <w:r w:rsidRPr="00BA2B97">
              <w:rPr>
                <w:b/>
                <w:sz w:val="22"/>
                <w:lang w:val="en-GB"/>
              </w:rPr>
              <w:t>Country</w:t>
            </w:r>
          </w:p>
        </w:tc>
        <w:tc>
          <w:tcPr>
            <w:tcW w:w="1088" w:type="pct"/>
            <w:shd w:val="clear" w:color="auto" w:fill="CCCCCC"/>
          </w:tcPr>
          <w:p w:rsidR="00432190" w:rsidRPr="00BA2B97" w:rsidRDefault="00432190" w:rsidP="00432190">
            <w:pPr>
              <w:rPr>
                <w:b/>
                <w:sz w:val="22"/>
                <w:lang w:val="en-GB"/>
              </w:rPr>
            </w:pPr>
            <w:r w:rsidRPr="00BA2B97">
              <w:rPr>
                <w:b/>
                <w:sz w:val="22"/>
                <w:lang w:val="en-GB"/>
              </w:rPr>
              <w:t>First Name</w:t>
            </w:r>
          </w:p>
        </w:tc>
        <w:tc>
          <w:tcPr>
            <w:tcW w:w="915" w:type="pct"/>
            <w:shd w:val="clear" w:color="auto" w:fill="CCCCCC"/>
          </w:tcPr>
          <w:p w:rsidR="00432190" w:rsidRPr="00BA2B97" w:rsidRDefault="00432190" w:rsidP="00432190">
            <w:pPr>
              <w:rPr>
                <w:b/>
                <w:sz w:val="22"/>
                <w:lang w:val="en-GB"/>
              </w:rPr>
            </w:pPr>
            <w:r w:rsidRPr="00BA2B97">
              <w:rPr>
                <w:b/>
                <w:sz w:val="22"/>
                <w:lang w:val="en-GB"/>
              </w:rPr>
              <w:t>Last Name</w:t>
            </w:r>
          </w:p>
        </w:tc>
        <w:tc>
          <w:tcPr>
            <w:tcW w:w="1644" w:type="pct"/>
            <w:shd w:val="clear" w:color="auto" w:fill="CCCCCC"/>
          </w:tcPr>
          <w:p w:rsidR="00432190" w:rsidRPr="00BA2B97" w:rsidRDefault="00432190" w:rsidP="00432190">
            <w:pPr>
              <w:rPr>
                <w:b/>
                <w:sz w:val="22"/>
                <w:lang w:val="en-GB"/>
              </w:rPr>
            </w:pPr>
            <w:r w:rsidRPr="00BA2B97">
              <w:rPr>
                <w:b/>
                <w:sz w:val="22"/>
                <w:lang w:val="en-GB"/>
              </w:rPr>
              <w:t>Institution</w:t>
            </w:r>
          </w:p>
        </w:tc>
      </w:tr>
      <w:tr w:rsidR="00445272" w:rsidRPr="00DD20C5" w:rsidTr="00E370F1">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45272" w:rsidRPr="00DD20C5" w:rsidRDefault="00445272" w:rsidP="00E370F1">
            <w:pPr>
              <w:spacing w:before="40" w:after="40"/>
              <w:jc w:val="right"/>
              <w:rPr>
                <w:sz w:val="22"/>
                <w:lang w:val="en-GB"/>
              </w:rPr>
            </w:pPr>
            <w:r>
              <w:rPr>
                <w:sz w:val="22"/>
                <w:lang w:val="en-GB"/>
              </w:rPr>
              <w:t>Facilitator</w:t>
            </w:r>
          </w:p>
        </w:tc>
        <w:tc>
          <w:tcPr>
            <w:tcW w:w="731" w:type="pct"/>
            <w:tcBorders>
              <w:left w:val="single" w:sz="4" w:space="0" w:color="auto"/>
            </w:tcBorders>
            <w:shd w:val="clear" w:color="auto" w:fill="FFFFFF" w:themeFill="background1"/>
          </w:tcPr>
          <w:p w:rsidR="00445272" w:rsidRPr="00DD20C5" w:rsidRDefault="00445272" w:rsidP="00E370F1">
            <w:pPr>
              <w:spacing w:before="40" w:after="40"/>
              <w:rPr>
                <w:sz w:val="22"/>
                <w:lang w:val="en-GB"/>
              </w:rPr>
            </w:pPr>
          </w:p>
        </w:tc>
        <w:tc>
          <w:tcPr>
            <w:tcW w:w="1088" w:type="pct"/>
            <w:shd w:val="clear" w:color="auto" w:fill="FFFFFF" w:themeFill="background1"/>
          </w:tcPr>
          <w:p w:rsidR="00445272" w:rsidRPr="00DD20C5" w:rsidRDefault="00445272" w:rsidP="00E370F1">
            <w:pPr>
              <w:pStyle w:val="CommentText"/>
              <w:spacing w:before="40" w:after="40"/>
              <w:rPr>
                <w:sz w:val="22"/>
                <w:lang w:val="en-GB"/>
              </w:rPr>
            </w:pPr>
            <w:r>
              <w:rPr>
                <w:sz w:val="22"/>
                <w:lang w:val="en-GB"/>
              </w:rPr>
              <w:t>Jacques</w:t>
            </w:r>
          </w:p>
        </w:tc>
        <w:tc>
          <w:tcPr>
            <w:tcW w:w="915" w:type="pct"/>
            <w:shd w:val="clear" w:color="auto" w:fill="FFFFFF" w:themeFill="background1"/>
          </w:tcPr>
          <w:p w:rsidR="00445272" w:rsidRPr="00DD20C5" w:rsidRDefault="00445272" w:rsidP="00E370F1">
            <w:pPr>
              <w:spacing w:before="40" w:after="40"/>
              <w:rPr>
                <w:sz w:val="22"/>
                <w:lang w:val="en-GB"/>
              </w:rPr>
            </w:pPr>
            <w:r>
              <w:rPr>
                <w:sz w:val="22"/>
                <w:lang w:val="en-GB"/>
              </w:rPr>
              <w:t>Littré</w:t>
            </w:r>
          </w:p>
        </w:tc>
        <w:tc>
          <w:tcPr>
            <w:tcW w:w="1644" w:type="pct"/>
            <w:shd w:val="clear" w:color="auto" w:fill="FFFFFF" w:themeFill="background1"/>
          </w:tcPr>
          <w:p w:rsidR="00445272" w:rsidRPr="00DD20C5" w:rsidRDefault="00445272" w:rsidP="00E370F1">
            <w:pPr>
              <w:spacing w:before="40" w:after="40"/>
              <w:rPr>
                <w:sz w:val="22"/>
                <w:lang w:val="en-GB"/>
              </w:rPr>
            </w:pPr>
            <w:r>
              <w:rPr>
                <w:sz w:val="22"/>
                <w:lang w:val="en-GB"/>
              </w:rPr>
              <w:t>SWIFT</w:t>
            </w:r>
          </w:p>
        </w:tc>
      </w:tr>
    </w:tbl>
    <w:p w:rsidR="00404D4D" w:rsidRDefault="00F23DA7" w:rsidP="003E5EFD">
      <w:pPr>
        <w:pStyle w:val="Title1"/>
      </w:pPr>
      <w:r>
        <w:br w:type="page"/>
      </w:r>
      <w:r w:rsidR="003E5EFD" w:rsidRPr="00E07780">
        <w:lastRenderedPageBreak/>
        <w:t>Meeting Agenda</w:t>
      </w:r>
    </w:p>
    <w:p w:rsidR="00445272" w:rsidRDefault="00445272" w:rsidP="00445272">
      <w:r>
        <w:t xml:space="preserve">1. CA 203             EIG+ Date (review and follow up of NMPG inputs and related CR on INTP) </w:t>
      </w:r>
      <w:r>
        <w:br/>
        <w:t xml:space="preserve">2. CA 194             Reinvestment of Fund Cash Distribution (REIN) Code (UK CR review) </w:t>
      </w:r>
      <w:r>
        <w:br/>
        <w:t xml:space="preserve">3. CA 223             MT 56X - New Event Type for Partial Redemption in Pro-Rata (CR review) </w:t>
      </w:r>
      <w:r>
        <w:br/>
        <w:t xml:space="preserve">4. CA 224             MT 56X - New Event Type  INFO &amp; new INFO Indicator (CR review) </w:t>
      </w:r>
      <w:r>
        <w:br/>
        <w:t xml:space="preserve">5. CA 225             MT 565 - Add Option Features, Rates and Narrative &amp; Remove OFFR (NMPG Feedback) </w:t>
      </w:r>
      <w:r>
        <w:br/>
        <w:t xml:space="preserve">6. CA 226             Disclosure (DSCL) event  (CR review) </w:t>
      </w:r>
      <w:r>
        <w:br/>
        <w:t xml:space="preserve">7. CA 230             SOFE and INCE redundancy (CR review) </w:t>
      </w:r>
      <w:r>
        <w:br/>
        <w:t xml:space="preserve">8. CA 234             New MP for Unknown Proceeds and CAOS (Review) </w:t>
      </w:r>
      <w:r>
        <w:br/>
        <w:t>9. CA 236             Last Trading Date (CR Review)</w:t>
      </w:r>
    </w:p>
    <w:p w:rsidR="00445272" w:rsidRDefault="00445272" w:rsidP="00445272">
      <w:pPr>
        <w:pStyle w:val="Heading1"/>
      </w:pPr>
      <w:bookmarkStart w:id="3" w:name="_Toc326775201"/>
      <w:r w:rsidRPr="00417FE8">
        <w:t xml:space="preserve">CA 203 – EIG+ Date (review </w:t>
      </w:r>
      <w:r w:rsidR="004A1BFB">
        <w:t>&amp;</w:t>
      </w:r>
      <w:r w:rsidRPr="00417FE8">
        <w:t xml:space="preserve"> follow up NMPG </w:t>
      </w:r>
      <w:r w:rsidR="004A1BFB">
        <w:t>inputs and related CR on INTP)</w:t>
      </w:r>
      <w:bookmarkEnd w:id="3"/>
      <w:r w:rsidR="004A1BFB">
        <w:t xml:space="preserve"> </w:t>
      </w:r>
    </w:p>
    <w:p w:rsidR="004A1BFB" w:rsidRPr="004A1BFB" w:rsidRDefault="004A1BFB" w:rsidP="004A1BFB">
      <w:r w:rsidRPr="004A1BFB">
        <w:t>EIG+</w:t>
      </w:r>
    </w:p>
    <w:p w:rsidR="00445272" w:rsidRPr="004A1BFB" w:rsidRDefault="00445272" w:rsidP="00445272">
      <w:pPr>
        <w:numPr>
          <w:ilvl w:val="0"/>
          <w:numId w:val="27"/>
        </w:numPr>
        <w:spacing w:after="0"/>
      </w:pPr>
      <w:r w:rsidRPr="004A1BFB">
        <w:t>Kim will email the French NMPG’s feedback to Jacques later today. SUSP is a valid event in France.</w:t>
      </w:r>
    </w:p>
    <w:p w:rsidR="004A1BFB" w:rsidRPr="004A1BFB" w:rsidRDefault="00445272" w:rsidP="004A1BFB">
      <w:pPr>
        <w:numPr>
          <w:ilvl w:val="0"/>
          <w:numId w:val="27"/>
        </w:numPr>
        <w:spacing w:after="0"/>
      </w:pPr>
      <w:r w:rsidRPr="004A1BFB">
        <w:t>Sonda will email ISITC’s feedback to Jacques within a few days.</w:t>
      </w:r>
    </w:p>
    <w:p w:rsidR="00445272" w:rsidRDefault="004A1BFB" w:rsidP="004A1BFB">
      <w:pPr>
        <w:pStyle w:val="Actions"/>
      </w:pPr>
      <w:r w:rsidRPr="004A1BFB">
        <w:rPr>
          <w:b/>
        </w:rPr>
        <w:t>Action</w:t>
      </w:r>
      <w:r>
        <w:t xml:space="preserve">: </w:t>
      </w:r>
      <w:r w:rsidRPr="004A1BFB">
        <w:rPr>
          <w:u w:val="single"/>
        </w:rPr>
        <w:t>NMPG’s</w:t>
      </w:r>
      <w:r>
        <w:t xml:space="preserve"> to </w:t>
      </w:r>
      <w:r w:rsidR="00445272" w:rsidRPr="004A1BFB">
        <w:t>send any remaining feedback before end of week.</w:t>
      </w:r>
    </w:p>
    <w:p w:rsidR="004A1BFB" w:rsidRDefault="004A1BFB" w:rsidP="00445272"/>
    <w:p w:rsidR="00445272" w:rsidRPr="004A1BFB" w:rsidRDefault="00445272" w:rsidP="00445272">
      <w:r w:rsidRPr="004A1BFB">
        <w:t>CR for INTP</w:t>
      </w:r>
    </w:p>
    <w:p w:rsidR="00445272" w:rsidRPr="004A1BFB" w:rsidRDefault="00445272" w:rsidP="00445272">
      <w:pPr>
        <w:numPr>
          <w:ilvl w:val="0"/>
          <w:numId w:val="27"/>
        </w:numPr>
        <w:spacing w:after="0"/>
      </w:pPr>
      <w:r w:rsidRPr="004A1BFB">
        <w:t>The WG reviewed the CR but had no specific comments except to inquire if the need is shared by other markets and how frequent it is in Russia.</w:t>
      </w:r>
    </w:p>
    <w:p w:rsidR="004A1BFB" w:rsidRDefault="00445272" w:rsidP="00445272">
      <w:pPr>
        <w:numPr>
          <w:ilvl w:val="0"/>
          <w:numId w:val="27"/>
        </w:numPr>
        <w:spacing w:after="0"/>
      </w:pPr>
      <w:r w:rsidRPr="004A1BFB">
        <w:t>Laura requested an actual example.</w:t>
      </w:r>
    </w:p>
    <w:p w:rsidR="00445272" w:rsidRPr="004A1BFB" w:rsidRDefault="00445272" w:rsidP="004A1BFB">
      <w:pPr>
        <w:pStyle w:val="Actions"/>
      </w:pPr>
      <w:r w:rsidRPr="004A1BFB">
        <w:rPr>
          <w:b/>
        </w:rPr>
        <w:t>Action</w:t>
      </w:r>
      <w:r w:rsidRPr="004A1BFB">
        <w:t xml:space="preserve">: </w:t>
      </w:r>
      <w:r w:rsidRPr="004A1BFB">
        <w:rPr>
          <w:u w:val="single"/>
        </w:rPr>
        <w:t>Bernard</w:t>
      </w:r>
      <w:r w:rsidRPr="004A1BFB">
        <w:t xml:space="preserve"> to ask the Russian NMPG to provide an example and report on the frequency of interest payments with different tax portions.</w:t>
      </w:r>
    </w:p>
    <w:p w:rsidR="00445272" w:rsidRDefault="00445272" w:rsidP="004A1BFB">
      <w:pPr>
        <w:pStyle w:val="Heading1"/>
      </w:pPr>
      <w:bookmarkStart w:id="4" w:name="_Toc326775202"/>
      <w:r w:rsidRPr="00417FE8">
        <w:t>CA 194 – Reinvestment of Fund Cash Distribution (REIN) Code (</w:t>
      </w:r>
      <w:smartTag w:uri="urn:schemas-microsoft-com:office:smarttags" w:element="place">
        <w:smartTag w:uri="urn:schemas-microsoft-com:office:smarttags" w:element="country-region">
          <w:r w:rsidRPr="00417FE8">
            <w:t>UK</w:t>
          </w:r>
        </w:smartTag>
      </w:smartTag>
      <w:r w:rsidRPr="00417FE8">
        <w:t xml:space="preserve"> CR review)</w:t>
      </w:r>
      <w:bookmarkEnd w:id="4"/>
    </w:p>
    <w:p w:rsidR="00F51EE4" w:rsidRDefault="00445272" w:rsidP="00445272">
      <w:pPr>
        <w:rPr>
          <w:bCs/>
        </w:rPr>
      </w:pPr>
      <w:r w:rsidRPr="004A1BFB">
        <w:rPr>
          <w:bCs/>
        </w:rPr>
        <w:t xml:space="preserve">Feedback from Mari: Andreana and Mari have discussed the issues raised by the UK. Andreana stated that she would investigate what, if anything, German needs are shared with the UK and if there is any impact on the UK CR, but she has not reverted since. </w:t>
      </w:r>
    </w:p>
    <w:p w:rsidR="00445272" w:rsidRPr="004A1BFB" w:rsidRDefault="00445272" w:rsidP="00F51EE4">
      <w:pPr>
        <w:pStyle w:val="Actions"/>
      </w:pPr>
      <w:r w:rsidRPr="00F51EE4">
        <w:rPr>
          <w:b/>
        </w:rPr>
        <w:t>Action</w:t>
      </w:r>
      <w:r w:rsidRPr="004A1BFB">
        <w:t xml:space="preserve">:  </w:t>
      </w:r>
      <w:r w:rsidRPr="00F51EE4">
        <w:rPr>
          <w:u w:val="single"/>
        </w:rPr>
        <w:t>Mari</w:t>
      </w:r>
      <w:r w:rsidRPr="004A1BFB">
        <w:t xml:space="preserve"> to contact Andreana to ask for status, as per Bernard’s request.</w:t>
      </w:r>
    </w:p>
    <w:p w:rsidR="00445272" w:rsidRPr="004A1BFB" w:rsidRDefault="00445272" w:rsidP="00445272">
      <w:pPr>
        <w:rPr>
          <w:bCs/>
        </w:rPr>
      </w:pPr>
      <w:r w:rsidRPr="004A1BFB">
        <w:rPr>
          <w:bCs/>
        </w:rPr>
        <w:t>Review of the UK CR</w:t>
      </w:r>
    </w:p>
    <w:p w:rsidR="00445272" w:rsidRPr="004A1BFB" w:rsidRDefault="00445272" w:rsidP="00445272">
      <w:pPr>
        <w:numPr>
          <w:ilvl w:val="0"/>
          <w:numId w:val="29"/>
        </w:numPr>
        <w:spacing w:after="0"/>
        <w:rPr>
          <w:bCs/>
        </w:rPr>
      </w:pPr>
      <w:r w:rsidRPr="004A1BFB">
        <w:rPr>
          <w:bCs/>
        </w:rPr>
        <w:t>A few questions were asked and responded to by Mari.</w:t>
      </w:r>
    </w:p>
    <w:p w:rsidR="004A1BFB" w:rsidRPr="004A1BFB" w:rsidRDefault="00445272" w:rsidP="004A1BFB">
      <w:pPr>
        <w:numPr>
          <w:ilvl w:val="0"/>
          <w:numId w:val="29"/>
        </w:numPr>
        <w:spacing w:after="0"/>
        <w:rPr>
          <w:bCs/>
        </w:rPr>
      </w:pPr>
      <w:r w:rsidRPr="004A1BFB">
        <w:rPr>
          <w:bCs/>
        </w:rPr>
        <w:t>The WG supported the CR.</w:t>
      </w:r>
    </w:p>
    <w:p w:rsidR="00445272" w:rsidRPr="004A1BFB" w:rsidRDefault="00445272" w:rsidP="004A1BFB">
      <w:pPr>
        <w:pStyle w:val="Actions"/>
      </w:pPr>
      <w:r w:rsidRPr="004A1BFB">
        <w:rPr>
          <w:b/>
        </w:rPr>
        <w:t>Action</w:t>
      </w:r>
      <w:r w:rsidRPr="004A1BFB">
        <w:t xml:space="preserve">: </w:t>
      </w:r>
      <w:r w:rsidRPr="004A1BFB">
        <w:rPr>
          <w:u w:val="single"/>
        </w:rPr>
        <w:t>Mari</w:t>
      </w:r>
      <w:r w:rsidRPr="004A1BFB">
        <w:t xml:space="preserve"> to attach the document with business scenarios to the CR, as per Christine’s request.</w:t>
      </w:r>
    </w:p>
    <w:p w:rsidR="00445272" w:rsidRPr="00C34BDA" w:rsidRDefault="00445272" w:rsidP="004A1BFB">
      <w:pPr>
        <w:pStyle w:val="Heading1"/>
      </w:pPr>
      <w:bookmarkStart w:id="5" w:name="_Toc326775203"/>
      <w:r w:rsidRPr="00C34BDA">
        <w:t>CA 223 - MT 56X - New Event Type for Partial Redemption in Pro-Rata (</w:t>
      </w:r>
      <w:r>
        <w:t>CR review</w:t>
      </w:r>
      <w:r w:rsidRPr="00C34BDA">
        <w:t>)</w:t>
      </w:r>
      <w:bookmarkEnd w:id="5"/>
    </w:p>
    <w:p w:rsidR="00445272" w:rsidRPr="00F51EE4" w:rsidRDefault="00445272" w:rsidP="00445272">
      <w:pPr>
        <w:rPr>
          <w:bCs/>
        </w:rPr>
      </w:pPr>
      <w:r w:rsidRPr="00F51EE4">
        <w:rPr>
          <w:bCs/>
        </w:rPr>
        <w:t>‘Value’ was changed to ‘amount’ in the long definition, but the same change needs to be done in the short definition as well.</w:t>
      </w:r>
    </w:p>
    <w:p w:rsidR="00445272" w:rsidRPr="00F51EE4" w:rsidRDefault="00445272" w:rsidP="00F51EE4">
      <w:pPr>
        <w:pStyle w:val="Actions"/>
      </w:pPr>
      <w:r w:rsidRPr="00F51EE4">
        <w:rPr>
          <w:b/>
        </w:rPr>
        <w:t>Action</w:t>
      </w:r>
      <w:r w:rsidRPr="00F51EE4">
        <w:t xml:space="preserve">: </w:t>
      </w:r>
      <w:r w:rsidRPr="00F51EE4">
        <w:rPr>
          <w:u w:val="single"/>
        </w:rPr>
        <w:t>Bernard</w:t>
      </w:r>
      <w:r w:rsidRPr="00F51EE4">
        <w:t xml:space="preserve"> to send an updated CR by Tuesday.</w:t>
      </w:r>
    </w:p>
    <w:p w:rsidR="00445272" w:rsidRPr="00221519" w:rsidRDefault="00445272" w:rsidP="00445272">
      <w:pPr>
        <w:rPr>
          <w:rFonts w:ascii="Palatino" w:hAnsi="Palatino"/>
          <w:bCs/>
          <w:sz w:val="22"/>
          <w:szCs w:val="22"/>
        </w:rPr>
      </w:pPr>
    </w:p>
    <w:p w:rsidR="00445272" w:rsidRDefault="00445272" w:rsidP="004A1BFB">
      <w:pPr>
        <w:pStyle w:val="Heading1"/>
      </w:pPr>
      <w:bookmarkStart w:id="6" w:name="_Toc326775204"/>
      <w:r w:rsidRPr="00C34BDA">
        <w:t>CA 224 - MT 56X - New Event Type INFO &amp; new INFO Indicator (</w:t>
      </w:r>
      <w:r>
        <w:t>CR review</w:t>
      </w:r>
      <w:r w:rsidRPr="00C34BDA">
        <w:t>)</w:t>
      </w:r>
      <w:bookmarkEnd w:id="6"/>
    </w:p>
    <w:p w:rsidR="00445272" w:rsidRPr="00F51EE4" w:rsidRDefault="00445272" w:rsidP="00445272">
      <w:r w:rsidRPr="00F51EE4">
        <w:t>CR</w:t>
      </w:r>
      <w:r w:rsidR="00F51EE4">
        <w:t xml:space="preserve"> comments</w:t>
      </w:r>
    </w:p>
    <w:p w:rsidR="00445272" w:rsidRPr="00F51EE4" w:rsidRDefault="00445272" w:rsidP="00445272">
      <w:pPr>
        <w:numPr>
          <w:ilvl w:val="0"/>
          <w:numId w:val="28"/>
        </w:numPr>
        <w:spacing w:after="0"/>
        <w:rPr>
          <w:bCs/>
        </w:rPr>
      </w:pPr>
      <w:r w:rsidRPr="00F51EE4">
        <w:rPr>
          <w:bCs/>
        </w:rPr>
        <w:t>Bernard proposed adding text to the decision tree, to better explain the process.</w:t>
      </w:r>
    </w:p>
    <w:p w:rsidR="00445272" w:rsidRPr="00F51EE4" w:rsidRDefault="00445272" w:rsidP="00445272">
      <w:pPr>
        <w:numPr>
          <w:ilvl w:val="0"/>
          <w:numId w:val="28"/>
        </w:numPr>
        <w:spacing w:after="0"/>
        <w:rPr>
          <w:bCs/>
        </w:rPr>
      </w:pPr>
      <w:r w:rsidRPr="00F51EE4">
        <w:rPr>
          <w:bCs/>
        </w:rPr>
        <w:t>Bernard to remove example 2.</w:t>
      </w:r>
    </w:p>
    <w:p w:rsidR="00445272" w:rsidRPr="00F51EE4" w:rsidRDefault="00445272" w:rsidP="00445272">
      <w:pPr>
        <w:numPr>
          <w:ilvl w:val="0"/>
          <w:numId w:val="28"/>
        </w:numPr>
        <w:spacing w:after="0"/>
      </w:pPr>
      <w:r w:rsidRPr="00F51EE4">
        <w:rPr>
          <w:bCs/>
        </w:rPr>
        <w:t xml:space="preserve">Proposal to change the definition to </w:t>
      </w:r>
      <w:r w:rsidRPr="00F51EE4">
        <w:t>“Company information provided by the issuer, having no accounting/financial impact on the holder.”</w:t>
      </w:r>
    </w:p>
    <w:p w:rsidR="00445272" w:rsidRPr="00F51EE4" w:rsidRDefault="00445272" w:rsidP="00445272">
      <w:pPr>
        <w:numPr>
          <w:ilvl w:val="0"/>
          <w:numId w:val="28"/>
        </w:numPr>
        <w:spacing w:after="0"/>
      </w:pPr>
      <w:r w:rsidRPr="00F51EE4">
        <w:rPr>
          <w:bCs/>
        </w:rPr>
        <w:t>Remove ‘</w:t>
      </w:r>
      <w:r w:rsidRPr="00F51EE4">
        <w:rPr>
          <w:color w:val="000000"/>
          <w:lang w:eastAsia="en-GB"/>
        </w:rPr>
        <w:t>and the impact it has’ in the current work around section.</w:t>
      </w:r>
    </w:p>
    <w:p w:rsidR="00445272" w:rsidRDefault="00445272" w:rsidP="00F51EE4">
      <w:pPr>
        <w:pStyle w:val="Actions"/>
      </w:pPr>
      <w:r w:rsidRPr="00F51EE4">
        <w:rPr>
          <w:b/>
        </w:rPr>
        <w:t>Action</w:t>
      </w:r>
      <w:r w:rsidRPr="00F51EE4">
        <w:t xml:space="preserve">: </w:t>
      </w:r>
      <w:r w:rsidRPr="00F51EE4">
        <w:rPr>
          <w:u w:val="single"/>
        </w:rPr>
        <w:t>Bernard</w:t>
      </w:r>
      <w:r w:rsidRPr="00F51EE4">
        <w:t xml:space="preserve"> to update the CR in accordance with the above.</w:t>
      </w:r>
    </w:p>
    <w:p w:rsidR="00F51EE4" w:rsidRDefault="00F51EE4" w:rsidP="00445272">
      <w:pPr>
        <w:rPr>
          <w:bCs/>
        </w:rPr>
      </w:pPr>
    </w:p>
    <w:p w:rsidR="00445272" w:rsidRPr="00F51EE4" w:rsidRDefault="00445272" w:rsidP="00445272">
      <w:pPr>
        <w:rPr>
          <w:bCs/>
        </w:rPr>
      </w:pPr>
      <w:r w:rsidRPr="00F51EE4">
        <w:rPr>
          <w:bCs/>
        </w:rPr>
        <w:t>PROC//INFO</w:t>
      </w:r>
    </w:p>
    <w:p w:rsidR="00445272" w:rsidRPr="00F51EE4" w:rsidRDefault="00445272" w:rsidP="00F51EE4">
      <w:pPr>
        <w:pStyle w:val="Actions"/>
      </w:pPr>
      <w:r w:rsidRPr="00F51EE4">
        <w:rPr>
          <w:b/>
        </w:rPr>
        <w:t>Action</w:t>
      </w:r>
      <w:r w:rsidRPr="00F51EE4">
        <w:t xml:space="preserve">: As per Bernard’s request, </w:t>
      </w:r>
      <w:r w:rsidR="00F51EE4" w:rsidRPr="00F51EE4">
        <w:rPr>
          <w:u w:val="single"/>
        </w:rPr>
        <w:t>NMPG’s</w:t>
      </w:r>
      <w:r w:rsidRPr="00F51EE4">
        <w:t xml:space="preserve"> to investigate when PROC//INFO is used and for what purpose. Is it used for any other purpose than the one now covered by OPTF//NOSE? If not, PROC//INFO can be removed.</w:t>
      </w:r>
    </w:p>
    <w:p w:rsidR="00F51EE4" w:rsidRDefault="00445272" w:rsidP="004A1BFB">
      <w:pPr>
        <w:pStyle w:val="Heading1"/>
      </w:pPr>
      <w:bookmarkStart w:id="7" w:name="_Toc326775205"/>
      <w:r w:rsidRPr="00417FE8">
        <w:t>CA 225 – MT 565 - Add Option Features, Rates and Narrative &amp; Remove OFFR (NMPG Feedback)</w:t>
      </w:r>
      <w:bookmarkEnd w:id="7"/>
      <w:r w:rsidRPr="00417FE8">
        <w:t xml:space="preserve"> </w:t>
      </w:r>
    </w:p>
    <w:p w:rsidR="00F51EE4" w:rsidRDefault="00F51EE4" w:rsidP="00F51EE4">
      <w:r>
        <w:t>Feedback on the 3 questions asked in Athens:</w:t>
      </w:r>
    </w:p>
    <w:p w:rsidR="00F51EE4" w:rsidRPr="00F51EE4" w:rsidRDefault="00F51EE4" w:rsidP="00F51EE4">
      <w:pPr>
        <w:pStyle w:val="Decisions"/>
        <w:numPr>
          <w:ilvl w:val="0"/>
          <w:numId w:val="31"/>
        </w:numPr>
        <w:rPr>
          <w:color w:val="auto"/>
        </w:rPr>
      </w:pPr>
      <w:r w:rsidRPr="00F51EE4">
        <w:rPr>
          <w:color w:val="auto"/>
        </w:rPr>
        <w:t>Can we create a market practice for validation on other fields/values to find the right option when an instruction does not have a proper CAON ?</w:t>
      </w:r>
    </w:p>
    <w:p w:rsidR="00F51EE4" w:rsidRPr="00F51EE4" w:rsidRDefault="00F51EE4" w:rsidP="00F51EE4">
      <w:pPr>
        <w:pStyle w:val="Decisions"/>
        <w:numPr>
          <w:ilvl w:val="0"/>
          <w:numId w:val="31"/>
        </w:numPr>
        <w:rPr>
          <w:color w:val="auto"/>
        </w:rPr>
      </w:pPr>
      <w:r w:rsidRPr="00F51EE4">
        <w:rPr>
          <w:color w:val="auto"/>
        </w:rPr>
        <w:t>Can we create a market practice for validation on other fields to identify the right event when an instruction does not have a proper CORP ?</w:t>
      </w:r>
    </w:p>
    <w:p w:rsidR="00F51EE4" w:rsidRPr="00F51EE4" w:rsidRDefault="00F51EE4" w:rsidP="00F51EE4">
      <w:pPr>
        <w:pStyle w:val="Decisions"/>
        <w:numPr>
          <w:ilvl w:val="0"/>
          <w:numId w:val="31"/>
        </w:numPr>
        <w:rPr>
          <w:color w:val="auto"/>
        </w:rPr>
      </w:pPr>
      <w:r w:rsidRPr="00F51EE4">
        <w:rPr>
          <w:color w:val="auto"/>
        </w:rPr>
        <w:t>Can we support the (not yet ready) US CR to add more data elements (Sonda’s document) in the MT565 ?</w:t>
      </w:r>
    </w:p>
    <w:p w:rsidR="00445272" w:rsidRPr="00F51EE4" w:rsidRDefault="00445272" w:rsidP="00F51EE4">
      <w:pPr>
        <w:rPr>
          <w:b/>
          <w:u w:val="single"/>
        </w:rPr>
      </w:pPr>
      <w:r w:rsidRPr="00417FE8">
        <w:br/>
      </w:r>
      <w:r w:rsidRPr="00F51EE4">
        <w:rPr>
          <w:b/>
          <w:u w:val="single"/>
        </w:rPr>
        <w:t>Swiss NMPG</w:t>
      </w:r>
    </w:p>
    <w:p w:rsidR="00445272" w:rsidRPr="00F51EE4" w:rsidRDefault="00445272" w:rsidP="00445272">
      <w:r w:rsidRPr="00F51EE4">
        <w:t>1. Possible to use other fields if CAON is wrong. Question if similar fields need to be added to the MT567. Response from Sonda: There may be addition of more reason codes in the MT567, to report more of a mis-match of option details.</w:t>
      </w:r>
    </w:p>
    <w:p w:rsidR="00445272" w:rsidRPr="00F51EE4" w:rsidRDefault="00445272" w:rsidP="00445272">
      <w:r w:rsidRPr="00F51EE4">
        <w:t>2. Need CORP or COAF.</w:t>
      </w:r>
    </w:p>
    <w:p w:rsidR="00445272" w:rsidRPr="00F51EE4" w:rsidRDefault="00445272" w:rsidP="00445272">
      <w:r w:rsidRPr="00F51EE4">
        <w:t>3. Possibly</w:t>
      </w:r>
    </w:p>
    <w:p w:rsidR="00445272" w:rsidRPr="00F51EE4" w:rsidRDefault="00445272" w:rsidP="00445272">
      <w:pPr>
        <w:rPr>
          <w:b/>
          <w:u w:val="single"/>
        </w:rPr>
      </w:pPr>
      <w:r w:rsidRPr="00F51EE4">
        <w:rPr>
          <w:b/>
          <w:u w:val="single"/>
        </w:rPr>
        <w:t>Japanese NMPG</w:t>
      </w:r>
    </w:p>
    <w:p w:rsidR="00445272" w:rsidRPr="00F51EE4" w:rsidRDefault="00445272" w:rsidP="00445272">
      <w:r w:rsidRPr="00F51EE4">
        <w:t>Will email feedback</w:t>
      </w:r>
    </w:p>
    <w:p w:rsidR="00445272" w:rsidRPr="00F51EE4" w:rsidRDefault="00445272" w:rsidP="00445272">
      <w:pPr>
        <w:rPr>
          <w:b/>
          <w:u w:val="single"/>
        </w:rPr>
      </w:pPr>
      <w:r w:rsidRPr="00F51EE4">
        <w:rPr>
          <w:b/>
          <w:u w:val="single"/>
        </w:rPr>
        <w:t>ICSDs</w:t>
      </w:r>
    </w:p>
    <w:p w:rsidR="00445272" w:rsidRPr="00F51EE4" w:rsidRDefault="00445272" w:rsidP="00445272">
      <w:r w:rsidRPr="00F51EE4">
        <w:t>Call tomorrow, will provide feedback within a week</w:t>
      </w:r>
    </w:p>
    <w:p w:rsidR="00445272" w:rsidRPr="00F51EE4" w:rsidRDefault="00445272" w:rsidP="00445272">
      <w:pPr>
        <w:rPr>
          <w:b/>
          <w:u w:val="single"/>
        </w:rPr>
      </w:pPr>
      <w:r w:rsidRPr="00F51EE4">
        <w:rPr>
          <w:b/>
          <w:u w:val="single"/>
        </w:rPr>
        <w:t>UK NMPG</w:t>
      </w:r>
    </w:p>
    <w:p w:rsidR="00445272" w:rsidRPr="00F51EE4" w:rsidRDefault="00445272" w:rsidP="00445272">
      <w:r w:rsidRPr="00F51EE4">
        <w:t>Meeting Friday, will provide Friday afternoon or Monday morning</w:t>
      </w:r>
    </w:p>
    <w:p w:rsidR="00445272" w:rsidRPr="00F51EE4" w:rsidRDefault="00445272" w:rsidP="00445272">
      <w:pPr>
        <w:rPr>
          <w:b/>
          <w:u w:val="single"/>
        </w:rPr>
      </w:pPr>
      <w:r w:rsidRPr="00F51EE4">
        <w:rPr>
          <w:b/>
          <w:u w:val="single"/>
        </w:rPr>
        <w:t>South African NMPG</w:t>
      </w:r>
    </w:p>
    <w:p w:rsidR="00445272" w:rsidRPr="00F51EE4" w:rsidRDefault="00445272" w:rsidP="00445272">
      <w:r w:rsidRPr="00F51EE4">
        <w:t>1. Need correct CAON</w:t>
      </w:r>
    </w:p>
    <w:p w:rsidR="00445272" w:rsidRPr="00F51EE4" w:rsidRDefault="00445272" w:rsidP="00445272">
      <w:r w:rsidRPr="00F51EE4">
        <w:t>2. Need CORP or COAF</w:t>
      </w:r>
    </w:p>
    <w:p w:rsidR="00445272" w:rsidRPr="00F51EE4" w:rsidRDefault="00445272" w:rsidP="00445272">
      <w:r w:rsidRPr="00F51EE4">
        <w:t>3. ZA will revert on the US CR, but are not disinclined</w:t>
      </w:r>
    </w:p>
    <w:p w:rsidR="00445272" w:rsidRPr="00F51EE4" w:rsidRDefault="00445272" w:rsidP="00445272">
      <w:pPr>
        <w:rPr>
          <w:b/>
          <w:u w:val="single"/>
        </w:rPr>
      </w:pPr>
      <w:r w:rsidRPr="00F51EE4">
        <w:rPr>
          <w:b/>
          <w:u w:val="single"/>
        </w:rPr>
        <w:lastRenderedPageBreak/>
        <w:t>French NMPG</w:t>
      </w:r>
    </w:p>
    <w:p w:rsidR="00445272" w:rsidRPr="00F51EE4" w:rsidRDefault="00445272" w:rsidP="00445272">
      <w:r w:rsidRPr="00F51EE4">
        <w:t>1. Need correct CAON</w:t>
      </w:r>
    </w:p>
    <w:p w:rsidR="00445272" w:rsidRPr="00F51EE4" w:rsidRDefault="00445272" w:rsidP="00445272">
      <w:r w:rsidRPr="00F51EE4">
        <w:t>2. Need CORP or COAF</w:t>
      </w:r>
    </w:p>
    <w:p w:rsidR="00445272" w:rsidRPr="00F51EE4" w:rsidRDefault="00445272" w:rsidP="00445272">
      <w:r w:rsidRPr="00F51EE4">
        <w:t xml:space="preserve">3. FR is not in </w:t>
      </w:r>
      <w:r w:rsidR="00A1598F" w:rsidRPr="00F51EE4">
        <w:t>favor</w:t>
      </w:r>
      <w:r w:rsidRPr="00F51EE4">
        <w:t xml:space="preserve"> of the US CR</w:t>
      </w:r>
    </w:p>
    <w:p w:rsidR="00445272" w:rsidRPr="00F51EE4" w:rsidRDefault="00445272" w:rsidP="00445272">
      <w:r w:rsidRPr="00F51EE4">
        <w:t>Kim mentioned that the FR market believes the issue will be resolved in France (and BE, NL, due to an ESES development) within two years, and thus there is no need for a short-term solution.</w:t>
      </w:r>
    </w:p>
    <w:p w:rsidR="00445272" w:rsidRPr="00F51EE4" w:rsidRDefault="00445272" w:rsidP="00445272">
      <w:pPr>
        <w:rPr>
          <w:b/>
          <w:u w:val="single"/>
        </w:rPr>
      </w:pPr>
      <w:r w:rsidRPr="00F51EE4">
        <w:rPr>
          <w:b/>
          <w:u w:val="single"/>
        </w:rPr>
        <w:t>Finnish NMPG</w:t>
      </w:r>
    </w:p>
    <w:p w:rsidR="00445272" w:rsidRPr="00F51EE4" w:rsidRDefault="00445272" w:rsidP="00445272">
      <w:r w:rsidRPr="00F51EE4">
        <w:t>No feedback yet; will do so as soon as possible.</w:t>
      </w:r>
    </w:p>
    <w:p w:rsidR="00445272" w:rsidRPr="00F51EE4" w:rsidRDefault="00445272" w:rsidP="00445272">
      <w:pPr>
        <w:rPr>
          <w:b/>
          <w:u w:val="single"/>
        </w:rPr>
      </w:pPr>
      <w:r w:rsidRPr="00F51EE4">
        <w:rPr>
          <w:b/>
          <w:u w:val="single"/>
        </w:rPr>
        <w:t>Swedish NMPG</w:t>
      </w:r>
    </w:p>
    <w:p w:rsidR="00445272" w:rsidRPr="00F51EE4" w:rsidRDefault="00445272" w:rsidP="00445272">
      <w:r w:rsidRPr="00F51EE4">
        <w:t>1. Probably, but we are not sure we would like to.</w:t>
      </w:r>
    </w:p>
    <w:p w:rsidR="00445272" w:rsidRPr="00F51EE4" w:rsidRDefault="00445272" w:rsidP="00445272">
      <w:r w:rsidRPr="00F51EE4">
        <w:t>2. Probably not possible, at least not for 100% of events.</w:t>
      </w:r>
    </w:p>
    <w:p w:rsidR="00445272" w:rsidRPr="00F51EE4" w:rsidRDefault="00445272" w:rsidP="00445272">
      <w:r w:rsidRPr="00F51EE4">
        <w:t>3. Probably not.</w:t>
      </w:r>
    </w:p>
    <w:p w:rsidR="00445272" w:rsidRPr="00F51EE4" w:rsidRDefault="00445272" w:rsidP="00445272">
      <w:pPr>
        <w:rPr>
          <w:b/>
          <w:u w:val="single"/>
        </w:rPr>
      </w:pPr>
      <w:r w:rsidRPr="00F51EE4">
        <w:rPr>
          <w:b/>
          <w:u w:val="single"/>
        </w:rPr>
        <w:t>US NMPG</w:t>
      </w:r>
    </w:p>
    <w:p w:rsidR="00445272" w:rsidRPr="00F51EE4" w:rsidRDefault="00445272" w:rsidP="00445272">
      <w:r w:rsidRPr="00F51EE4">
        <w:t>Yes on all three. ISITC do not believe the issue will be solved for quite some time, and other alternatives need to be put in place and the option features are the best solution they have been able to found.</w:t>
      </w:r>
    </w:p>
    <w:p w:rsidR="00445272" w:rsidRDefault="00445272" w:rsidP="004A1BFB">
      <w:pPr>
        <w:pStyle w:val="Heading1"/>
      </w:pPr>
      <w:bookmarkStart w:id="8" w:name="_Toc326775206"/>
      <w:r w:rsidRPr="00417FE8">
        <w:t xml:space="preserve">CA 226 – Disclosure (DSCL) event  (CR review) </w:t>
      </w:r>
      <w:r>
        <w:t>NMPG feedback</w:t>
      </w:r>
      <w:bookmarkEnd w:id="8"/>
    </w:p>
    <w:p w:rsidR="004A4C34" w:rsidRDefault="00445272" w:rsidP="004A4C34">
      <w:r w:rsidRPr="004A4C34">
        <w:t xml:space="preserve">No </w:t>
      </w:r>
      <w:r w:rsidR="004A4C34">
        <w:t xml:space="preserve">country </w:t>
      </w:r>
      <w:r w:rsidRPr="004A4C34">
        <w:t xml:space="preserve">feedback was received. </w:t>
      </w:r>
    </w:p>
    <w:p w:rsidR="004A4C34" w:rsidRDefault="00445272" w:rsidP="004A4C34">
      <w:pPr>
        <w:pStyle w:val="Actions"/>
      </w:pPr>
      <w:r w:rsidRPr="004A4C34">
        <w:rPr>
          <w:b/>
        </w:rPr>
        <w:t>Action</w:t>
      </w:r>
      <w:r>
        <w:t xml:space="preserve">: </w:t>
      </w:r>
    </w:p>
    <w:p w:rsidR="00445272" w:rsidRDefault="004A4C34" w:rsidP="004A4C34">
      <w:pPr>
        <w:pStyle w:val="Actions"/>
        <w:spacing w:before="0" w:after="0"/>
      </w:pPr>
      <w:r>
        <w:rPr>
          <w:u w:val="single"/>
        </w:rPr>
        <w:t xml:space="preserve">1. </w:t>
      </w:r>
      <w:r w:rsidR="00445272" w:rsidRPr="004A4C34">
        <w:rPr>
          <w:u w:val="single"/>
        </w:rPr>
        <w:t>Bernard</w:t>
      </w:r>
      <w:r w:rsidR="00445272">
        <w:t xml:space="preserve"> to send his CR to the WG</w:t>
      </w:r>
    </w:p>
    <w:p w:rsidR="00445272" w:rsidRPr="00A16800" w:rsidRDefault="004A4C34" w:rsidP="004A4C34">
      <w:pPr>
        <w:pStyle w:val="Actions"/>
        <w:spacing w:before="0" w:after="0"/>
      </w:pPr>
      <w:r>
        <w:rPr>
          <w:u w:val="single"/>
        </w:rPr>
        <w:t xml:space="preserve">2. </w:t>
      </w:r>
      <w:r w:rsidR="00445272" w:rsidRPr="004A4C34">
        <w:rPr>
          <w:u w:val="single"/>
        </w:rPr>
        <w:t>NMPG</w:t>
      </w:r>
      <w:r>
        <w:rPr>
          <w:u w:val="single"/>
        </w:rPr>
        <w:t xml:space="preserve">’s </w:t>
      </w:r>
      <w:r w:rsidRPr="004A4C34">
        <w:t>are requested to discuss at their next meeting (or the one after that, if they have not yet had their post-Athens meeting</w:t>
      </w:r>
      <w:r>
        <w:t xml:space="preserve">) and </w:t>
      </w:r>
      <w:r w:rsidR="00445272" w:rsidRPr="00A16800">
        <w:t xml:space="preserve">comments </w:t>
      </w:r>
      <w:r w:rsidR="00445272">
        <w:t xml:space="preserve">to be sent </w:t>
      </w:r>
      <w:r w:rsidR="00445272" w:rsidRPr="00A16800">
        <w:t>via email</w:t>
      </w:r>
      <w:r w:rsidR="00445272">
        <w:t xml:space="preserve"> by morning of May 31</w:t>
      </w:r>
    </w:p>
    <w:p w:rsidR="004A1BFB" w:rsidRDefault="00445272" w:rsidP="004A1BFB">
      <w:pPr>
        <w:pStyle w:val="Heading1"/>
      </w:pPr>
      <w:bookmarkStart w:id="9" w:name="_Toc326775207"/>
      <w:r w:rsidRPr="00417FE8">
        <w:t>CA 230 – SOFE and INCE redundancy (CR review)</w:t>
      </w:r>
      <w:bookmarkEnd w:id="9"/>
      <w:r w:rsidRPr="00417FE8">
        <w:t xml:space="preserve"> </w:t>
      </w:r>
    </w:p>
    <w:p w:rsidR="00445272" w:rsidRPr="004A1BFB" w:rsidRDefault="00445272" w:rsidP="004A1BFB">
      <w:r w:rsidRPr="004A1BFB">
        <w:t>The CR was approved without comments.</w:t>
      </w:r>
    </w:p>
    <w:p w:rsidR="004A1BFB" w:rsidRDefault="00445272" w:rsidP="004A1BFB">
      <w:pPr>
        <w:pStyle w:val="Heading1"/>
      </w:pPr>
      <w:bookmarkStart w:id="10" w:name="_Toc326775208"/>
      <w:r w:rsidRPr="00417FE8">
        <w:t>CA 234 – New MP for Unknown Proceeds and CAOS (Review)</w:t>
      </w:r>
      <w:bookmarkEnd w:id="10"/>
      <w:r w:rsidRPr="00417FE8">
        <w:t xml:space="preserve"> </w:t>
      </w:r>
    </w:p>
    <w:p w:rsidR="00445272" w:rsidRPr="004A4C34" w:rsidRDefault="00445272" w:rsidP="00445272">
      <w:r w:rsidRPr="004A4C34">
        <w:t>Christine had not sent the proposal to the WG</w:t>
      </w:r>
      <w:r w:rsidR="004A4C34">
        <w:t>.</w:t>
      </w:r>
    </w:p>
    <w:p w:rsidR="004A4C34" w:rsidRPr="004A4C34" w:rsidRDefault="00445272" w:rsidP="004A4C34">
      <w:pPr>
        <w:pStyle w:val="Actions"/>
        <w:rPr>
          <w:b/>
        </w:rPr>
      </w:pPr>
      <w:r w:rsidRPr="004A4C34">
        <w:rPr>
          <w:b/>
        </w:rPr>
        <w:t>Action</w:t>
      </w:r>
      <w:r w:rsidR="004A4C34" w:rsidRPr="004A4C34">
        <w:rPr>
          <w:b/>
        </w:rPr>
        <w:t>s</w:t>
      </w:r>
      <w:r w:rsidRPr="004A4C34">
        <w:rPr>
          <w:b/>
        </w:rPr>
        <w:t xml:space="preserve">: </w:t>
      </w:r>
    </w:p>
    <w:p w:rsidR="00445272" w:rsidRPr="004A4C34" w:rsidRDefault="004A4C34" w:rsidP="004A4C34">
      <w:pPr>
        <w:pStyle w:val="Actions"/>
      </w:pPr>
      <w:r>
        <w:t xml:space="preserve">1. </w:t>
      </w:r>
      <w:r w:rsidR="00445272" w:rsidRPr="004A4C34">
        <w:rPr>
          <w:u w:val="single"/>
        </w:rPr>
        <w:t>Christine</w:t>
      </w:r>
      <w:r w:rsidR="00445272" w:rsidRPr="004A4C34">
        <w:t xml:space="preserve"> to send the proposal to the WG by end of day</w:t>
      </w:r>
    </w:p>
    <w:p w:rsidR="00445272" w:rsidRPr="004A4C34" w:rsidRDefault="004A4C34" w:rsidP="004A4C34">
      <w:pPr>
        <w:pStyle w:val="Actions"/>
      </w:pPr>
      <w:r>
        <w:t xml:space="preserve">2. </w:t>
      </w:r>
      <w:r w:rsidR="00445272" w:rsidRPr="004A4C34">
        <w:rPr>
          <w:u w:val="single"/>
        </w:rPr>
        <w:t>NMPG</w:t>
      </w:r>
      <w:r w:rsidR="00445272" w:rsidRPr="004A4C34">
        <w:t xml:space="preserve"> comments to be sent via email by morning of May 31</w:t>
      </w:r>
    </w:p>
    <w:p w:rsidR="00445272" w:rsidRPr="00417FE8" w:rsidRDefault="00445272" w:rsidP="004A1BFB">
      <w:pPr>
        <w:pStyle w:val="Heading1"/>
        <w:rPr>
          <w:rFonts w:cs="Palatino"/>
          <w:lang w:val="sv-SE"/>
        </w:rPr>
      </w:pPr>
      <w:bookmarkStart w:id="11" w:name="_Toc326775209"/>
      <w:r w:rsidRPr="00417FE8">
        <w:t>CA 236 – Last Trading Date (CR Review)</w:t>
      </w:r>
      <w:bookmarkEnd w:id="11"/>
    </w:p>
    <w:p w:rsidR="00445272" w:rsidRDefault="00445272" w:rsidP="004A4C34">
      <w:r>
        <w:t>Sanjeev asked for clarifications of what the date would be used for, and why it is to be included in E1/D1 only. Christine clarified that the date is only to be used for securities that will cease to exist due to a reorganisation, and thus the SECMOVE sequence of the debit seemed the best place.</w:t>
      </w:r>
    </w:p>
    <w:p w:rsidR="00445272" w:rsidRDefault="00445272" w:rsidP="004A4C34">
      <w:r>
        <w:t>Laura asked if data providers would be requested to provide the date. Christine responded that the CAJWG standards do not cover data providers, but if/when issuers will include the date, data providers would likely be requested by their clients to include it.</w:t>
      </w:r>
    </w:p>
    <w:p w:rsidR="004A4C34" w:rsidRDefault="00445272" w:rsidP="004A4C34">
      <w:r>
        <w:lastRenderedPageBreak/>
        <w:t>The WG had no objection to having the CR sent by the SMPG.</w:t>
      </w:r>
      <w:r w:rsidR="004A4C34" w:rsidRPr="004A4C34">
        <w:t xml:space="preserve"> </w:t>
      </w:r>
      <w:r w:rsidR="004A4C34">
        <w:t>Since France has a similar CR, need to check whether the SMPG one covers the French needs.</w:t>
      </w:r>
    </w:p>
    <w:p w:rsidR="004A4C34" w:rsidRDefault="004A4C34" w:rsidP="004A4C34">
      <w:pPr>
        <w:pStyle w:val="Actions"/>
      </w:pPr>
      <w:r w:rsidRPr="004A4C34">
        <w:rPr>
          <w:b/>
        </w:rPr>
        <w:t>Action</w:t>
      </w:r>
      <w:r>
        <w:t xml:space="preserve">: </w:t>
      </w:r>
      <w:r w:rsidRPr="004A4C34">
        <w:rPr>
          <w:u w:val="single"/>
        </w:rPr>
        <w:t>Kim</w:t>
      </w:r>
      <w:r>
        <w:t xml:space="preserve"> will email the French CR to </w:t>
      </w:r>
      <w:r w:rsidRPr="004A4C34">
        <w:rPr>
          <w:u w:val="single"/>
        </w:rPr>
        <w:t>Christine</w:t>
      </w:r>
      <w:r>
        <w:t xml:space="preserve"> for her to check if the SMPG’s CR covers all French needs.</w:t>
      </w:r>
    </w:p>
    <w:p w:rsidR="00445272" w:rsidRPr="0065082C" w:rsidRDefault="00445272" w:rsidP="004A1BFB">
      <w:pPr>
        <w:pStyle w:val="Heading1"/>
      </w:pPr>
      <w:bookmarkStart w:id="12" w:name="_Toc326775210"/>
      <w:r w:rsidRPr="0065082C">
        <w:t>IPRC//</w:t>
      </w:r>
      <w:smartTag w:uri="urn:schemas-microsoft-com:office:smarttags" w:element="stockticker">
        <w:r w:rsidRPr="0065082C">
          <w:t>PACK</w:t>
        </w:r>
      </w:smartTag>
      <w:r w:rsidRPr="0065082C">
        <w:t xml:space="preserve"> CR</w:t>
      </w:r>
      <w:bookmarkEnd w:id="12"/>
    </w:p>
    <w:p w:rsidR="00445272" w:rsidRDefault="00445272" w:rsidP="004A4C34">
      <w:r>
        <w:t>Kim asked if PEND statuses should be used directly, instead of starting with IPRC//</w:t>
      </w:r>
      <w:smartTag w:uri="urn:schemas-microsoft-com:office:smarttags" w:element="stockticker">
        <w:r>
          <w:t>PACK</w:t>
        </w:r>
      </w:smartTag>
      <w:r>
        <w:t>. Christine responded that this would depend on the business scenario and the account servicer’s processes and system. Sending a PEND status directly would be one option, but sending an IPRC//</w:t>
      </w:r>
      <w:smartTag w:uri="urn:schemas-microsoft-com:office:smarttags" w:element="stockticker">
        <w:r>
          <w:t>PACK</w:t>
        </w:r>
      </w:smartTag>
      <w:r>
        <w:t xml:space="preserve"> followed by a PEND status, would be equally possible and correct.</w:t>
      </w:r>
    </w:p>
    <w:p w:rsidR="004A4C34" w:rsidRDefault="00445272" w:rsidP="004A4C34">
      <w:r>
        <w:t xml:space="preserve">ISITC’s post-Athens meeting feedback is that account servicers may still need to report ‘lack and you need to do something’ vs. ‘lack and it is being processed’. </w:t>
      </w:r>
    </w:p>
    <w:p w:rsidR="00445272" w:rsidRDefault="00445272" w:rsidP="004A4C34">
      <w:r>
        <w:t xml:space="preserve">Christine proposed that the future CR for SR2014 to remove </w:t>
      </w:r>
      <w:smartTag w:uri="urn:schemas-microsoft-com:office:smarttags" w:element="stockticker">
        <w:r>
          <w:t>PACK</w:t>
        </w:r>
      </w:smartTag>
      <w:r>
        <w:t xml:space="preserve"> should be accompanied with a CR to have different reason codes for the two LATE scenarios.</w:t>
      </w:r>
    </w:p>
    <w:p w:rsidR="001E4357" w:rsidRDefault="001E4357" w:rsidP="006A3C3D">
      <w:pPr>
        <w:pStyle w:val="Heading1"/>
      </w:pPr>
      <w:bookmarkStart w:id="13" w:name="OLE_LINK5"/>
      <w:bookmarkStart w:id="14" w:name="OLE_LINK8"/>
      <w:bookmarkStart w:id="15" w:name="_Toc326775211"/>
      <w:r>
        <w:t xml:space="preserve">Next </w:t>
      </w:r>
      <w:r w:rsidR="006A418A">
        <w:t>Conference Call</w:t>
      </w:r>
      <w:bookmarkEnd w:id="15"/>
    </w:p>
    <w:p w:rsidR="00F80F49" w:rsidRDefault="00F80F49" w:rsidP="009E1B4F">
      <w:r>
        <w:t xml:space="preserve"> </w:t>
      </w:r>
      <w:r w:rsidR="006A418A">
        <w:t xml:space="preserve">June 27, </w:t>
      </w:r>
      <w:r w:rsidR="00EB4AFC">
        <w:t>2012</w:t>
      </w:r>
      <w:r w:rsidR="00BA1789">
        <w:t xml:space="preserve"> </w:t>
      </w:r>
      <w:r w:rsidR="006A418A">
        <w:t>From 2 to 4 CET.</w:t>
      </w:r>
    </w:p>
    <w:p w:rsidR="00F80F49" w:rsidRDefault="00F80F49" w:rsidP="009E1B4F"/>
    <w:bookmarkEnd w:id="13"/>
    <w:bookmarkEnd w:id="14"/>
    <w:p w:rsidR="006E176D" w:rsidRDefault="003C599B" w:rsidP="0085019F">
      <w:pPr>
        <w:pStyle w:val="BlockText"/>
        <w:rPr>
          <w:b/>
        </w:rPr>
      </w:pPr>
      <w:r>
        <w:rPr>
          <w:b/>
        </w:rPr>
        <w:t xml:space="preserve">------------------------ </w:t>
      </w:r>
      <w:r w:rsidRPr="003C599B">
        <w:rPr>
          <w:b/>
        </w:rPr>
        <w:t xml:space="preserve">End of the </w:t>
      </w:r>
      <w:r w:rsidR="007A08A5">
        <w:rPr>
          <w:b/>
        </w:rPr>
        <w:t>Meeting</w:t>
      </w:r>
      <w:r>
        <w:rPr>
          <w:b/>
        </w:rPr>
        <w:t xml:space="preserve"> </w:t>
      </w:r>
      <w:r w:rsidR="0085019F">
        <w:rPr>
          <w:b/>
        </w:rPr>
        <w:t xml:space="preserve">Minutes </w:t>
      </w:r>
      <w:r>
        <w:rPr>
          <w:b/>
        </w:rPr>
        <w:t>-----------------</w:t>
      </w:r>
    </w:p>
    <w:p w:rsidR="006E176D" w:rsidRPr="0085019F" w:rsidRDefault="006E176D" w:rsidP="0085019F">
      <w:pPr>
        <w:pStyle w:val="BlockText"/>
        <w:rPr>
          <w:b/>
        </w:rPr>
      </w:pPr>
    </w:p>
    <w:sectPr w:rsidR="006E176D" w:rsidRPr="0085019F" w:rsidSect="002322DE">
      <w:headerReference w:type="even" r:id="rId11"/>
      <w:headerReference w:type="default" r:id="rId12"/>
      <w:headerReference w:type="first" r:id="rId13"/>
      <w:pgSz w:w="12240" w:h="15840"/>
      <w:pgMar w:top="1296" w:right="1350"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C34" w:rsidRDefault="004A4C34" w:rsidP="00592037">
      <w:r>
        <w:separator/>
      </w:r>
    </w:p>
    <w:p w:rsidR="004A4C34" w:rsidRDefault="004A4C34" w:rsidP="00592037"/>
  </w:endnote>
  <w:endnote w:type="continuationSeparator" w:id="0">
    <w:p w:rsidR="004A4C34" w:rsidRDefault="004A4C34" w:rsidP="00592037">
      <w:r>
        <w:continuationSeparator/>
      </w:r>
    </w:p>
    <w:p w:rsidR="004A4C34" w:rsidRDefault="004A4C34" w:rsidP="005920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4" w:rsidRDefault="004A4C34"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4C34" w:rsidRDefault="004A4C34" w:rsidP="00592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4" w:rsidRPr="00F23DA7" w:rsidRDefault="004A4C34" w:rsidP="00592037">
    <w:pPr>
      <w:pStyle w:val="Footer"/>
      <w:rPr>
        <w:lang w:val="fr-BE"/>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Draft mins SMPG CA telco_20120523_v0_1.docx</w:t>
    </w:r>
    <w:r w:rsidRPr="008C30B6">
      <w:rPr>
        <w:sz w:val="16"/>
        <w:szCs w:val="16"/>
      </w:rPr>
      <w:fldChar w:fldCharType="end"/>
    </w:r>
    <w:r w:rsidRPr="00F23DA7">
      <w:rPr>
        <w:lang w:val="fr-BE"/>
      </w:rPr>
      <w:tab/>
      <w:t xml:space="preserve">Page </w:t>
    </w:r>
    <w:r w:rsidRPr="00D53847">
      <w:rPr>
        <w:lang w:val="fr-BE"/>
      </w:rPr>
      <w:fldChar w:fldCharType="begin"/>
    </w:r>
    <w:r w:rsidRPr="00D53847">
      <w:rPr>
        <w:lang w:val="fr-BE"/>
      </w:rPr>
      <w:instrText xml:space="preserve"> PAGE   \* MERGEFORMAT </w:instrText>
    </w:r>
    <w:r w:rsidRPr="00D53847">
      <w:rPr>
        <w:lang w:val="fr-BE"/>
      </w:rPr>
      <w:fldChar w:fldCharType="separate"/>
    </w:r>
    <w:r w:rsidR="00A1598F">
      <w:rPr>
        <w:noProof/>
        <w:lang w:val="fr-BE"/>
      </w:rPr>
      <w:t>1</w:t>
    </w:r>
    <w:r w:rsidRPr="00D53847">
      <w:rPr>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C34" w:rsidRDefault="004A4C34" w:rsidP="00592037">
      <w:r>
        <w:separator/>
      </w:r>
    </w:p>
    <w:p w:rsidR="004A4C34" w:rsidRDefault="004A4C34" w:rsidP="00592037"/>
  </w:footnote>
  <w:footnote w:type="continuationSeparator" w:id="0">
    <w:p w:rsidR="004A4C34" w:rsidRDefault="004A4C34" w:rsidP="00592037">
      <w:r>
        <w:continuationSeparator/>
      </w:r>
    </w:p>
    <w:p w:rsidR="004A4C34" w:rsidRDefault="004A4C34" w:rsidP="005920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4" w:rsidRDefault="004A4C34" w:rsidP="00592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4" w:rsidRPr="00284B42" w:rsidRDefault="004A4C34" w:rsidP="00652BA8">
    <w:pPr>
      <w:jc w:val="center"/>
      <w:rPr>
        <w:b/>
      </w:rPr>
    </w:pPr>
    <w:r w:rsidRPr="00AF401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367.8pt;margin-top:-29.5pt;width:137.65pt;height:93.35pt;z-index:251657728;visibility:visible;mso-wrap-edited:f" o:allowincell="f">
          <v:imagedata r:id="rId1" o:title=""/>
        </v:shape>
        <o:OLEObject Type="Embed" ProgID="Word.Picture.8" ShapeID="_x0000_s2056" DrawAspect="Content" ObjectID="_1400517126" r:id="rId2"/>
      </w:pict>
    </w:r>
    <w:r w:rsidRPr="00284B42">
      <w:rPr>
        <w:b/>
      </w:rPr>
      <w:t xml:space="preserve">CA SMPG </w:t>
    </w:r>
    <w:r>
      <w:rPr>
        <w:b/>
      </w:rPr>
      <w:t>– 23 May, 2012 Conference Call Minutes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4" w:rsidRDefault="004A4C34" w:rsidP="00592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47116"/>
    <w:multiLevelType w:val="hybridMultilevel"/>
    <w:tmpl w:val="2CFA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A03B0"/>
    <w:multiLevelType w:val="hybridMultilevel"/>
    <w:tmpl w:val="84288BF6"/>
    <w:lvl w:ilvl="0" w:tplc="624C84B4">
      <w:numFmt w:val="bullet"/>
      <w:lvlText w:val="-"/>
      <w:lvlJc w:val="left"/>
      <w:pPr>
        <w:ind w:left="720" w:hanging="360"/>
      </w:pPr>
      <w:rPr>
        <w:rFonts w:ascii="Calibri" w:eastAsia="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3F3B18"/>
    <w:multiLevelType w:val="hybridMultilevel"/>
    <w:tmpl w:val="253CC17C"/>
    <w:lvl w:ilvl="0" w:tplc="5FE8AD7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644211"/>
    <w:multiLevelType w:val="hybridMultilevel"/>
    <w:tmpl w:val="856E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A2484"/>
    <w:multiLevelType w:val="hybridMultilevel"/>
    <w:tmpl w:val="2A9E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27B0DAF"/>
    <w:multiLevelType w:val="hybridMultilevel"/>
    <w:tmpl w:val="4DA0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B6797"/>
    <w:multiLevelType w:val="hybridMultilevel"/>
    <w:tmpl w:val="2E92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453CF7"/>
    <w:multiLevelType w:val="hybridMultilevel"/>
    <w:tmpl w:val="4752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1">
    <w:nsid w:val="49EA5A94"/>
    <w:multiLevelType w:val="hybridMultilevel"/>
    <w:tmpl w:val="694A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B932C6"/>
    <w:multiLevelType w:val="hybridMultilevel"/>
    <w:tmpl w:val="4264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409D8"/>
    <w:multiLevelType w:val="hybridMultilevel"/>
    <w:tmpl w:val="AE4C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D774F"/>
    <w:multiLevelType w:val="hybridMultilevel"/>
    <w:tmpl w:val="E67A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E2058"/>
    <w:multiLevelType w:val="hybridMultilevel"/>
    <w:tmpl w:val="A264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FC7BA0"/>
    <w:multiLevelType w:val="hybridMultilevel"/>
    <w:tmpl w:val="1E5C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D20A00"/>
    <w:multiLevelType w:val="hybridMultilevel"/>
    <w:tmpl w:val="9336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5CE57A89"/>
    <w:multiLevelType w:val="hybridMultilevel"/>
    <w:tmpl w:val="3340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6C30BC6"/>
    <w:multiLevelType w:val="hybridMultilevel"/>
    <w:tmpl w:val="63FE65A4"/>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905074"/>
    <w:multiLevelType w:val="hybridMultilevel"/>
    <w:tmpl w:val="F8AEC412"/>
    <w:lvl w:ilvl="0" w:tplc="6F56AB4E">
      <w:start w:val="1"/>
      <w:numFmt w:val="decimal"/>
      <w:lvlText w:val="%1."/>
      <w:lvlJc w:val="left"/>
      <w:pPr>
        <w:ind w:left="9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BC53421"/>
    <w:multiLevelType w:val="hybridMultilevel"/>
    <w:tmpl w:val="20FA9B00"/>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33622E"/>
    <w:multiLevelType w:val="hybridMultilevel"/>
    <w:tmpl w:val="8EF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1B5B6C"/>
    <w:multiLevelType w:val="hybridMultilevel"/>
    <w:tmpl w:val="0ED2F63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060080"/>
    <w:multiLevelType w:val="hybridMultilevel"/>
    <w:tmpl w:val="B92A22A2"/>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F54EDD"/>
    <w:multiLevelType w:val="hybridMultilevel"/>
    <w:tmpl w:val="8BD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8E2F33"/>
    <w:multiLevelType w:val="hybridMultilevel"/>
    <w:tmpl w:val="C476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0"/>
  </w:num>
  <w:num w:numId="4">
    <w:abstractNumId w:val="6"/>
  </w:num>
  <w:num w:numId="5">
    <w:abstractNumId w:val="3"/>
  </w:num>
  <w:num w:numId="6">
    <w:abstractNumId w:val="23"/>
  </w:num>
  <w:num w:numId="7">
    <w:abstractNumId w:val="21"/>
  </w:num>
  <w:num w:numId="8">
    <w:abstractNumId w:val="16"/>
  </w:num>
  <w:num w:numId="9">
    <w:abstractNumId w:val="11"/>
  </w:num>
  <w:num w:numId="10">
    <w:abstractNumId w:val="20"/>
  </w:num>
  <w:num w:numId="11">
    <w:abstractNumId w:val="8"/>
  </w:num>
  <w:num w:numId="12">
    <w:abstractNumId w:val="1"/>
  </w:num>
  <w:num w:numId="13">
    <w:abstractNumId w:val="7"/>
  </w:num>
  <w:num w:numId="14">
    <w:abstractNumId w:val="15"/>
  </w:num>
  <w:num w:numId="15">
    <w:abstractNumId w:val="29"/>
  </w:num>
  <w:num w:numId="16">
    <w:abstractNumId w:val="9"/>
  </w:num>
  <w:num w:numId="17">
    <w:abstractNumId w:val="30"/>
  </w:num>
  <w:num w:numId="18">
    <w:abstractNumId w:val="13"/>
  </w:num>
  <w:num w:numId="19">
    <w:abstractNumId w:val="26"/>
  </w:num>
  <w:num w:numId="20">
    <w:abstractNumId w:val="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18"/>
  </w:num>
  <w:num w:numId="25">
    <w:abstractNumId w:val="14"/>
  </w:num>
  <w:num w:numId="26">
    <w:abstractNumId w:val="4"/>
  </w:num>
  <w:num w:numId="27">
    <w:abstractNumId w:val="22"/>
  </w:num>
  <w:num w:numId="28">
    <w:abstractNumId w:val="25"/>
  </w:num>
  <w:num w:numId="29">
    <w:abstractNumId w:val="28"/>
  </w:num>
  <w:num w:numId="30">
    <w:abstractNumId w:val="17"/>
  </w:num>
  <w:num w:numId="31">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2057">
      <o:colormenu v:ext="edit" fillcolor="none" strokecolor="#33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9B4"/>
    <w:rsid w:val="0000073F"/>
    <w:rsid w:val="0000241A"/>
    <w:rsid w:val="00002D65"/>
    <w:rsid w:val="000051B3"/>
    <w:rsid w:val="00005A1F"/>
    <w:rsid w:val="00005B96"/>
    <w:rsid w:val="00006049"/>
    <w:rsid w:val="0001004E"/>
    <w:rsid w:val="00010813"/>
    <w:rsid w:val="00012B6C"/>
    <w:rsid w:val="000152DC"/>
    <w:rsid w:val="000157C2"/>
    <w:rsid w:val="00015AA5"/>
    <w:rsid w:val="00015FFC"/>
    <w:rsid w:val="00016247"/>
    <w:rsid w:val="000238B1"/>
    <w:rsid w:val="00023C98"/>
    <w:rsid w:val="000250CC"/>
    <w:rsid w:val="000265A9"/>
    <w:rsid w:val="00026FE7"/>
    <w:rsid w:val="00027143"/>
    <w:rsid w:val="00027503"/>
    <w:rsid w:val="00030760"/>
    <w:rsid w:val="00030CC6"/>
    <w:rsid w:val="000357FF"/>
    <w:rsid w:val="0003700F"/>
    <w:rsid w:val="00037351"/>
    <w:rsid w:val="0004321D"/>
    <w:rsid w:val="00043978"/>
    <w:rsid w:val="00043D75"/>
    <w:rsid w:val="00044AD0"/>
    <w:rsid w:val="00044BC1"/>
    <w:rsid w:val="00045E01"/>
    <w:rsid w:val="00046B58"/>
    <w:rsid w:val="00046E03"/>
    <w:rsid w:val="00047EB2"/>
    <w:rsid w:val="0005309A"/>
    <w:rsid w:val="00057AD3"/>
    <w:rsid w:val="00057B4E"/>
    <w:rsid w:val="00063494"/>
    <w:rsid w:val="00063E96"/>
    <w:rsid w:val="00064ABF"/>
    <w:rsid w:val="00066415"/>
    <w:rsid w:val="0006676A"/>
    <w:rsid w:val="000669C7"/>
    <w:rsid w:val="000676D0"/>
    <w:rsid w:val="00067901"/>
    <w:rsid w:val="00067C23"/>
    <w:rsid w:val="00071DDE"/>
    <w:rsid w:val="00071ED9"/>
    <w:rsid w:val="00072DAB"/>
    <w:rsid w:val="00073090"/>
    <w:rsid w:val="000739DF"/>
    <w:rsid w:val="000745EC"/>
    <w:rsid w:val="00075D3E"/>
    <w:rsid w:val="000768FB"/>
    <w:rsid w:val="00081263"/>
    <w:rsid w:val="00081B28"/>
    <w:rsid w:val="00083D8B"/>
    <w:rsid w:val="0009050D"/>
    <w:rsid w:val="0009483B"/>
    <w:rsid w:val="00095B6F"/>
    <w:rsid w:val="00095F57"/>
    <w:rsid w:val="00096171"/>
    <w:rsid w:val="00096CBE"/>
    <w:rsid w:val="000971AD"/>
    <w:rsid w:val="0009749E"/>
    <w:rsid w:val="000A020C"/>
    <w:rsid w:val="000A0465"/>
    <w:rsid w:val="000A07A2"/>
    <w:rsid w:val="000A0FAC"/>
    <w:rsid w:val="000A0FFC"/>
    <w:rsid w:val="000A198A"/>
    <w:rsid w:val="000A2DA8"/>
    <w:rsid w:val="000A4E72"/>
    <w:rsid w:val="000A641E"/>
    <w:rsid w:val="000A6633"/>
    <w:rsid w:val="000A785A"/>
    <w:rsid w:val="000B0127"/>
    <w:rsid w:val="000B1811"/>
    <w:rsid w:val="000B1929"/>
    <w:rsid w:val="000B4025"/>
    <w:rsid w:val="000B557A"/>
    <w:rsid w:val="000B5831"/>
    <w:rsid w:val="000B5DFD"/>
    <w:rsid w:val="000B7094"/>
    <w:rsid w:val="000B70C1"/>
    <w:rsid w:val="000B7388"/>
    <w:rsid w:val="000C021B"/>
    <w:rsid w:val="000C0868"/>
    <w:rsid w:val="000C103C"/>
    <w:rsid w:val="000C29FB"/>
    <w:rsid w:val="000C5A2C"/>
    <w:rsid w:val="000D04FB"/>
    <w:rsid w:val="000D1EB3"/>
    <w:rsid w:val="000D3879"/>
    <w:rsid w:val="000D3E94"/>
    <w:rsid w:val="000D46A6"/>
    <w:rsid w:val="000D493E"/>
    <w:rsid w:val="000D4C85"/>
    <w:rsid w:val="000D4E57"/>
    <w:rsid w:val="000D5B98"/>
    <w:rsid w:val="000D7A8E"/>
    <w:rsid w:val="000D7B6D"/>
    <w:rsid w:val="000E0ADE"/>
    <w:rsid w:val="000E20CE"/>
    <w:rsid w:val="000E2A55"/>
    <w:rsid w:val="000E2F7A"/>
    <w:rsid w:val="000E38B8"/>
    <w:rsid w:val="000E4C23"/>
    <w:rsid w:val="000E5ACC"/>
    <w:rsid w:val="000E6378"/>
    <w:rsid w:val="000E6687"/>
    <w:rsid w:val="000E7A30"/>
    <w:rsid w:val="000F07A5"/>
    <w:rsid w:val="000F360E"/>
    <w:rsid w:val="000F39A6"/>
    <w:rsid w:val="000F4705"/>
    <w:rsid w:val="001006E9"/>
    <w:rsid w:val="001010D0"/>
    <w:rsid w:val="0010148B"/>
    <w:rsid w:val="00104342"/>
    <w:rsid w:val="00104475"/>
    <w:rsid w:val="00104E0B"/>
    <w:rsid w:val="00106021"/>
    <w:rsid w:val="001066E7"/>
    <w:rsid w:val="00107248"/>
    <w:rsid w:val="00111B6A"/>
    <w:rsid w:val="00112883"/>
    <w:rsid w:val="00114286"/>
    <w:rsid w:val="001146D2"/>
    <w:rsid w:val="001147AD"/>
    <w:rsid w:val="00115141"/>
    <w:rsid w:val="00116E13"/>
    <w:rsid w:val="001170FE"/>
    <w:rsid w:val="00120940"/>
    <w:rsid w:val="00120B68"/>
    <w:rsid w:val="001210F0"/>
    <w:rsid w:val="0012291D"/>
    <w:rsid w:val="00123412"/>
    <w:rsid w:val="001249FA"/>
    <w:rsid w:val="001252D0"/>
    <w:rsid w:val="00125819"/>
    <w:rsid w:val="00125C14"/>
    <w:rsid w:val="0013330E"/>
    <w:rsid w:val="00133F85"/>
    <w:rsid w:val="0013486A"/>
    <w:rsid w:val="0013566B"/>
    <w:rsid w:val="001358D5"/>
    <w:rsid w:val="00136796"/>
    <w:rsid w:val="001368E8"/>
    <w:rsid w:val="001379EC"/>
    <w:rsid w:val="00137E29"/>
    <w:rsid w:val="00140D10"/>
    <w:rsid w:val="00141100"/>
    <w:rsid w:val="0014123C"/>
    <w:rsid w:val="001418F7"/>
    <w:rsid w:val="00143146"/>
    <w:rsid w:val="001438E0"/>
    <w:rsid w:val="00143CD5"/>
    <w:rsid w:val="0014506F"/>
    <w:rsid w:val="00147115"/>
    <w:rsid w:val="00147C1D"/>
    <w:rsid w:val="00152168"/>
    <w:rsid w:val="00152AFF"/>
    <w:rsid w:val="00155B4B"/>
    <w:rsid w:val="00156EF0"/>
    <w:rsid w:val="0015716F"/>
    <w:rsid w:val="00157457"/>
    <w:rsid w:val="001577B5"/>
    <w:rsid w:val="001661A6"/>
    <w:rsid w:val="001676C8"/>
    <w:rsid w:val="001724A7"/>
    <w:rsid w:val="0017306F"/>
    <w:rsid w:val="00173FAC"/>
    <w:rsid w:val="001753F9"/>
    <w:rsid w:val="00177C7D"/>
    <w:rsid w:val="001803DE"/>
    <w:rsid w:val="0018271E"/>
    <w:rsid w:val="0018324D"/>
    <w:rsid w:val="001865D5"/>
    <w:rsid w:val="001868D6"/>
    <w:rsid w:val="001869F3"/>
    <w:rsid w:val="00187EB0"/>
    <w:rsid w:val="00190D5F"/>
    <w:rsid w:val="00191E31"/>
    <w:rsid w:val="00193B1C"/>
    <w:rsid w:val="00193C6C"/>
    <w:rsid w:val="00196DC2"/>
    <w:rsid w:val="001A07E2"/>
    <w:rsid w:val="001A0FFD"/>
    <w:rsid w:val="001A13AA"/>
    <w:rsid w:val="001A2F9A"/>
    <w:rsid w:val="001A5A33"/>
    <w:rsid w:val="001B0406"/>
    <w:rsid w:val="001B1DAD"/>
    <w:rsid w:val="001B1E86"/>
    <w:rsid w:val="001B2789"/>
    <w:rsid w:val="001B3103"/>
    <w:rsid w:val="001B5E2D"/>
    <w:rsid w:val="001B65D2"/>
    <w:rsid w:val="001B7D5A"/>
    <w:rsid w:val="001C1436"/>
    <w:rsid w:val="001C16D3"/>
    <w:rsid w:val="001C2AB4"/>
    <w:rsid w:val="001C2F37"/>
    <w:rsid w:val="001C391C"/>
    <w:rsid w:val="001C3DAA"/>
    <w:rsid w:val="001C50FA"/>
    <w:rsid w:val="001C5442"/>
    <w:rsid w:val="001C5824"/>
    <w:rsid w:val="001C6483"/>
    <w:rsid w:val="001C7F55"/>
    <w:rsid w:val="001D0007"/>
    <w:rsid w:val="001D0D2F"/>
    <w:rsid w:val="001D0D7A"/>
    <w:rsid w:val="001D0FDF"/>
    <w:rsid w:val="001D1050"/>
    <w:rsid w:val="001D1633"/>
    <w:rsid w:val="001D1FD6"/>
    <w:rsid w:val="001D2505"/>
    <w:rsid w:val="001D2EE1"/>
    <w:rsid w:val="001D7F34"/>
    <w:rsid w:val="001E3E8E"/>
    <w:rsid w:val="001E4357"/>
    <w:rsid w:val="001E4780"/>
    <w:rsid w:val="001E5AAA"/>
    <w:rsid w:val="001E774B"/>
    <w:rsid w:val="001E78CC"/>
    <w:rsid w:val="001F2C65"/>
    <w:rsid w:val="001F3F45"/>
    <w:rsid w:val="001F70B4"/>
    <w:rsid w:val="001F7791"/>
    <w:rsid w:val="0020115E"/>
    <w:rsid w:val="00201BDB"/>
    <w:rsid w:val="00202058"/>
    <w:rsid w:val="0020323F"/>
    <w:rsid w:val="0020391C"/>
    <w:rsid w:val="002055C7"/>
    <w:rsid w:val="00206DF5"/>
    <w:rsid w:val="00211C67"/>
    <w:rsid w:val="00212BFF"/>
    <w:rsid w:val="002131AF"/>
    <w:rsid w:val="00214D22"/>
    <w:rsid w:val="00215780"/>
    <w:rsid w:val="00215A86"/>
    <w:rsid w:val="00216A0C"/>
    <w:rsid w:val="00217002"/>
    <w:rsid w:val="002178B6"/>
    <w:rsid w:val="002200F0"/>
    <w:rsid w:val="00220185"/>
    <w:rsid w:val="00220F3C"/>
    <w:rsid w:val="00221837"/>
    <w:rsid w:val="00222412"/>
    <w:rsid w:val="002251B0"/>
    <w:rsid w:val="00225FFD"/>
    <w:rsid w:val="0022784C"/>
    <w:rsid w:val="00230996"/>
    <w:rsid w:val="00231917"/>
    <w:rsid w:val="002321F8"/>
    <w:rsid w:val="002322DE"/>
    <w:rsid w:val="00236BA7"/>
    <w:rsid w:val="00236F14"/>
    <w:rsid w:val="0023774C"/>
    <w:rsid w:val="00240BD1"/>
    <w:rsid w:val="00240FD7"/>
    <w:rsid w:val="002423C3"/>
    <w:rsid w:val="002454FF"/>
    <w:rsid w:val="002456C7"/>
    <w:rsid w:val="00245BAF"/>
    <w:rsid w:val="00246A6A"/>
    <w:rsid w:val="00246C2F"/>
    <w:rsid w:val="002508BC"/>
    <w:rsid w:val="00251E0B"/>
    <w:rsid w:val="0025223A"/>
    <w:rsid w:val="00254E98"/>
    <w:rsid w:val="00257190"/>
    <w:rsid w:val="00257502"/>
    <w:rsid w:val="0025798E"/>
    <w:rsid w:val="00260B07"/>
    <w:rsid w:val="00262529"/>
    <w:rsid w:val="00262E44"/>
    <w:rsid w:val="00262F75"/>
    <w:rsid w:val="00265B60"/>
    <w:rsid w:val="00266341"/>
    <w:rsid w:val="00266950"/>
    <w:rsid w:val="00266BEE"/>
    <w:rsid w:val="00270080"/>
    <w:rsid w:val="00270330"/>
    <w:rsid w:val="00272B37"/>
    <w:rsid w:val="00275165"/>
    <w:rsid w:val="00275317"/>
    <w:rsid w:val="002762B1"/>
    <w:rsid w:val="00276C1F"/>
    <w:rsid w:val="00277BC7"/>
    <w:rsid w:val="00281FE5"/>
    <w:rsid w:val="002825D2"/>
    <w:rsid w:val="00284921"/>
    <w:rsid w:val="00284B42"/>
    <w:rsid w:val="00285001"/>
    <w:rsid w:val="0028574A"/>
    <w:rsid w:val="0028678C"/>
    <w:rsid w:val="0029301A"/>
    <w:rsid w:val="00293BD3"/>
    <w:rsid w:val="00293EC3"/>
    <w:rsid w:val="0029519D"/>
    <w:rsid w:val="00297D5D"/>
    <w:rsid w:val="002A0A67"/>
    <w:rsid w:val="002A1D00"/>
    <w:rsid w:val="002A1D10"/>
    <w:rsid w:val="002A4CC2"/>
    <w:rsid w:val="002A54C7"/>
    <w:rsid w:val="002A63CB"/>
    <w:rsid w:val="002A7995"/>
    <w:rsid w:val="002B0D84"/>
    <w:rsid w:val="002B2602"/>
    <w:rsid w:val="002B289A"/>
    <w:rsid w:val="002B3AA8"/>
    <w:rsid w:val="002B5469"/>
    <w:rsid w:val="002B5AA2"/>
    <w:rsid w:val="002B6054"/>
    <w:rsid w:val="002B659F"/>
    <w:rsid w:val="002B66CE"/>
    <w:rsid w:val="002B6B40"/>
    <w:rsid w:val="002C140D"/>
    <w:rsid w:val="002C4E0C"/>
    <w:rsid w:val="002C56EF"/>
    <w:rsid w:val="002C5EF2"/>
    <w:rsid w:val="002C666D"/>
    <w:rsid w:val="002D13AB"/>
    <w:rsid w:val="002D15BA"/>
    <w:rsid w:val="002D20A6"/>
    <w:rsid w:val="002D26F6"/>
    <w:rsid w:val="002D33B9"/>
    <w:rsid w:val="002D4171"/>
    <w:rsid w:val="002D5A70"/>
    <w:rsid w:val="002E08BB"/>
    <w:rsid w:val="002E4ABE"/>
    <w:rsid w:val="002E55C2"/>
    <w:rsid w:val="002F0EA9"/>
    <w:rsid w:val="002F1879"/>
    <w:rsid w:val="002F18DE"/>
    <w:rsid w:val="002F2938"/>
    <w:rsid w:val="002F3775"/>
    <w:rsid w:val="002F7332"/>
    <w:rsid w:val="002F79AF"/>
    <w:rsid w:val="0030375D"/>
    <w:rsid w:val="00304516"/>
    <w:rsid w:val="00305A21"/>
    <w:rsid w:val="00305B81"/>
    <w:rsid w:val="00305BD1"/>
    <w:rsid w:val="003119EC"/>
    <w:rsid w:val="00312E97"/>
    <w:rsid w:val="00313942"/>
    <w:rsid w:val="00315877"/>
    <w:rsid w:val="003158F8"/>
    <w:rsid w:val="00315F00"/>
    <w:rsid w:val="00316C4E"/>
    <w:rsid w:val="00321229"/>
    <w:rsid w:val="0032197A"/>
    <w:rsid w:val="00321F52"/>
    <w:rsid w:val="00322089"/>
    <w:rsid w:val="00322BE1"/>
    <w:rsid w:val="00324805"/>
    <w:rsid w:val="0032483E"/>
    <w:rsid w:val="003248BE"/>
    <w:rsid w:val="00325CC6"/>
    <w:rsid w:val="003261CF"/>
    <w:rsid w:val="00327C15"/>
    <w:rsid w:val="00330C7E"/>
    <w:rsid w:val="00332F91"/>
    <w:rsid w:val="00333A87"/>
    <w:rsid w:val="00337354"/>
    <w:rsid w:val="003405F3"/>
    <w:rsid w:val="003439BE"/>
    <w:rsid w:val="00345C75"/>
    <w:rsid w:val="00346AA9"/>
    <w:rsid w:val="00346BFF"/>
    <w:rsid w:val="00347CFB"/>
    <w:rsid w:val="0035195E"/>
    <w:rsid w:val="003524FD"/>
    <w:rsid w:val="003525AE"/>
    <w:rsid w:val="0035412E"/>
    <w:rsid w:val="003549AC"/>
    <w:rsid w:val="003559F3"/>
    <w:rsid w:val="003569DA"/>
    <w:rsid w:val="003611AC"/>
    <w:rsid w:val="00363C0E"/>
    <w:rsid w:val="003657AB"/>
    <w:rsid w:val="0037101D"/>
    <w:rsid w:val="00371B50"/>
    <w:rsid w:val="00371D8F"/>
    <w:rsid w:val="003750EA"/>
    <w:rsid w:val="00376698"/>
    <w:rsid w:val="0037670C"/>
    <w:rsid w:val="00376A6D"/>
    <w:rsid w:val="00381A23"/>
    <w:rsid w:val="00383BD5"/>
    <w:rsid w:val="00384B04"/>
    <w:rsid w:val="00385E1E"/>
    <w:rsid w:val="0039065D"/>
    <w:rsid w:val="0039109C"/>
    <w:rsid w:val="00392112"/>
    <w:rsid w:val="00394970"/>
    <w:rsid w:val="0039522C"/>
    <w:rsid w:val="003979EC"/>
    <w:rsid w:val="003A0493"/>
    <w:rsid w:val="003A50DC"/>
    <w:rsid w:val="003A548A"/>
    <w:rsid w:val="003A630B"/>
    <w:rsid w:val="003A66B0"/>
    <w:rsid w:val="003A694B"/>
    <w:rsid w:val="003B0CD2"/>
    <w:rsid w:val="003B0CEF"/>
    <w:rsid w:val="003B1348"/>
    <w:rsid w:val="003B250E"/>
    <w:rsid w:val="003B28EF"/>
    <w:rsid w:val="003B43BF"/>
    <w:rsid w:val="003B46C6"/>
    <w:rsid w:val="003B4992"/>
    <w:rsid w:val="003B54B2"/>
    <w:rsid w:val="003B5D70"/>
    <w:rsid w:val="003B5E48"/>
    <w:rsid w:val="003B7A76"/>
    <w:rsid w:val="003C292A"/>
    <w:rsid w:val="003C3076"/>
    <w:rsid w:val="003C3419"/>
    <w:rsid w:val="003C44DF"/>
    <w:rsid w:val="003C4F1E"/>
    <w:rsid w:val="003C599B"/>
    <w:rsid w:val="003C5B12"/>
    <w:rsid w:val="003C762F"/>
    <w:rsid w:val="003D01B3"/>
    <w:rsid w:val="003D07F5"/>
    <w:rsid w:val="003D0F10"/>
    <w:rsid w:val="003D1B5C"/>
    <w:rsid w:val="003D2B29"/>
    <w:rsid w:val="003D2B4D"/>
    <w:rsid w:val="003D3B56"/>
    <w:rsid w:val="003E05AF"/>
    <w:rsid w:val="003E0A22"/>
    <w:rsid w:val="003E0ABF"/>
    <w:rsid w:val="003E1722"/>
    <w:rsid w:val="003E458D"/>
    <w:rsid w:val="003E58A3"/>
    <w:rsid w:val="003E5EFD"/>
    <w:rsid w:val="003E6B0C"/>
    <w:rsid w:val="003F1217"/>
    <w:rsid w:val="003F1787"/>
    <w:rsid w:val="003F34C2"/>
    <w:rsid w:val="003F5926"/>
    <w:rsid w:val="003F79E6"/>
    <w:rsid w:val="0040048C"/>
    <w:rsid w:val="0040244E"/>
    <w:rsid w:val="00403047"/>
    <w:rsid w:val="00403D4A"/>
    <w:rsid w:val="00404C0C"/>
    <w:rsid w:val="00404D4D"/>
    <w:rsid w:val="00404FF3"/>
    <w:rsid w:val="004059D7"/>
    <w:rsid w:val="0040750A"/>
    <w:rsid w:val="004078BD"/>
    <w:rsid w:val="00410935"/>
    <w:rsid w:val="00410D38"/>
    <w:rsid w:val="00411EF0"/>
    <w:rsid w:val="0041228B"/>
    <w:rsid w:val="0041398D"/>
    <w:rsid w:val="00413A6E"/>
    <w:rsid w:val="00413DCF"/>
    <w:rsid w:val="0041445A"/>
    <w:rsid w:val="0041468C"/>
    <w:rsid w:val="004151F3"/>
    <w:rsid w:val="00415DB0"/>
    <w:rsid w:val="004168D8"/>
    <w:rsid w:val="00420FBB"/>
    <w:rsid w:val="00421049"/>
    <w:rsid w:val="00421714"/>
    <w:rsid w:val="0042300C"/>
    <w:rsid w:val="00425162"/>
    <w:rsid w:val="00425220"/>
    <w:rsid w:val="00425AED"/>
    <w:rsid w:val="00432190"/>
    <w:rsid w:val="0043250A"/>
    <w:rsid w:val="00433699"/>
    <w:rsid w:val="0043409F"/>
    <w:rsid w:val="004343EB"/>
    <w:rsid w:val="00434952"/>
    <w:rsid w:val="004367E8"/>
    <w:rsid w:val="00436BB0"/>
    <w:rsid w:val="00437051"/>
    <w:rsid w:val="004378C7"/>
    <w:rsid w:val="0044105F"/>
    <w:rsid w:val="0044227C"/>
    <w:rsid w:val="00445272"/>
    <w:rsid w:val="0044610D"/>
    <w:rsid w:val="004466C3"/>
    <w:rsid w:val="00450EBE"/>
    <w:rsid w:val="00451AAA"/>
    <w:rsid w:val="00454A63"/>
    <w:rsid w:val="00456E82"/>
    <w:rsid w:val="00457903"/>
    <w:rsid w:val="00457BF4"/>
    <w:rsid w:val="0046643B"/>
    <w:rsid w:val="0046661C"/>
    <w:rsid w:val="0046758F"/>
    <w:rsid w:val="00467FE4"/>
    <w:rsid w:val="00473488"/>
    <w:rsid w:val="004738C4"/>
    <w:rsid w:val="00475B64"/>
    <w:rsid w:val="0047788F"/>
    <w:rsid w:val="004809B4"/>
    <w:rsid w:val="00480BDE"/>
    <w:rsid w:val="00480DE4"/>
    <w:rsid w:val="00480F54"/>
    <w:rsid w:val="004812E8"/>
    <w:rsid w:val="00481582"/>
    <w:rsid w:val="00482E4C"/>
    <w:rsid w:val="00483126"/>
    <w:rsid w:val="00483131"/>
    <w:rsid w:val="00484F3D"/>
    <w:rsid w:val="00490032"/>
    <w:rsid w:val="00490BD1"/>
    <w:rsid w:val="00490FC6"/>
    <w:rsid w:val="00494C4C"/>
    <w:rsid w:val="004A0858"/>
    <w:rsid w:val="004A0F2B"/>
    <w:rsid w:val="004A17C2"/>
    <w:rsid w:val="004A1BFB"/>
    <w:rsid w:val="004A2770"/>
    <w:rsid w:val="004A3256"/>
    <w:rsid w:val="004A355B"/>
    <w:rsid w:val="004A37EF"/>
    <w:rsid w:val="004A3833"/>
    <w:rsid w:val="004A4C34"/>
    <w:rsid w:val="004A56C8"/>
    <w:rsid w:val="004B070C"/>
    <w:rsid w:val="004B12EF"/>
    <w:rsid w:val="004B1735"/>
    <w:rsid w:val="004B1DE9"/>
    <w:rsid w:val="004B2026"/>
    <w:rsid w:val="004B410C"/>
    <w:rsid w:val="004B449F"/>
    <w:rsid w:val="004B4AE0"/>
    <w:rsid w:val="004B589C"/>
    <w:rsid w:val="004B5DE4"/>
    <w:rsid w:val="004B68CC"/>
    <w:rsid w:val="004B745D"/>
    <w:rsid w:val="004B7E5A"/>
    <w:rsid w:val="004C058A"/>
    <w:rsid w:val="004C1D25"/>
    <w:rsid w:val="004C2926"/>
    <w:rsid w:val="004C4A2E"/>
    <w:rsid w:val="004C4CE2"/>
    <w:rsid w:val="004C4DB3"/>
    <w:rsid w:val="004C4DFA"/>
    <w:rsid w:val="004D04FF"/>
    <w:rsid w:val="004D0EDD"/>
    <w:rsid w:val="004D26FC"/>
    <w:rsid w:val="004D2C5C"/>
    <w:rsid w:val="004D2E16"/>
    <w:rsid w:val="004D4937"/>
    <w:rsid w:val="004D6532"/>
    <w:rsid w:val="004D7FD6"/>
    <w:rsid w:val="004E0F76"/>
    <w:rsid w:val="004E210B"/>
    <w:rsid w:val="004E4BA3"/>
    <w:rsid w:val="004E62F4"/>
    <w:rsid w:val="004E7310"/>
    <w:rsid w:val="004F19E7"/>
    <w:rsid w:val="004F1F1E"/>
    <w:rsid w:val="004F4B63"/>
    <w:rsid w:val="004F4DA3"/>
    <w:rsid w:val="004F506B"/>
    <w:rsid w:val="004F6152"/>
    <w:rsid w:val="004F76FA"/>
    <w:rsid w:val="005023A2"/>
    <w:rsid w:val="005028FD"/>
    <w:rsid w:val="00506869"/>
    <w:rsid w:val="0050733E"/>
    <w:rsid w:val="00510058"/>
    <w:rsid w:val="00510BCA"/>
    <w:rsid w:val="00511445"/>
    <w:rsid w:val="00513624"/>
    <w:rsid w:val="00514138"/>
    <w:rsid w:val="00514E75"/>
    <w:rsid w:val="00515DFE"/>
    <w:rsid w:val="00515E18"/>
    <w:rsid w:val="00516819"/>
    <w:rsid w:val="00517028"/>
    <w:rsid w:val="00520473"/>
    <w:rsid w:val="0052413A"/>
    <w:rsid w:val="0052689B"/>
    <w:rsid w:val="0052715F"/>
    <w:rsid w:val="00534622"/>
    <w:rsid w:val="00534E47"/>
    <w:rsid w:val="00534F9F"/>
    <w:rsid w:val="00536C9B"/>
    <w:rsid w:val="0054022C"/>
    <w:rsid w:val="005405BF"/>
    <w:rsid w:val="0054102E"/>
    <w:rsid w:val="00541706"/>
    <w:rsid w:val="00544027"/>
    <w:rsid w:val="005453F8"/>
    <w:rsid w:val="005467BF"/>
    <w:rsid w:val="0054728E"/>
    <w:rsid w:val="00547E78"/>
    <w:rsid w:val="0055015B"/>
    <w:rsid w:val="005507A9"/>
    <w:rsid w:val="005508A1"/>
    <w:rsid w:val="00550DDB"/>
    <w:rsid w:val="0055138B"/>
    <w:rsid w:val="00551882"/>
    <w:rsid w:val="00551C03"/>
    <w:rsid w:val="00552A54"/>
    <w:rsid w:val="005549B2"/>
    <w:rsid w:val="00555748"/>
    <w:rsid w:val="005558D8"/>
    <w:rsid w:val="00561321"/>
    <w:rsid w:val="00562084"/>
    <w:rsid w:val="00562151"/>
    <w:rsid w:val="0056364D"/>
    <w:rsid w:val="00563E5D"/>
    <w:rsid w:val="005645A7"/>
    <w:rsid w:val="005649EE"/>
    <w:rsid w:val="00565C71"/>
    <w:rsid w:val="005664EC"/>
    <w:rsid w:val="005666C7"/>
    <w:rsid w:val="00566C2D"/>
    <w:rsid w:val="00566EA5"/>
    <w:rsid w:val="00567EB8"/>
    <w:rsid w:val="00567F34"/>
    <w:rsid w:val="00570FF5"/>
    <w:rsid w:val="00571D18"/>
    <w:rsid w:val="005729B0"/>
    <w:rsid w:val="0057492E"/>
    <w:rsid w:val="00574E2C"/>
    <w:rsid w:val="0057519C"/>
    <w:rsid w:val="0057626E"/>
    <w:rsid w:val="005764E6"/>
    <w:rsid w:val="005764ED"/>
    <w:rsid w:val="00577A1B"/>
    <w:rsid w:val="00577DA2"/>
    <w:rsid w:val="00581D77"/>
    <w:rsid w:val="00583B21"/>
    <w:rsid w:val="005850FF"/>
    <w:rsid w:val="00585DE9"/>
    <w:rsid w:val="00590E39"/>
    <w:rsid w:val="00591424"/>
    <w:rsid w:val="00592037"/>
    <w:rsid w:val="0059253E"/>
    <w:rsid w:val="00592B90"/>
    <w:rsid w:val="00595174"/>
    <w:rsid w:val="00595EA8"/>
    <w:rsid w:val="005973B7"/>
    <w:rsid w:val="00597D5A"/>
    <w:rsid w:val="005A076E"/>
    <w:rsid w:val="005A1A6C"/>
    <w:rsid w:val="005A29B7"/>
    <w:rsid w:val="005A3C11"/>
    <w:rsid w:val="005A4507"/>
    <w:rsid w:val="005A46BD"/>
    <w:rsid w:val="005A4948"/>
    <w:rsid w:val="005A5198"/>
    <w:rsid w:val="005B0264"/>
    <w:rsid w:val="005C033A"/>
    <w:rsid w:val="005C066C"/>
    <w:rsid w:val="005C0760"/>
    <w:rsid w:val="005C2A8B"/>
    <w:rsid w:val="005C3E37"/>
    <w:rsid w:val="005C3FCB"/>
    <w:rsid w:val="005C410F"/>
    <w:rsid w:val="005C66BC"/>
    <w:rsid w:val="005C7169"/>
    <w:rsid w:val="005D082A"/>
    <w:rsid w:val="005D1D53"/>
    <w:rsid w:val="005D495D"/>
    <w:rsid w:val="005E0B6F"/>
    <w:rsid w:val="005E2A81"/>
    <w:rsid w:val="005E337F"/>
    <w:rsid w:val="005E4A0B"/>
    <w:rsid w:val="005E64E7"/>
    <w:rsid w:val="005E6846"/>
    <w:rsid w:val="005E6B80"/>
    <w:rsid w:val="005E74B2"/>
    <w:rsid w:val="005E7C94"/>
    <w:rsid w:val="005F4089"/>
    <w:rsid w:val="005F4BB5"/>
    <w:rsid w:val="005F76A1"/>
    <w:rsid w:val="00601B63"/>
    <w:rsid w:val="006047A2"/>
    <w:rsid w:val="00604BBF"/>
    <w:rsid w:val="00604CE5"/>
    <w:rsid w:val="00607F6A"/>
    <w:rsid w:val="006100A7"/>
    <w:rsid w:val="00610609"/>
    <w:rsid w:val="00612A33"/>
    <w:rsid w:val="00612C6C"/>
    <w:rsid w:val="006136A6"/>
    <w:rsid w:val="00613994"/>
    <w:rsid w:val="00613B4F"/>
    <w:rsid w:val="0061750F"/>
    <w:rsid w:val="00622A94"/>
    <w:rsid w:val="00622B75"/>
    <w:rsid w:val="00622C6C"/>
    <w:rsid w:val="00625958"/>
    <w:rsid w:val="00626143"/>
    <w:rsid w:val="00631595"/>
    <w:rsid w:val="00634CFC"/>
    <w:rsid w:val="0063519F"/>
    <w:rsid w:val="00635ECA"/>
    <w:rsid w:val="006366E2"/>
    <w:rsid w:val="00636A0D"/>
    <w:rsid w:val="0064140F"/>
    <w:rsid w:val="00644288"/>
    <w:rsid w:val="00645735"/>
    <w:rsid w:val="006477E1"/>
    <w:rsid w:val="00650969"/>
    <w:rsid w:val="00652BA8"/>
    <w:rsid w:val="00652BDD"/>
    <w:rsid w:val="00653B37"/>
    <w:rsid w:val="006547EA"/>
    <w:rsid w:val="00654BC1"/>
    <w:rsid w:val="006559FF"/>
    <w:rsid w:val="00656EEB"/>
    <w:rsid w:val="0065719E"/>
    <w:rsid w:val="0065757D"/>
    <w:rsid w:val="00657EA2"/>
    <w:rsid w:val="006631D6"/>
    <w:rsid w:val="00663C8B"/>
    <w:rsid w:val="00665A6E"/>
    <w:rsid w:val="00667717"/>
    <w:rsid w:val="0066790E"/>
    <w:rsid w:val="00667989"/>
    <w:rsid w:val="00671693"/>
    <w:rsid w:val="0067632B"/>
    <w:rsid w:val="00676523"/>
    <w:rsid w:val="00676727"/>
    <w:rsid w:val="00676EF9"/>
    <w:rsid w:val="00677719"/>
    <w:rsid w:val="00681363"/>
    <w:rsid w:val="00681705"/>
    <w:rsid w:val="006830D0"/>
    <w:rsid w:val="0068361F"/>
    <w:rsid w:val="0068464B"/>
    <w:rsid w:val="006846A1"/>
    <w:rsid w:val="006863FE"/>
    <w:rsid w:val="006877D0"/>
    <w:rsid w:val="0069126A"/>
    <w:rsid w:val="0069148C"/>
    <w:rsid w:val="0069319A"/>
    <w:rsid w:val="00693638"/>
    <w:rsid w:val="00693DB0"/>
    <w:rsid w:val="00694DC4"/>
    <w:rsid w:val="0069503C"/>
    <w:rsid w:val="006952D9"/>
    <w:rsid w:val="006953DE"/>
    <w:rsid w:val="006953FC"/>
    <w:rsid w:val="006969B5"/>
    <w:rsid w:val="0069722F"/>
    <w:rsid w:val="006A0B98"/>
    <w:rsid w:val="006A19D2"/>
    <w:rsid w:val="006A1E17"/>
    <w:rsid w:val="006A2185"/>
    <w:rsid w:val="006A3078"/>
    <w:rsid w:val="006A3C3D"/>
    <w:rsid w:val="006A418A"/>
    <w:rsid w:val="006A442B"/>
    <w:rsid w:val="006A4887"/>
    <w:rsid w:val="006A6738"/>
    <w:rsid w:val="006A7C92"/>
    <w:rsid w:val="006B13A7"/>
    <w:rsid w:val="006B2D15"/>
    <w:rsid w:val="006B60FA"/>
    <w:rsid w:val="006C0150"/>
    <w:rsid w:val="006C1A33"/>
    <w:rsid w:val="006C216A"/>
    <w:rsid w:val="006C2ADA"/>
    <w:rsid w:val="006C3D94"/>
    <w:rsid w:val="006C4331"/>
    <w:rsid w:val="006C51D9"/>
    <w:rsid w:val="006C5C86"/>
    <w:rsid w:val="006C7749"/>
    <w:rsid w:val="006D1DE0"/>
    <w:rsid w:val="006D290F"/>
    <w:rsid w:val="006D397E"/>
    <w:rsid w:val="006D3A23"/>
    <w:rsid w:val="006D4E80"/>
    <w:rsid w:val="006E1767"/>
    <w:rsid w:val="006E176D"/>
    <w:rsid w:val="006E1BB8"/>
    <w:rsid w:val="006E6E56"/>
    <w:rsid w:val="006E6F68"/>
    <w:rsid w:val="006F1F52"/>
    <w:rsid w:val="006F1F8A"/>
    <w:rsid w:val="006F2337"/>
    <w:rsid w:val="006F309F"/>
    <w:rsid w:val="006F57D1"/>
    <w:rsid w:val="006F5EB8"/>
    <w:rsid w:val="006F680E"/>
    <w:rsid w:val="006F7A88"/>
    <w:rsid w:val="006F7AC1"/>
    <w:rsid w:val="006F7DC5"/>
    <w:rsid w:val="00700C78"/>
    <w:rsid w:val="00701ECD"/>
    <w:rsid w:val="00702EE0"/>
    <w:rsid w:val="00704B63"/>
    <w:rsid w:val="00707108"/>
    <w:rsid w:val="0070770C"/>
    <w:rsid w:val="007107F2"/>
    <w:rsid w:val="00715D9E"/>
    <w:rsid w:val="0071665F"/>
    <w:rsid w:val="007166AA"/>
    <w:rsid w:val="00722447"/>
    <w:rsid w:val="00724382"/>
    <w:rsid w:val="00725070"/>
    <w:rsid w:val="00725EDA"/>
    <w:rsid w:val="00726F6D"/>
    <w:rsid w:val="00730782"/>
    <w:rsid w:val="00730F3D"/>
    <w:rsid w:val="00730F5D"/>
    <w:rsid w:val="0073105B"/>
    <w:rsid w:val="007311A0"/>
    <w:rsid w:val="00731E9E"/>
    <w:rsid w:val="0073240B"/>
    <w:rsid w:val="00732F53"/>
    <w:rsid w:val="00733125"/>
    <w:rsid w:val="00734DE6"/>
    <w:rsid w:val="007359F5"/>
    <w:rsid w:val="0073772C"/>
    <w:rsid w:val="00737BF1"/>
    <w:rsid w:val="007416D5"/>
    <w:rsid w:val="0074191F"/>
    <w:rsid w:val="00746488"/>
    <w:rsid w:val="00746C2E"/>
    <w:rsid w:val="00747E32"/>
    <w:rsid w:val="0075032C"/>
    <w:rsid w:val="0075046F"/>
    <w:rsid w:val="00752489"/>
    <w:rsid w:val="007530F5"/>
    <w:rsid w:val="00754448"/>
    <w:rsid w:val="0075504C"/>
    <w:rsid w:val="00756700"/>
    <w:rsid w:val="00756959"/>
    <w:rsid w:val="00757308"/>
    <w:rsid w:val="007647F8"/>
    <w:rsid w:val="00764C15"/>
    <w:rsid w:val="0076568D"/>
    <w:rsid w:val="00766046"/>
    <w:rsid w:val="0076639E"/>
    <w:rsid w:val="00766510"/>
    <w:rsid w:val="0077339B"/>
    <w:rsid w:val="00774BF3"/>
    <w:rsid w:val="00775A74"/>
    <w:rsid w:val="00776E2D"/>
    <w:rsid w:val="0078177E"/>
    <w:rsid w:val="007817DB"/>
    <w:rsid w:val="0078318E"/>
    <w:rsid w:val="007862E3"/>
    <w:rsid w:val="00786EE9"/>
    <w:rsid w:val="00787ECD"/>
    <w:rsid w:val="00791240"/>
    <w:rsid w:val="00791DDD"/>
    <w:rsid w:val="00791DFC"/>
    <w:rsid w:val="00792630"/>
    <w:rsid w:val="00793A2D"/>
    <w:rsid w:val="007943BE"/>
    <w:rsid w:val="00795A51"/>
    <w:rsid w:val="00797286"/>
    <w:rsid w:val="007972D3"/>
    <w:rsid w:val="0079798E"/>
    <w:rsid w:val="00797D9A"/>
    <w:rsid w:val="00797FD5"/>
    <w:rsid w:val="007A08A5"/>
    <w:rsid w:val="007A26AC"/>
    <w:rsid w:val="007A3D8D"/>
    <w:rsid w:val="007A3E2D"/>
    <w:rsid w:val="007A495F"/>
    <w:rsid w:val="007A507A"/>
    <w:rsid w:val="007A509A"/>
    <w:rsid w:val="007A53C5"/>
    <w:rsid w:val="007A558E"/>
    <w:rsid w:val="007A69C8"/>
    <w:rsid w:val="007A7D84"/>
    <w:rsid w:val="007B01F8"/>
    <w:rsid w:val="007B02CB"/>
    <w:rsid w:val="007B090B"/>
    <w:rsid w:val="007B210D"/>
    <w:rsid w:val="007B3BE6"/>
    <w:rsid w:val="007B4569"/>
    <w:rsid w:val="007B5AB3"/>
    <w:rsid w:val="007B6EDE"/>
    <w:rsid w:val="007C0797"/>
    <w:rsid w:val="007C092F"/>
    <w:rsid w:val="007C2D26"/>
    <w:rsid w:val="007C30D3"/>
    <w:rsid w:val="007C4752"/>
    <w:rsid w:val="007C5359"/>
    <w:rsid w:val="007D0957"/>
    <w:rsid w:val="007D1E41"/>
    <w:rsid w:val="007D37F0"/>
    <w:rsid w:val="007D3AE3"/>
    <w:rsid w:val="007D42AD"/>
    <w:rsid w:val="007D4C2F"/>
    <w:rsid w:val="007D629A"/>
    <w:rsid w:val="007D7448"/>
    <w:rsid w:val="007E104F"/>
    <w:rsid w:val="007E15A6"/>
    <w:rsid w:val="007E1EDC"/>
    <w:rsid w:val="007E1FD3"/>
    <w:rsid w:val="007E2082"/>
    <w:rsid w:val="007E2A46"/>
    <w:rsid w:val="007E3DD9"/>
    <w:rsid w:val="007E3F24"/>
    <w:rsid w:val="007E4DA1"/>
    <w:rsid w:val="007F0338"/>
    <w:rsid w:val="007F0AA6"/>
    <w:rsid w:val="007F328A"/>
    <w:rsid w:val="007F73FB"/>
    <w:rsid w:val="007F7D7A"/>
    <w:rsid w:val="007F7E34"/>
    <w:rsid w:val="008000C6"/>
    <w:rsid w:val="00800138"/>
    <w:rsid w:val="0080314A"/>
    <w:rsid w:val="008045BD"/>
    <w:rsid w:val="00805EC4"/>
    <w:rsid w:val="00806EB5"/>
    <w:rsid w:val="008120D1"/>
    <w:rsid w:val="00812EAF"/>
    <w:rsid w:val="0081358D"/>
    <w:rsid w:val="00813DB8"/>
    <w:rsid w:val="0081429D"/>
    <w:rsid w:val="00814542"/>
    <w:rsid w:val="00815369"/>
    <w:rsid w:val="00815724"/>
    <w:rsid w:val="00815A08"/>
    <w:rsid w:val="0081662E"/>
    <w:rsid w:val="0081704F"/>
    <w:rsid w:val="008179FB"/>
    <w:rsid w:val="00822653"/>
    <w:rsid w:val="00825C96"/>
    <w:rsid w:val="0082601B"/>
    <w:rsid w:val="00826A29"/>
    <w:rsid w:val="00827AC4"/>
    <w:rsid w:val="00830077"/>
    <w:rsid w:val="00830D90"/>
    <w:rsid w:val="00831676"/>
    <w:rsid w:val="008330D8"/>
    <w:rsid w:val="00834A4D"/>
    <w:rsid w:val="008354AD"/>
    <w:rsid w:val="008365E2"/>
    <w:rsid w:val="008410A0"/>
    <w:rsid w:val="00842E6E"/>
    <w:rsid w:val="0084372E"/>
    <w:rsid w:val="008458A6"/>
    <w:rsid w:val="00845AB7"/>
    <w:rsid w:val="0085019F"/>
    <w:rsid w:val="00850250"/>
    <w:rsid w:val="0085065A"/>
    <w:rsid w:val="00851DC6"/>
    <w:rsid w:val="008527D7"/>
    <w:rsid w:val="00853B0A"/>
    <w:rsid w:val="008545D1"/>
    <w:rsid w:val="0085557C"/>
    <w:rsid w:val="008568A0"/>
    <w:rsid w:val="00857A7F"/>
    <w:rsid w:val="00857B69"/>
    <w:rsid w:val="008604BA"/>
    <w:rsid w:val="00862CD5"/>
    <w:rsid w:val="0086532D"/>
    <w:rsid w:val="0086577B"/>
    <w:rsid w:val="00866279"/>
    <w:rsid w:val="008676D0"/>
    <w:rsid w:val="008708D6"/>
    <w:rsid w:val="00870ACC"/>
    <w:rsid w:val="00870D88"/>
    <w:rsid w:val="00871A1E"/>
    <w:rsid w:val="00873B07"/>
    <w:rsid w:val="00873E0F"/>
    <w:rsid w:val="00875E99"/>
    <w:rsid w:val="008777D7"/>
    <w:rsid w:val="0088093C"/>
    <w:rsid w:val="00880977"/>
    <w:rsid w:val="00881A1D"/>
    <w:rsid w:val="00881F16"/>
    <w:rsid w:val="00882CA0"/>
    <w:rsid w:val="00882FB3"/>
    <w:rsid w:val="00882FBE"/>
    <w:rsid w:val="00883904"/>
    <w:rsid w:val="0088496F"/>
    <w:rsid w:val="008860F3"/>
    <w:rsid w:val="00886677"/>
    <w:rsid w:val="00890F1B"/>
    <w:rsid w:val="00891F36"/>
    <w:rsid w:val="008932C0"/>
    <w:rsid w:val="00895F7D"/>
    <w:rsid w:val="008A0E84"/>
    <w:rsid w:val="008A2391"/>
    <w:rsid w:val="008A2D39"/>
    <w:rsid w:val="008A52EA"/>
    <w:rsid w:val="008A574C"/>
    <w:rsid w:val="008A6521"/>
    <w:rsid w:val="008B014F"/>
    <w:rsid w:val="008B0FD7"/>
    <w:rsid w:val="008B1ADB"/>
    <w:rsid w:val="008B1C4C"/>
    <w:rsid w:val="008B2018"/>
    <w:rsid w:val="008B2480"/>
    <w:rsid w:val="008B566B"/>
    <w:rsid w:val="008B5B2B"/>
    <w:rsid w:val="008B656D"/>
    <w:rsid w:val="008B681D"/>
    <w:rsid w:val="008B7113"/>
    <w:rsid w:val="008C2942"/>
    <w:rsid w:val="008C30B6"/>
    <w:rsid w:val="008C3632"/>
    <w:rsid w:val="008C5CD0"/>
    <w:rsid w:val="008C69F4"/>
    <w:rsid w:val="008C6AA1"/>
    <w:rsid w:val="008C6AEA"/>
    <w:rsid w:val="008C7D05"/>
    <w:rsid w:val="008D0E2B"/>
    <w:rsid w:val="008D2310"/>
    <w:rsid w:val="008D3D9E"/>
    <w:rsid w:val="008D4920"/>
    <w:rsid w:val="008D53D2"/>
    <w:rsid w:val="008D5D5C"/>
    <w:rsid w:val="008E0464"/>
    <w:rsid w:val="008E19E4"/>
    <w:rsid w:val="008E28E4"/>
    <w:rsid w:val="008E3463"/>
    <w:rsid w:val="008E4A3D"/>
    <w:rsid w:val="008E56BD"/>
    <w:rsid w:val="008E586A"/>
    <w:rsid w:val="008E75F5"/>
    <w:rsid w:val="008E7B70"/>
    <w:rsid w:val="008F2EED"/>
    <w:rsid w:val="008F36BC"/>
    <w:rsid w:val="008F3C1E"/>
    <w:rsid w:val="008F41D6"/>
    <w:rsid w:val="008F5670"/>
    <w:rsid w:val="008F5AA8"/>
    <w:rsid w:val="008F5ACE"/>
    <w:rsid w:val="008F5B0A"/>
    <w:rsid w:val="008F62CE"/>
    <w:rsid w:val="008F62F4"/>
    <w:rsid w:val="008F6B18"/>
    <w:rsid w:val="008F6EE0"/>
    <w:rsid w:val="00900196"/>
    <w:rsid w:val="0090062B"/>
    <w:rsid w:val="00900D25"/>
    <w:rsid w:val="009041CF"/>
    <w:rsid w:val="009064AF"/>
    <w:rsid w:val="0091181A"/>
    <w:rsid w:val="009122A6"/>
    <w:rsid w:val="009158A8"/>
    <w:rsid w:val="009168ED"/>
    <w:rsid w:val="0092242F"/>
    <w:rsid w:val="00922496"/>
    <w:rsid w:val="009226E9"/>
    <w:rsid w:val="00922E14"/>
    <w:rsid w:val="009233A3"/>
    <w:rsid w:val="00923DAB"/>
    <w:rsid w:val="009241B1"/>
    <w:rsid w:val="00924B99"/>
    <w:rsid w:val="009250D6"/>
    <w:rsid w:val="009263F0"/>
    <w:rsid w:val="009276D6"/>
    <w:rsid w:val="00927AB1"/>
    <w:rsid w:val="0093143C"/>
    <w:rsid w:val="00932DA3"/>
    <w:rsid w:val="0093345E"/>
    <w:rsid w:val="009370FE"/>
    <w:rsid w:val="00941E29"/>
    <w:rsid w:val="009427AE"/>
    <w:rsid w:val="009441F5"/>
    <w:rsid w:val="009459FF"/>
    <w:rsid w:val="00945F80"/>
    <w:rsid w:val="009471C6"/>
    <w:rsid w:val="00951975"/>
    <w:rsid w:val="0095207F"/>
    <w:rsid w:val="0095244B"/>
    <w:rsid w:val="0095397C"/>
    <w:rsid w:val="009552B5"/>
    <w:rsid w:val="00956E2E"/>
    <w:rsid w:val="00956FC1"/>
    <w:rsid w:val="00957449"/>
    <w:rsid w:val="00961CB4"/>
    <w:rsid w:val="0096213C"/>
    <w:rsid w:val="00964834"/>
    <w:rsid w:val="00965602"/>
    <w:rsid w:val="009660AE"/>
    <w:rsid w:val="00966710"/>
    <w:rsid w:val="00970323"/>
    <w:rsid w:val="00973196"/>
    <w:rsid w:val="009756BB"/>
    <w:rsid w:val="00976C40"/>
    <w:rsid w:val="00977073"/>
    <w:rsid w:val="009809A7"/>
    <w:rsid w:val="00980BD1"/>
    <w:rsid w:val="0098101C"/>
    <w:rsid w:val="009820D4"/>
    <w:rsid w:val="009834C7"/>
    <w:rsid w:val="00984A9D"/>
    <w:rsid w:val="00985475"/>
    <w:rsid w:val="009877EF"/>
    <w:rsid w:val="00987877"/>
    <w:rsid w:val="00990EA3"/>
    <w:rsid w:val="009914EF"/>
    <w:rsid w:val="009919CC"/>
    <w:rsid w:val="00991DD7"/>
    <w:rsid w:val="00992532"/>
    <w:rsid w:val="0099255F"/>
    <w:rsid w:val="00993839"/>
    <w:rsid w:val="0099768F"/>
    <w:rsid w:val="009A3539"/>
    <w:rsid w:val="009A4375"/>
    <w:rsid w:val="009A5647"/>
    <w:rsid w:val="009A5877"/>
    <w:rsid w:val="009A667B"/>
    <w:rsid w:val="009B05F4"/>
    <w:rsid w:val="009B34B5"/>
    <w:rsid w:val="009B38E8"/>
    <w:rsid w:val="009B3F32"/>
    <w:rsid w:val="009B54E3"/>
    <w:rsid w:val="009B552C"/>
    <w:rsid w:val="009B75D7"/>
    <w:rsid w:val="009B7AD7"/>
    <w:rsid w:val="009C056F"/>
    <w:rsid w:val="009C08E7"/>
    <w:rsid w:val="009C4DD3"/>
    <w:rsid w:val="009C556B"/>
    <w:rsid w:val="009C61EE"/>
    <w:rsid w:val="009D14D0"/>
    <w:rsid w:val="009D3AA0"/>
    <w:rsid w:val="009D3B68"/>
    <w:rsid w:val="009D4249"/>
    <w:rsid w:val="009D4BFD"/>
    <w:rsid w:val="009D5345"/>
    <w:rsid w:val="009D55F5"/>
    <w:rsid w:val="009E074F"/>
    <w:rsid w:val="009E154A"/>
    <w:rsid w:val="009E1B4F"/>
    <w:rsid w:val="009E1F2B"/>
    <w:rsid w:val="009E4332"/>
    <w:rsid w:val="009E464C"/>
    <w:rsid w:val="009E475C"/>
    <w:rsid w:val="009E69CA"/>
    <w:rsid w:val="009E7051"/>
    <w:rsid w:val="009E73E7"/>
    <w:rsid w:val="009E76A5"/>
    <w:rsid w:val="009E7703"/>
    <w:rsid w:val="009E786F"/>
    <w:rsid w:val="009E7B6E"/>
    <w:rsid w:val="009F156D"/>
    <w:rsid w:val="009F26B9"/>
    <w:rsid w:val="009F415C"/>
    <w:rsid w:val="009F5040"/>
    <w:rsid w:val="009F533D"/>
    <w:rsid w:val="009F5BF7"/>
    <w:rsid w:val="009F68F2"/>
    <w:rsid w:val="009F6E7E"/>
    <w:rsid w:val="00A02367"/>
    <w:rsid w:val="00A0635A"/>
    <w:rsid w:val="00A06EE5"/>
    <w:rsid w:val="00A11D42"/>
    <w:rsid w:val="00A11F81"/>
    <w:rsid w:val="00A129A4"/>
    <w:rsid w:val="00A13549"/>
    <w:rsid w:val="00A155C1"/>
    <w:rsid w:val="00A1598F"/>
    <w:rsid w:val="00A208AD"/>
    <w:rsid w:val="00A22B3A"/>
    <w:rsid w:val="00A232E0"/>
    <w:rsid w:val="00A25A07"/>
    <w:rsid w:val="00A2628E"/>
    <w:rsid w:val="00A26E9B"/>
    <w:rsid w:val="00A27342"/>
    <w:rsid w:val="00A27D39"/>
    <w:rsid w:val="00A27D75"/>
    <w:rsid w:val="00A27E5E"/>
    <w:rsid w:val="00A31D13"/>
    <w:rsid w:val="00A32526"/>
    <w:rsid w:val="00A332BC"/>
    <w:rsid w:val="00A3342F"/>
    <w:rsid w:val="00A35DE2"/>
    <w:rsid w:val="00A4048E"/>
    <w:rsid w:val="00A40575"/>
    <w:rsid w:val="00A42B8B"/>
    <w:rsid w:val="00A42D4E"/>
    <w:rsid w:val="00A43511"/>
    <w:rsid w:val="00A44B2A"/>
    <w:rsid w:val="00A459B3"/>
    <w:rsid w:val="00A46158"/>
    <w:rsid w:val="00A50D47"/>
    <w:rsid w:val="00A51A7F"/>
    <w:rsid w:val="00A51F5A"/>
    <w:rsid w:val="00A55A24"/>
    <w:rsid w:val="00A57665"/>
    <w:rsid w:val="00A57E5E"/>
    <w:rsid w:val="00A60514"/>
    <w:rsid w:val="00A607E1"/>
    <w:rsid w:val="00A60E7A"/>
    <w:rsid w:val="00A622E9"/>
    <w:rsid w:val="00A62AFB"/>
    <w:rsid w:val="00A646EE"/>
    <w:rsid w:val="00A64D20"/>
    <w:rsid w:val="00A66A0F"/>
    <w:rsid w:val="00A67EDA"/>
    <w:rsid w:val="00A710AA"/>
    <w:rsid w:val="00A71F9F"/>
    <w:rsid w:val="00A726EC"/>
    <w:rsid w:val="00A73404"/>
    <w:rsid w:val="00A7609A"/>
    <w:rsid w:val="00A76B2B"/>
    <w:rsid w:val="00A810F9"/>
    <w:rsid w:val="00A83FB6"/>
    <w:rsid w:val="00A84A31"/>
    <w:rsid w:val="00A861D2"/>
    <w:rsid w:val="00A874AE"/>
    <w:rsid w:val="00A876AD"/>
    <w:rsid w:val="00A90BE6"/>
    <w:rsid w:val="00A90E85"/>
    <w:rsid w:val="00A91CE4"/>
    <w:rsid w:val="00A96743"/>
    <w:rsid w:val="00AA01E3"/>
    <w:rsid w:val="00AA117C"/>
    <w:rsid w:val="00AA1C41"/>
    <w:rsid w:val="00AA2BF4"/>
    <w:rsid w:val="00AA31D8"/>
    <w:rsid w:val="00AA53B9"/>
    <w:rsid w:val="00AA581D"/>
    <w:rsid w:val="00AA6CFD"/>
    <w:rsid w:val="00AB0264"/>
    <w:rsid w:val="00AB1F6E"/>
    <w:rsid w:val="00AB25AC"/>
    <w:rsid w:val="00AB5229"/>
    <w:rsid w:val="00AB5D12"/>
    <w:rsid w:val="00AB6103"/>
    <w:rsid w:val="00AB6283"/>
    <w:rsid w:val="00AB7794"/>
    <w:rsid w:val="00AC03B4"/>
    <w:rsid w:val="00AC0752"/>
    <w:rsid w:val="00AC1347"/>
    <w:rsid w:val="00AC1EC3"/>
    <w:rsid w:val="00AC27D4"/>
    <w:rsid w:val="00AC33D2"/>
    <w:rsid w:val="00AC3C92"/>
    <w:rsid w:val="00AC51B8"/>
    <w:rsid w:val="00AC564B"/>
    <w:rsid w:val="00AC639A"/>
    <w:rsid w:val="00AD0A2E"/>
    <w:rsid w:val="00AD1BCA"/>
    <w:rsid w:val="00AD2210"/>
    <w:rsid w:val="00AD28BB"/>
    <w:rsid w:val="00AD6414"/>
    <w:rsid w:val="00AD7FAD"/>
    <w:rsid w:val="00AE045E"/>
    <w:rsid w:val="00AE053C"/>
    <w:rsid w:val="00AE295B"/>
    <w:rsid w:val="00AE5261"/>
    <w:rsid w:val="00AE679C"/>
    <w:rsid w:val="00AF2227"/>
    <w:rsid w:val="00AF4018"/>
    <w:rsid w:val="00AF4BD8"/>
    <w:rsid w:val="00AF4C0B"/>
    <w:rsid w:val="00AF6404"/>
    <w:rsid w:val="00B0133D"/>
    <w:rsid w:val="00B0227F"/>
    <w:rsid w:val="00B02FFF"/>
    <w:rsid w:val="00B03B5C"/>
    <w:rsid w:val="00B04CD7"/>
    <w:rsid w:val="00B0526E"/>
    <w:rsid w:val="00B1091C"/>
    <w:rsid w:val="00B10A9C"/>
    <w:rsid w:val="00B11B60"/>
    <w:rsid w:val="00B11EF3"/>
    <w:rsid w:val="00B125DF"/>
    <w:rsid w:val="00B13EA8"/>
    <w:rsid w:val="00B15953"/>
    <w:rsid w:val="00B161D0"/>
    <w:rsid w:val="00B1654C"/>
    <w:rsid w:val="00B16734"/>
    <w:rsid w:val="00B17E30"/>
    <w:rsid w:val="00B20795"/>
    <w:rsid w:val="00B21C7B"/>
    <w:rsid w:val="00B22916"/>
    <w:rsid w:val="00B23997"/>
    <w:rsid w:val="00B24A50"/>
    <w:rsid w:val="00B27043"/>
    <w:rsid w:val="00B2719B"/>
    <w:rsid w:val="00B31430"/>
    <w:rsid w:val="00B322DA"/>
    <w:rsid w:val="00B3301A"/>
    <w:rsid w:val="00B3425D"/>
    <w:rsid w:val="00B3578C"/>
    <w:rsid w:val="00B40C8B"/>
    <w:rsid w:val="00B41238"/>
    <w:rsid w:val="00B416F4"/>
    <w:rsid w:val="00B417B4"/>
    <w:rsid w:val="00B4281A"/>
    <w:rsid w:val="00B443EF"/>
    <w:rsid w:val="00B44667"/>
    <w:rsid w:val="00B4667C"/>
    <w:rsid w:val="00B51AF6"/>
    <w:rsid w:val="00B526D0"/>
    <w:rsid w:val="00B579A1"/>
    <w:rsid w:val="00B61679"/>
    <w:rsid w:val="00B61AA7"/>
    <w:rsid w:val="00B61F76"/>
    <w:rsid w:val="00B629F0"/>
    <w:rsid w:val="00B62B81"/>
    <w:rsid w:val="00B63937"/>
    <w:rsid w:val="00B64004"/>
    <w:rsid w:val="00B64798"/>
    <w:rsid w:val="00B664A4"/>
    <w:rsid w:val="00B67AAF"/>
    <w:rsid w:val="00B7066F"/>
    <w:rsid w:val="00B70C91"/>
    <w:rsid w:val="00B7164C"/>
    <w:rsid w:val="00B72DBD"/>
    <w:rsid w:val="00B72FEB"/>
    <w:rsid w:val="00B73176"/>
    <w:rsid w:val="00B73257"/>
    <w:rsid w:val="00B7493D"/>
    <w:rsid w:val="00B7498F"/>
    <w:rsid w:val="00B74A77"/>
    <w:rsid w:val="00B74BFA"/>
    <w:rsid w:val="00B7717D"/>
    <w:rsid w:val="00B80712"/>
    <w:rsid w:val="00B80D6D"/>
    <w:rsid w:val="00B819D8"/>
    <w:rsid w:val="00B833F1"/>
    <w:rsid w:val="00B83851"/>
    <w:rsid w:val="00B8655C"/>
    <w:rsid w:val="00B9125A"/>
    <w:rsid w:val="00B91AC1"/>
    <w:rsid w:val="00B9308F"/>
    <w:rsid w:val="00B9361F"/>
    <w:rsid w:val="00B93A7E"/>
    <w:rsid w:val="00B95938"/>
    <w:rsid w:val="00BA1789"/>
    <w:rsid w:val="00BA2779"/>
    <w:rsid w:val="00BA2B97"/>
    <w:rsid w:val="00BA4818"/>
    <w:rsid w:val="00BA5E79"/>
    <w:rsid w:val="00BB1E11"/>
    <w:rsid w:val="00BB3601"/>
    <w:rsid w:val="00BB376E"/>
    <w:rsid w:val="00BB3A09"/>
    <w:rsid w:val="00BB4508"/>
    <w:rsid w:val="00BB5EFD"/>
    <w:rsid w:val="00BB6349"/>
    <w:rsid w:val="00BB670F"/>
    <w:rsid w:val="00BB7156"/>
    <w:rsid w:val="00BC1BB6"/>
    <w:rsid w:val="00BC26E2"/>
    <w:rsid w:val="00BC3B99"/>
    <w:rsid w:val="00BC3DC0"/>
    <w:rsid w:val="00BC599F"/>
    <w:rsid w:val="00BC5B0E"/>
    <w:rsid w:val="00BC669F"/>
    <w:rsid w:val="00BC713B"/>
    <w:rsid w:val="00BC7210"/>
    <w:rsid w:val="00BD034B"/>
    <w:rsid w:val="00BD0BFB"/>
    <w:rsid w:val="00BD19FD"/>
    <w:rsid w:val="00BD28DE"/>
    <w:rsid w:val="00BD2DFA"/>
    <w:rsid w:val="00BD32B9"/>
    <w:rsid w:val="00BD3A65"/>
    <w:rsid w:val="00BD51B9"/>
    <w:rsid w:val="00BD7966"/>
    <w:rsid w:val="00BD7A1E"/>
    <w:rsid w:val="00BD7F20"/>
    <w:rsid w:val="00BE0210"/>
    <w:rsid w:val="00BE07EB"/>
    <w:rsid w:val="00BE199C"/>
    <w:rsid w:val="00BE28FF"/>
    <w:rsid w:val="00BE412F"/>
    <w:rsid w:val="00BE4D60"/>
    <w:rsid w:val="00BE7812"/>
    <w:rsid w:val="00BF0809"/>
    <w:rsid w:val="00BF0D72"/>
    <w:rsid w:val="00BF3939"/>
    <w:rsid w:val="00BF6C43"/>
    <w:rsid w:val="00C0057E"/>
    <w:rsid w:val="00C01FCF"/>
    <w:rsid w:val="00C02036"/>
    <w:rsid w:val="00C032FD"/>
    <w:rsid w:val="00C050EC"/>
    <w:rsid w:val="00C06B13"/>
    <w:rsid w:val="00C06EFA"/>
    <w:rsid w:val="00C118AB"/>
    <w:rsid w:val="00C11FA9"/>
    <w:rsid w:val="00C12CB2"/>
    <w:rsid w:val="00C14840"/>
    <w:rsid w:val="00C17ED7"/>
    <w:rsid w:val="00C230F9"/>
    <w:rsid w:val="00C23891"/>
    <w:rsid w:val="00C252BD"/>
    <w:rsid w:val="00C26716"/>
    <w:rsid w:val="00C26857"/>
    <w:rsid w:val="00C26D0D"/>
    <w:rsid w:val="00C3024F"/>
    <w:rsid w:val="00C323B6"/>
    <w:rsid w:val="00C337C5"/>
    <w:rsid w:val="00C34956"/>
    <w:rsid w:val="00C34962"/>
    <w:rsid w:val="00C41889"/>
    <w:rsid w:val="00C43199"/>
    <w:rsid w:val="00C44808"/>
    <w:rsid w:val="00C46006"/>
    <w:rsid w:val="00C50009"/>
    <w:rsid w:val="00C5015F"/>
    <w:rsid w:val="00C50C30"/>
    <w:rsid w:val="00C524E7"/>
    <w:rsid w:val="00C5298F"/>
    <w:rsid w:val="00C52D77"/>
    <w:rsid w:val="00C53023"/>
    <w:rsid w:val="00C55C9D"/>
    <w:rsid w:val="00C57624"/>
    <w:rsid w:val="00C61167"/>
    <w:rsid w:val="00C615ED"/>
    <w:rsid w:val="00C61E26"/>
    <w:rsid w:val="00C62872"/>
    <w:rsid w:val="00C6697D"/>
    <w:rsid w:val="00C675A5"/>
    <w:rsid w:val="00C67D2C"/>
    <w:rsid w:val="00C70ADD"/>
    <w:rsid w:val="00C70CF3"/>
    <w:rsid w:val="00C72082"/>
    <w:rsid w:val="00C7276D"/>
    <w:rsid w:val="00C72846"/>
    <w:rsid w:val="00C733E2"/>
    <w:rsid w:val="00C73A6C"/>
    <w:rsid w:val="00C74054"/>
    <w:rsid w:val="00C7426A"/>
    <w:rsid w:val="00C75D8D"/>
    <w:rsid w:val="00C7630D"/>
    <w:rsid w:val="00C7660C"/>
    <w:rsid w:val="00C77060"/>
    <w:rsid w:val="00C80CB9"/>
    <w:rsid w:val="00C81103"/>
    <w:rsid w:val="00C825D5"/>
    <w:rsid w:val="00C825FB"/>
    <w:rsid w:val="00C850D2"/>
    <w:rsid w:val="00C8662D"/>
    <w:rsid w:val="00C92B71"/>
    <w:rsid w:val="00C956D5"/>
    <w:rsid w:val="00C96065"/>
    <w:rsid w:val="00CA002C"/>
    <w:rsid w:val="00CA0C4D"/>
    <w:rsid w:val="00CA182B"/>
    <w:rsid w:val="00CA1CF7"/>
    <w:rsid w:val="00CA43E2"/>
    <w:rsid w:val="00CA5189"/>
    <w:rsid w:val="00CA58A2"/>
    <w:rsid w:val="00CA58E8"/>
    <w:rsid w:val="00CA7E4F"/>
    <w:rsid w:val="00CB16B8"/>
    <w:rsid w:val="00CB3613"/>
    <w:rsid w:val="00CB43B0"/>
    <w:rsid w:val="00CC01AE"/>
    <w:rsid w:val="00CC1238"/>
    <w:rsid w:val="00CC18E1"/>
    <w:rsid w:val="00CC231A"/>
    <w:rsid w:val="00CC2989"/>
    <w:rsid w:val="00CC363D"/>
    <w:rsid w:val="00CC59EA"/>
    <w:rsid w:val="00CC60B6"/>
    <w:rsid w:val="00CC6678"/>
    <w:rsid w:val="00CC6ACE"/>
    <w:rsid w:val="00CC6C0F"/>
    <w:rsid w:val="00CC7B13"/>
    <w:rsid w:val="00CC7DDD"/>
    <w:rsid w:val="00CD1B44"/>
    <w:rsid w:val="00CD36A7"/>
    <w:rsid w:val="00CD5021"/>
    <w:rsid w:val="00CE078B"/>
    <w:rsid w:val="00CE2177"/>
    <w:rsid w:val="00CE2B3D"/>
    <w:rsid w:val="00CE3C8B"/>
    <w:rsid w:val="00CE4500"/>
    <w:rsid w:val="00CE7EFD"/>
    <w:rsid w:val="00CF08B4"/>
    <w:rsid w:val="00CF0A4F"/>
    <w:rsid w:val="00CF3D5E"/>
    <w:rsid w:val="00CF5C49"/>
    <w:rsid w:val="00CF6406"/>
    <w:rsid w:val="00D0031E"/>
    <w:rsid w:val="00D0145A"/>
    <w:rsid w:val="00D021DA"/>
    <w:rsid w:val="00D02CE4"/>
    <w:rsid w:val="00D051DE"/>
    <w:rsid w:val="00D056D6"/>
    <w:rsid w:val="00D06B44"/>
    <w:rsid w:val="00D075AB"/>
    <w:rsid w:val="00D07C0F"/>
    <w:rsid w:val="00D10EC8"/>
    <w:rsid w:val="00D130A4"/>
    <w:rsid w:val="00D1455A"/>
    <w:rsid w:val="00D14680"/>
    <w:rsid w:val="00D14AB7"/>
    <w:rsid w:val="00D223C8"/>
    <w:rsid w:val="00D225BD"/>
    <w:rsid w:val="00D225E5"/>
    <w:rsid w:val="00D25E7E"/>
    <w:rsid w:val="00D26FEA"/>
    <w:rsid w:val="00D271A6"/>
    <w:rsid w:val="00D27715"/>
    <w:rsid w:val="00D31BC8"/>
    <w:rsid w:val="00D32277"/>
    <w:rsid w:val="00D32471"/>
    <w:rsid w:val="00D343DB"/>
    <w:rsid w:val="00D34985"/>
    <w:rsid w:val="00D35353"/>
    <w:rsid w:val="00D353CD"/>
    <w:rsid w:val="00D3589C"/>
    <w:rsid w:val="00D35C28"/>
    <w:rsid w:val="00D35E2D"/>
    <w:rsid w:val="00D35FA2"/>
    <w:rsid w:val="00D37F4C"/>
    <w:rsid w:val="00D410EB"/>
    <w:rsid w:val="00D41A77"/>
    <w:rsid w:val="00D42C55"/>
    <w:rsid w:val="00D44D0B"/>
    <w:rsid w:val="00D46E82"/>
    <w:rsid w:val="00D50AA7"/>
    <w:rsid w:val="00D52833"/>
    <w:rsid w:val="00D53847"/>
    <w:rsid w:val="00D5465F"/>
    <w:rsid w:val="00D57315"/>
    <w:rsid w:val="00D57A4C"/>
    <w:rsid w:val="00D6145B"/>
    <w:rsid w:val="00D61B38"/>
    <w:rsid w:val="00D61B83"/>
    <w:rsid w:val="00D6252F"/>
    <w:rsid w:val="00D626D9"/>
    <w:rsid w:val="00D6388E"/>
    <w:rsid w:val="00D63D10"/>
    <w:rsid w:val="00D63EC3"/>
    <w:rsid w:val="00D64624"/>
    <w:rsid w:val="00D64DE9"/>
    <w:rsid w:val="00D65DA3"/>
    <w:rsid w:val="00D662A8"/>
    <w:rsid w:val="00D7076A"/>
    <w:rsid w:val="00D72173"/>
    <w:rsid w:val="00D747F6"/>
    <w:rsid w:val="00D75CB5"/>
    <w:rsid w:val="00D76F5E"/>
    <w:rsid w:val="00D83D31"/>
    <w:rsid w:val="00D86196"/>
    <w:rsid w:val="00D86B65"/>
    <w:rsid w:val="00D87ACF"/>
    <w:rsid w:val="00D87F0D"/>
    <w:rsid w:val="00D91336"/>
    <w:rsid w:val="00D938FC"/>
    <w:rsid w:val="00D940B0"/>
    <w:rsid w:val="00D9422E"/>
    <w:rsid w:val="00D94B02"/>
    <w:rsid w:val="00D94FAA"/>
    <w:rsid w:val="00DA06B7"/>
    <w:rsid w:val="00DA1312"/>
    <w:rsid w:val="00DA1629"/>
    <w:rsid w:val="00DA206B"/>
    <w:rsid w:val="00DA3F50"/>
    <w:rsid w:val="00DA662E"/>
    <w:rsid w:val="00DA7CED"/>
    <w:rsid w:val="00DB1325"/>
    <w:rsid w:val="00DB1963"/>
    <w:rsid w:val="00DB25AA"/>
    <w:rsid w:val="00DB2F02"/>
    <w:rsid w:val="00DB6416"/>
    <w:rsid w:val="00DB7FAD"/>
    <w:rsid w:val="00DC0806"/>
    <w:rsid w:val="00DC2B7F"/>
    <w:rsid w:val="00DC3831"/>
    <w:rsid w:val="00DC57E4"/>
    <w:rsid w:val="00DC6614"/>
    <w:rsid w:val="00DD0404"/>
    <w:rsid w:val="00DD08AD"/>
    <w:rsid w:val="00DD137B"/>
    <w:rsid w:val="00DD1568"/>
    <w:rsid w:val="00DD15DF"/>
    <w:rsid w:val="00DD20C5"/>
    <w:rsid w:val="00DD36DE"/>
    <w:rsid w:val="00DD3DB9"/>
    <w:rsid w:val="00DD6244"/>
    <w:rsid w:val="00DE36E5"/>
    <w:rsid w:val="00DE631F"/>
    <w:rsid w:val="00DE706A"/>
    <w:rsid w:val="00DF0644"/>
    <w:rsid w:val="00DF3302"/>
    <w:rsid w:val="00DF3878"/>
    <w:rsid w:val="00DF3E97"/>
    <w:rsid w:val="00DF7A95"/>
    <w:rsid w:val="00E00C01"/>
    <w:rsid w:val="00E01386"/>
    <w:rsid w:val="00E01E13"/>
    <w:rsid w:val="00E01F24"/>
    <w:rsid w:val="00E05479"/>
    <w:rsid w:val="00E0556B"/>
    <w:rsid w:val="00E07780"/>
    <w:rsid w:val="00E07A86"/>
    <w:rsid w:val="00E07E9C"/>
    <w:rsid w:val="00E109D2"/>
    <w:rsid w:val="00E12934"/>
    <w:rsid w:val="00E13C6D"/>
    <w:rsid w:val="00E14015"/>
    <w:rsid w:val="00E14873"/>
    <w:rsid w:val="00E148D8"/>
    <w:rsid w:val="00E14BD4"/>
    <w:rsid w:val="00E15F9C"/>
    <w:rsid w:val="00E16CB7"/>
    <w:rsid w:val="00E16EA5"/>
    <w:rsid w:val="00E1730E"/>
    <w:rsid w:val="00E200A9"/>
    <w:rsid w:val="00E235E2"/>
    <w:rsid w:val="00E241BE"/>
    <w:rsid w:val="00E2633D"/>
    <w:rsid w:val="00E26694"/>
    <w:rsid w:val="00E26F96"/>
    <w:rsid w:val="00E30F1F"/>
    <w:rsid w:val="00E32023"/>
    <w:rsid w:val="00E33DAB"/>
    <w:rsid w:val="00E342D1"/>
    <w:rsid w:val="00E3672C"/>
    <w:rsid w:val="00E370F1"/>
    <w:rsid w:val="00E4042B"/>
    <w:rsid w:val="00E4046F"/>
    <w:rsid w:val="00E43EE6"/>
    <w:rsid w:val="00E4455A"/>
    <w:rsid w:val="00E45CE2"/>
    <w:rsid w:val="00E45D1D"/>
    <w:rsid w:val="00E472D9"/>
    <w:rsid w:val="00E47BFA"/>
    <w:rsid w:val="00E47EAE"/>
    <w:rsid w:val="00E51CF6"/>
    <w:rsid w:val="00E561B8"/>
    <w:rsid w:val="00E606F9"/>
    <w:rsid w:val="00E63496"/>
    <w:rsid w:val="00E63695"/>
    <w:rsid w:val="00E6740D"/>
    <w:rsid w:val="00E740EE"/>
    <w:rsid w:val="00E80485"/>
    <w:rsid w:val="00E81D81"/>
    <w:rsid w:val="00E82007"/>
    <w:rsid w:val="00E82056"/>
    <w:rsid w:val="00E83286"/>
    <w:rsid w:val="00E843F9"/>
    <w:rsid w:val="00E8461C"/>
    <w:rsid w:val="00E85094"/>
    <w:rsid w:val="00E85593"/>
    <w:rsid w:val="00E86556"/>
    <w:rsid w:val="00E878D9"/>
    <w:rsid w:val="00E901D4"/>
    <w:rsid w:val="00E91225"/>
    <w:rsid w:val="00E9136D"/>
    <w:rsid w:val="00E92AA9"/>
    <w:rsid w:val="00E92F26"/>
    <w:rsid w:val="00E935C4"/>
    <w:rsid w:val="00E93ABC"/>
    <w:rsid w:val="00E9435C"/>
    <w:rsid w:val="00E9790D"/>
    <w:rsid w:val="00E97B0E"/>
    <w:rsid w:val="00EA1A12"/>
    <w:rsid w:val="00EA20CA"/>
    <w:rsid w:val="00EA2AC6"/>
    <w:rsid w:val="00EA399D"/>
    <w:rsid w:val="00EA56D7"/>
    <w:rsid w:val="00EA5AAA"/>
    <w:rsid w:val="00EA7601"/>
    <w:rsid w:val="00EA773B"/>
    <w:rsid w:val="00EA7C39"/>
    <w:rsid w:val="00EA7D8C"/>
    <w:rsid w:val="00EB22BC"/>
    <w:rsid w:val="00EB4378"/>
    <w:rsid w:val="00EB44E7"/>
    <w:rsid w:val="00EB4797"/>
    <w:rsid w:val="00EB4AFC"/>
    <w:rsid w:val="00EC15E6"/>
    <w:rsid w:val="00EC23D0"/>
    <w:rsid w:val="00EC2D10"/>
    <w:rsid w:val="00EC3DAA"/>
    <w:rsid w:val="00EC42A6"/>
    <w:rsid w:val="00EC5E73"/>
    <w:rsid w:val="00EC6C1F"/>
    <w:rsid w:val="00EC7D34"/>
    <w:rsid w:val="00ED3466"/>
    <w:rsid w:val="00ED7C2B"/>
    <w:rsid w:val="00EE005E"/>
    <w:rsid w:val="00EE0F6B"/>
    <w:rsid w:val="00EE16B7"/>
    <w:rsid w:val="00EE1AC0"/>
    <w:rsid w:val="00EE2914"/>
    <w:rsid w:val="00EE3180"/>
    <w:rsid w:val="00EE7143"/>
    <w:rsid w:val="00EE78FB"/>
    <w:rsid w:val="00EE7D21"/>
    <w:rsid w:val="00EF214B"/>
    <w:rsid w:val="00EF5101"/>
    <w:rsid w:val="00EF5D5E"/>
    <w:rsid w:val="00EF627A"/>
    <w:rsid w:val="00EF70D1"/>
    <w:rsid w:val="00EF7F4C"/>
    <w:rsid w:val="00F00515"/>
    <w:rsid w:val="00F01E63"/>
    <w:rsid w:val="00F0250C"/>
    <w:rsid w:val="00F042EE"/>
    <w:rsid w:val="00F048F8"/>
    <w:rsid w:val="00F055BA"/>
    <w:rsid w:val="00F06297"/>
    <w:rsid w:val="00F067F4"/>
    <w:rsid w:val="00F06C5C"/>
    <w:rsid w:val="00F06D4A"/>
    <w:rsid w:val="00F07E3C"/>
    <w:rsid w:val="00F135E1"/>
    <w:rsid w:val="00F1365A"/>
    <w:rsid w:val="00F14CB6"/>
    <w:rsid w:val="00F167E2"/>
    <w:rsid w:val="00F223B8"/>
    <w:rsid w:val="00F22EFA"/>
    <w:rsid w:val="00F237C3"/>
    <w:rsid w:val="00F23DA7"/>
    <w:rsid w:val="00F24713"/>
    <w:rsid w:val="00F24FB4"/>
    <w:rsid w:val="00F2532B"/>
    <w:rsid w:val="00F25E46"/>
    <w:rsid w:val="00F25E4D"/>
    <w:rsid w:val="00F27589"/>
    <w:rsid w:val="00F27D2A"/>
    <w:rsid w:val="00F3088A"/>
    <w:rsid w:val="00F3131F"/>
    <w:rsid w:val="00F32CC6"/>
    <w:rsid w:val="00F32FF6"/>
    <w:rsid w:val="00F334EA"/>
    <w:rsid w:val="00F348F5"/>
    <w:rsid w:val="00F4133C"/>
    <w:rsid w:val="00F413AB"/>
    <w:rsid w:val="00F42334"/>
    <w:rsid w:val="00F42F2A"/>
    <w:rsid w:val="00F43A0E"/>
    <w:rsid w:val="00F44F8D"/>
    <w:rsid w:val="00F47BEC"/>
    <w:rsid w:val="00F47E59"/>
    <w:rsid w:val="00F50375"/>
    <w:rsid w:val="00F5056F"/>
    <w:rsid w:val="00F51E15"/>
    <w:rsid w:val="00F51EE4"/>
    <w:rsid w:val="00F5219B"/>
    <w:rsid w:val="00F52C72"/>
    <w:rsid w:val="00F53971"/>
    <w:rsid w:val="00F5476A"/>
    <w:rsid w:val="00F547A6"/>
    <w:rsid w:val="00F56280"/>
    <w:rsid w:val="00F56DB8"/>
    <w:rsid w:val="00F57226"/>
    <w:rsid w:val="00F6196D"/>
    <w:rsid w:val="00F619DF"/>
    <w:rsid w:val="00F627D2"/>
    <w:rsid w:val="00F6334C"/>
    <w:rsid w:val="00F63C91"/>
    <w:rsid w:val="00F66436"/>
    <w:rsid w:val="00F671DF"/>
    <w:rsid w:val="00F76537"/>
    <w:rsid w:val="00F76A92"/>
    <w:rsid w:val="00F772EA"/>
    <w:rsid w:val="00F80AA8"/>
    <w:rsid w:val="00F80F49"/>
    <w:rsid w:val="00F80FF6"/>
    <w:rsid w:val="00F81EA1"/>
    <w:rsid w:val="00F822C3"/>
    <w:rsid w:val="00F84714"/>
    <w:rsid w:val="00F86477"/>
    <w:rsid w:val="00F86902"/>
    <w:rsid w:val="00F86B3C"/>
    <w:rsid w:val="00F87360"/>
    <w:rsid w:val="00F87C7D"/>
    <w:rsid w:val="00F87D49"/>
    <w:rsid w:val="00F91BF9"/>
    <w:rsid w:val="00F91FD1"/>
    <w:rsid w:val="00F9413E"/>
    <w:rsid w:val="00F958BE"/>
    <w:rsid w:val="00F960AE"/>
    <w:rsid w:val="00F96A82"/>
    <w:rsid w:val="00FA0802"/>
    <w:rsid w:val="00FA2C90"/>
    <w:rsid w:val="00FA39DA"/>
    <w:rsid w:val="00FA3B6B"/>
    <w:rsid w:val="00FA4211"/>
    <w:rsid w:val="00FA446E"/>
    <w:rsid w:val="00FA4EA2"/>
    <w:rsid w:val="00FA5127"/>
    <w:rsid w:val="00FA5AF9"/>
    <w:rsid w:val="00FA5CDB"/>
    <w:rsid w:val="00FA5E8B"/>
    <w:rsid w:val="00FA6ABD"/>
    <w:rsid w:val="00FB090F"/>
    <w:rsid w:val="00FB2254"/>
    <w:rsid w:val="00FB514E"/>
    <w:rsid w:val="00FB5506"/>
    <w:rsid w:val="00FB638A"/>
    <w:rsid w:val="00FB6C3C"/>
    <w:rsid w:val="00FC07A8"/>
    <w:rsid w:val="00FC1070"/>
    <w:rsid w:val="00FC3358"/>
    <w:rsid w:val="00FC5AFB"/>
    <w:rsid w:val="00FC6E03"/>
    <w:rsid w:val="00FD0083"/>
    <w:rsid w:val="00FD00B4"/>
    <w:rsid w:val="00FD01D5"/>
    <w:rsid w:val="00FD04B9"/>
    <w:rsid w:val="00FD06EE"/>
    <w:rsid w:val="00FD0943"/>
    <w:rsid w:val="00FD2972"/>
    <w:rsid w:val="00FD415B"/>
    <w:rsid w:val="00FD4673"/>
    <w:rsid w:val="00FD48FC"/>
    <w:rsid w:val="00FD5CA2"/>
    <w:rsid w:val="00FE14AF"/>
    <w:rsid w:val="00FE2A44"/>
    <w:rsid w:val="00FE2CBE"/>
    <w:rsid w:val="00FE3AB7"/>
    <w:rsid w:val="00FE431E"/>
    <w:rsid w:val="00FE55CF"/>
    <w:rsid w:val="00FE5F32"/>
    <w:rsid w:val="00FE7BF6"/>
    <w:rsid w:val="00FF0069"/>
    <w:rsid w:val="00FF0B77"/>
    <w:rsid w:val="00FF1B67"/>
    <w:rsid w:val="00FF2320"/>
    <w:rsid w:val="00FF6C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7">
      <o:colormenu v:ext="edit" fillcolor="none" stroke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6A3C3D"/>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7A3E2D"/>
    <w:pPr>
      <w:keepNext/>
      <w:spacing w:before="120" w:after="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AA31D8"/>
    <w:pPr>
      <w:tabs>
        <w:tab w:val="left" w:pos="45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4A1BFB"/>
    <w:pPr>
      <w:spacing w:before="120" w:after="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color w:val="008000"/>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4A1BFB"/>
    <w:rPr>
      <w:color w:val="FF0000"/>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6A3C3D"/>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paragraph" w:customStyle="1" w:styleId="Body1">
    <w:name w:val="Body 1"/>
    <w:rsid w:val="00EA773B"/>
    <w:rPr>
      <w:rFonts w:ascii="Helvetica" w:eastAsia="ヒラギノ角ゴ Pro W3" w:hAnsi="Helvetica"/>
      <w:color w:val="000000"/>
      <w:sz w:val="24"/>
      <w:lang w:val="en-US"/>
    </w:rPr>
  </w:style>
  <w:style w:type="character" w:styleId="CommentReference">
    <w:name w:val="annotation reference"/>
    <w:uiPriority w:val="99"/>
    <w:semiHidden/>
    <w:unhideWhenUsed/>
    <w:rsid w:val="00EE0F6B"/>
    <w:rPr>
      <w:sz w:val="16"/>
      <w:szCs w:val="16"/>
    </w:rPr>
  </w:style>
</w:styles>
</file>

<file path=word/webSettings.xml><?xml version="1.0" encoding="utf-8"?>
<w:webSettings xmlns:r="http://schemas.openxmlformats.org/officeDocument/2006/relationships" xmlns:w="http://schemas.openxmlformats.org/wordprocessingml/2006/main">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1784">
      <w:bodyDiv w:val="1"/>
      <w:marLeft w:val="0"/>
      <w:marRight w:val="0"/>
      <w:marTop w:val="0"/>
      <w:marBottom w:val="0"/>
      <w:divBdr>
        <w:top w:val="none" w:sz="0" w:space="0" w:color="auto"/>
        <w:left w:val="none" w:sz="0" w:space="0" w:color="auto"/>
        <w:bottom w:val="none" w:sz="0" w:space="0" w:color="auto"/>
        <w:right w:val="none" w:sz="0" w:space="0" w:color="auto"/>
      </w:divBdr>
    </w:div>
    <w:div w:id="218128155">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56732644">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8356391">
      <w:bodyDiv w:val="1"/>
      <w:marLeft w:val="0"/>
      <w:marRight w:val="0"/>
      <w:marTop w:val="0"/>
      <w:marBottom w:val="0"/>
      <w:divBdr>
        <w:top w:val="none" w:sz="0" w:space="0" w:color="auto"/>
        <w:left w:val="none" w:sz="0" w:space="0" w:color="auto"/>
        <w:bottom w:val="none" w:sz="0" w:space="0" w:color="auto"/>
        <w:right w:val="none" w:sz="0" w:space="0" w:color="auto"/>
      </w:divBdr>
    </w:div>
    <w:div w:id="44165166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89849303">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19997816">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57617061">
      <w:bodyDiv w:val="1"/>
      <w:marLeft w:val="0"/>
      <w:marRight w:val="0"/>
      <w:marTop w:val="0"/>
      <w:marBottom w:val="0"/>
      <w:divBdr>
        <w:top w:val="none" w:sz="0" w:space="0" w:color="auto"/>
        <w:left w:val="none" w:sz="0" w:space="0" w:color="auto"/>
        <w:bottom w:val="none" w:sz="0" w:space="0" w:color="auto"/>
        <w:right w:val="none" w:sz="0" w:space="0" w:color="auto"/>
      </w:divBdr>
    </w:div>
    <w:div w:id="935094078">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456368812">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68003801">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1A94-B8A0-4CED-B2DB-B9E4A410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1503</Words>
  <Characters>7627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 </Company>
  <LinksUpToDate>false</LinksUpToDate>
  <CharactersWithSpaces>9112</CharactersWithSpaces>
  <SharedDoc>false</SharedDoc>
  <HLinks>
    <vt:vector size="96" baseType="variant">
      <vt:variant>
        <vt:i4>5242928</vt:i4>
      </vt:variant>
      <vt:variant>
        <vt:i4>93</vt:i4>
      </vt:variant>
      <vt:variant>
        <vt:i4>0</vt:i4>
      </vt:variant>
      <vt:variant>
        <vt:i4>5</vt:i4>
      </vt:variant>
      <vt:variant>
        <vt:lpwstr>mailto:kaat.binon@swift.com</vt:lpwstr>
      </vt:variant>
      <vt:variant>
        <vt:lpwstr/>
      </vt:variant>
      <vt:variant>
        <vt:i4>1703996</vt:i4>
      </vt:variant>
      <vt:variant>
        <vt:i4>86</vt:i4>
      </vt:variant>
      <vt:variant>
        <vt:i4>0</vt:i4>
      </vt:variant>
      <vt:variant>
        <vt:i4>5</vt:i4>
      </vt:variant>
      <vt:variant>
        <vt:lpwstr/>
      </vt:variant>
      <vt:variant>
        <vt:lpwstr>_Toc304820951</vt:lpwstr>
      </vt:variant>
      <vt:variant>
        <vt:i4>1703996</vt:i4>
      </vt:variant>
      <vt:variant>
        <vt:i4>80</vt:i4>
      </vt:variant>
      <vt:variant>
        <vt:i4>0</vt:i4>
      </vt:variant>
      <vt:variant>
        <vt:i4>5</vt:i4>
      </vt:variant>
      <vt:variant>
        <vt:lpwstr/>
      </vt:variant>
      <vt:variant>
        <vt:lpwstr>_Toc304820950</vt:lpwstr>
      </vt:variant>
      <vt:variant>
        <vt:i4>1769532</vt:i4>
      </vt:variant>
      <vt:variant>
        <vt:i4>74</vt:i4>
      </vt:variant>
      <vt:variant>
        <vt:i4>0</vt:i4>
      </vt:variant>
      <vt:variant>
        <vt:i4>5</vt:i4>
      </vt:variant>
      <vt:variant>
        <vt:lpwstr/>
      </vt:variant>
      <vt:variant>
        <vt:lpwstr>_Toc304820949</vt:lpwstr>
      </vt:variant>
      <vt:variant>
        <vt:i4>1769532</vt:i4>
      </vt:variant>
      <vt:variant>
        <vt:i4>68</vt:i4>
      </vt:variant>
      <vt:variant>
        <vt:i4>0</vt:i4>
      </vt:variant>
      <vt:variant>
        <vt:i4>5</vt:i4>
      </vt:variant>
      <vt:variant>
        <vt:lpwstr/>
      </vt:variant>
      <vt:variant>
        <vt:lpwstr>_Toc304820948</vt:lpwstr>
      </vt:variant>
      <vt:variant>
        <vt:i4>1769532</vt:i4>
      </vt:variant>
      <vt:variant>
        <vt:i4>62</vt:i4>
      </vt:variant>
      <vt:variant>
        <vt:i4>0</vt:i4>
      </vt:variant>
      <vt:variant>
        <vt:i4>5</vt:i4>
      </vt:variant>
      <vt:variant>
        <vt:lpwstr/>
      </vt:variant>
      <vt:variant>
        <vt:lpwstr>_Toc304820947</vt:lpwstr>
      </vt:variant>
      <vt:variant>
        <vt:i4>1769532</vt:i4>
      </vt:variant>
      <vt:variant>
        <vt:i4>56</vt:i4>
      </vt:variant>
      <vt:variant>
        <vt:i4>0</vt:i4>
      </vt:variant>
      <vt:variant>
        <vt:i4>5</vt:i4>
      </vt:variant>
      <vt:variant>
        <vt:lpwstr/>
      </vt:variant>
      <vt:variant>
        <vt:lpwstr>_Toc304820946</vt:lpwstr>
      </vt:variant>
      <vt:variant>
        <vt:i4>1769532</vt:i4>
      </vt:variant>
      <vt:variant>
        <vt:i4>50</vt:i4>
      </vt:variant>
      <vt:variant>
        <vt:i4>0</vt:i4>
      </vt:variant>
      <vt:variant>
        <vt:i4>5</vt:i4>
      </vt:variant>
      <vt:variant>
        <vt:lpwstr/>
      </vt:variant>
      <vt:variant>
        <vt:lpwstr>_Toc304820945</vt:lpwstr>
      </vt:variant>
      <vt:variant>
        <vt:i4>1769532</vt:i4>
      </vt:variant>
      <vt:variant>
        <vt:i4>44</vt:i4>
      </vt:variant>
      <vt:variant>
        <vt:i4>0</vt:i4>
      </vt:variant>
      <vt:variant>
        <vt:i4>5</vt:i4>
      </vt:variant>
      <vt:variant>
        <vt:lpwstr/>
      </vt:variant>
      <vt:variant>
        <vt:lpwstr>_Toc304820944</vt:lpwstr>
      </vt:variant>
      <vt:variant>
        <vt:i4>1769532</vt:i4>
      </vt:variant>
      <vt:variant>
        <vt:i4>38</vt:i4>
      </vt:variant>
      <vt:variant>
        <vt:i4>0</vt:i4>
      </vt:variant>
      <vt:variant>
        <vt:i4>5</vt:i4>
      </vt:variant>
      <vt:variant>
        <vt:lpwstr/>
      </vt:variant>
      <vt:variant>
        <vt:lpwstr>_Toc304820943</vt:lpwstr>
      </vt:variant>
      <vt:variant>
        <vt:i4>1769532</vt:i4>
      </vt:variant>
      <vt:variant>
        <vt:i4>32</vt:i4>
      </vt:variant>
      <vt:variant>
        <vt:i4>0</vt:i4>
      </vt:variant>
      <vt:variant>
        <vt:i4>5</vt:i4>
      </vt:variant>
      <vt:variant>
        <vt:lpwstr/>
      </vt:variant>
      <vt:variant>
        <vt:lpwstr>_Toc304820942</vt:lpwstr>
      </vt:variant>
      <vt:variant>
        <vt:i4>1769532</vt:i4>
      </vt:variant>
      <vt:variant>
        <vt:i4>26</vt:i4>
      </vt:variant>
      <vt:variant>
        <vt:i4>0</vt:i4>
      </vt:variant>
      <vt:variant>
        <vt:i4>5</vt:i4>
      </vt:variant>
      <vt:variant>
        <vt:lpwstr/>
      </vt:variant>
      <vt:variant>
        <vt:lpwstr>_Toc304820941</vt:lpwstr>
      </vt:variant>
      <vt:variant>
        <vt:i4>1769532</vt:i4>
      </vt:variant>
      <vt:variant>
        <vt:i4>20</vt:i4>
      </vt:variant>
      <vt:variant>
        <vt:i4>0</vt:i4>
      </vt:variant>
      <vt:variant>
        <vt:i4>5</vt:i4>
      </vt:variant>
      <vt:variant>
        <vt:lpwstr/>
      </vt:variant>
      <vt:variant>
        <vt:lpwstr>_Toc304820940</vt:lpwstr>
      </vt:variant>
      <vt:variant>
        <vt:i4>1835068</vt:i4>
      </vt:variant>
      <vt:variant>
        <vt:i4>14</vt:i4>
      </vt:variant>
      <vt:variant>
        <vt:i4>0</vt:i4>
      </vt:variant>
      <vt:variant>
        <vt:i4>5</vt:i4>
      </vt:variant>
      <vt:variant>
        <vt:lpwstr/>
      </vt:variant>
      <vt:variant>
        <vt:lpwstr>_Toc304820939</vt:lpwstr>
      </vt:variant>
      <vt:variant>
        <vt:i4>1835068</vt:i4>
      </vt:variant>
      <vt:variant>
        <vt:i4>8</vt:i4>
      </vt:variant>
      <vt:variant>
        <vt:i4>0</vt:i4>
      </vt:variant>
      <vt:variant>
        <vt:i4>5</vt:i4>
      </vt:variant>
      <vt:variant>
        <vt:lpwstr/>
      </vt:variant>
      <vt:variant>
        <vt:lpwstr>_Toc304820938</vt:lpwstr>
      </vt:variant>
      <vt:variant>
        <vt:i4>1835068</vt:i4>
      </vt:variant>
      <vt:variant>
        <vt:i4>2</vt:i4>
      </vt:variant>
      <vt:variant>
        <vt:i4>0</vt:i4>
      </vt:variant>
      <vt:variant>
        <vt:i4>5</vt:i4>
      </vt:variant>
      <vt:variant>
        <vt:lpwstr/>
      </vt:variant>
      <vt:variant>
        <vt:lpwstr>_Toc304820937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subject/>
  <dc:creator>Christine Strandberg</dc:creator>
  <cp:keywords/>
  <dc:description/>
  <cp:lastModifiedBy>Jacques Littré</cp:lastModifiedBy>
  <cp:revision>5</cp:revision>
  <cp:lastPrinted>2011-05-05T16:09:00Z</cp:lastPrinted>
  <dcterms:created xsi:type="dcterms:W3CDTF">2012-06-06T16:59:00Z</dcterms:created>
  <dcterms:modified xsi:type="dcterms:W3CDTF">2012-06-06T17:45:00Z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