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A738EA" w:rsidP="00A738EA">
      <w:pPr>
        <w:pStyle w:val="Header"/>
        <w:rPr>
          <w:lang w:val="en-GB"/>
        </w:rPr>
      </w:pPr>
      <w:r>
        <w:rPr>
          <w:lang w:val="en-GB"/>
        </w:rPr>
        <w:t>13 December 2012</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738EA"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Draft</w:t>
      </w:r>
      <w:r w:rsidR="00BB670F" w:rsidRPr="00C10F02">
        <w:rPr>
          <w:lang w:val="en-GB"/>
        </w:rPr>
        <w:t xml:space="preserve"> </w:t>
      </w:r>
      <w:proofErr w:type="gramStart"/>
      <w:r w:rsidR="00BB670F" w:rsidRPr="00C10F02">
        <w:rPr>
          <w:lang w:val="en-GB"/>
        </w:rPr>
        <w:t xml:space="preserve">Version  </w:t>
      </w:r>
      <w:r w:rsidR="0076568D" w:rsidRPr="00C10F02">
        <w:rPr>
          <w:lang w:val="en-GB"/>
        </w:rPr>
        <w:t>v</w:t>
      </w:r>
      <w:r>
        <w:rPr>
          <w:lang w:val="en-GB"/>
        </w:rPr>
        <w:t>0.1</w:t>
      </w:r>
      <w:proofErr w:type="gramEnd"/>
      <w:r w:rsidR="008179FB" w:rsidRPr="00C10F02">
        <w:rPr>
          <w:lang w:val="en-GB"/>
        </w:rPr>
        <w:t xml:space="preserve"> – </w:t>
      </w:r>
      <w:r w:rsidR="00273F18">
        <w:rPr>
          <w:lang w:val="en-GB"/>
        </w:rPr>
        <w:t>December</w:t>
      </w:r>
      <w:r w:rsidR="003D56C9" w:rsidRPr="00C10F02">
        <w:rPr>
          <w:lang w:val="en-GB"/>
        </w:rPr>
        <w:t xml:space="preserve"> </w:t>
      </w:r>
      <w:r>
        <w:rPr>
          <w:lang w:val="en-GB"/>
        </w:rPr>
        <w:t>19</w:t>
      </w:r>
      <w:r w:rsidR="003D56C9" w:rsidRPr="00C10F02">
        <w:rPr>
          <w:lang w:val="en-GB"/>
        </w:rPr>
        <w:t>, 2012</w:t>
      </w:r>
    </w:p>
    <w:p w:rsidR="00AB6103" w:rsidRDefault="00E81D81" w:rsidP="00592037">
      <w:pPr>
        <w:pStyle w:val="Title1"/>
      </w:pPr>
      <w:r>
        <w:lastRenderedPageBreak/>
        <w:t>Table of Contents</w:t>
      </w:r>
    </w:p>
    <w:p w:rsidR="00F54646"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43702781" w:history="1">
        <w:r w:rsidR="00F54646" w:rsidRPr="00743781">
          <w:rPr>
            <w:rStyle w:val="Hyperlink"/>
          </w:rPr>
          <w:t>1.</w:t>
        </w:r>
        <w:r w:rsidR="00F54646">
          <w:rPr>
            <w:rFonts w:asciiTheme="minorHAnsi" w:eastAsiaTheme="minorEastAsia" w:hAnsiTheme="minorHAnsi" w:cstheme="minorBidi"/>
            <w:b w:val="0"/>
            <w:bCs w:val="0"/>
            <w:sz w:val="22"/>
            <w:szCs w:val="22"/>
            <w:lang w:val="en-GB" w:eastAsia="en-GB"/>
          </w:rPr>
          <w:tab/>
        </w:r>
        <w:r w:rsidR="00F54646" w:rsidRPr="00743781">
          <w:rPr>
            <w:rStyle w:val="Hyperlink"/>
            <w:lang w:eastAsia="en-GB"/>
          </w:rPr>
          <w:t>Approval of Osaka Meeting Minutes</w:t>
        </w:r>
        <w:r w:rsidR="00F54646">
          <w:rPr>
            <w:webHidden/>
          </w:rPr>
          <w:tab/>
        </w:r>
        <w:r w:rsidR="00F54646">
          <w:rPr>
            <w:webHidden/>
          </w:rPr>
          <w:fldChar w:fldCharType="begin"/>
        </w:r>
        <w:r w:rsidR="00F54646">
          <w:rPr>
            <w:webHidden/>
          </w:rPr>
          <w:instrText xml:space="preserve"> PAGEREF _Toc343702781 \h </w:instrText>
        </w:r>
        <w:r w:rsidR="00F54646">
          <w:rPr>
            <w:webHidden/>
          </w:rPr>
        </w:r>
        <w:r w:rsidR="00F54646">
          <w:rPr>
            <w:webHidden/>
          </w:rPr>
          <w:fldChar w:fldCharType="separate"/>
        </w:r>
        <w:r w:rsidR="00F54646">
          <w:rPr>
            <w:webHidden/>
          </w:rPr>
          <w:t>3</w:t>
        </w:r>
        <w:r w:rsidR="00F54646">
          <w:rPr>
            <w:webHidden/>
          </w:rPr>
          <w:fldChar w:fldCharType="end"/>
        </w:r>
      </w:hyperlink>
    </w:p>
    <w:p w:rsidR="00F54646" w:rsidRDefault="00BD0772">
      <w:pPr>
        <w:pStyle w:val="TOC1"/>
        <w:rPr>
          <w:rFonts w:asciiTheme="minorHAnsi" w:eastAsiaTheme="minorEastAsia" w:hAnsiTheme="minorHAnsi" w:cstheme="minorBidi"/>
          <w:b w:val="0"/>
          <w:bCs w:val="0"/>
          <w:sz w:val="22"/>
          <w:szCs w:val="22"/>
          <w:lang w:val="en-GB" w:eastAsia="en-GB"/>
        </w:rPr>
      </w:pPr>
      <w:hyperlink w:anchor="_Toc343702782" w:history="1">
        <w:r w:rsidR="00F54646" w:rsidRPr="00743781">
          <w:rPr>
            <w:rStyle w:val="Hyperlink"/>
          </w:rPr>
          <w:t>2.</w:t>
        </w:r>
        <w:r w:rsidR="00F54646">
          <w:rPr>
            <w:rFonts w:asciiTheme="minorHAnsi" w:eastAsiaTheme="minorEastAsia" w:hAnsiTheme="minorHAnsi" w:cstheme="minorBidi"/>
            <w:b w:val="0"/>
            <w:bCs w:val="0"/>
            <w:sz w:val="22"/>
            <w:szCs w:val="22"/>
            <w:lang w:val="en-GB" w:eastAsia="en-GB"/>
          </w:rPr>
          <w:tab/>
        </w:r>
        <w:r w:rsidR="00F54646" w:rsidRPr="00743781">
          <w:rPr>
            <w:rStyle w:val="Hyperlink"/>
          </w:rPr>
          <w:t>CA 203 - Yearly GMP Part 1,2,3 and Samples Updates – Actions follow-up</w:t>
        </w:r>
        <w:r w:rsidR="00F54646">
          <w:rPr>
            <w:webHidden/>
          </w:rPr>
          <w:tab/>
        </w:r>
        <w:r w:rsidR="00F54646">
          <w:rPr>
            <w:webHidden/>
          </w:rPr>
          <w:fldChar w:fldCharType="begin"/>
        </w:r>
        <w:r w:rsidR="00F54646">
          <w:rPr>
            <w:webHidden/>
          </w:rPr>
          <w:instrText xml:space="preserve"> PAGEREF _Toc343702782 \h </w:instrText>
        </w:r>
        <w:r w:rsidR="00F54646">
          <w:rPr>
            <w:webHidden/>
          </w:rPr>
        </w:r>
        <w:r w:rsidR="00F54646">
          <w:rPr>
            <w:webHidden/>
          </w:rPr>
          <w:fldChar w:fldCharType="separate"/>
        </w:r>
        <w:r w:rsidR="00F54646">
          <w:rPr>
            <w:webHidden/>
          </w:rPr>
          <w:t>3</w:t>
        </w:r>
        <w:r w:rsidR="00F54646">
          <w:rPr>
            <w:webHidden/>
          </w:rPr>
          <w:fldChar w:fldCharType="end"/>
        </w:r>
      </w:hyperlink>
    </w:p>
    <w:p w:rsidR="00F54646" w:rsidRDefault="00BD0772">
      <w:pPr>
        <w:pStyle w:val="TOC1"/>
        <w:rPr>
          <w:rFonts w:asciiTheme="minorHAnsi" w:eastAsiaTheme="minorEastAsia" w:hAnsiTheme="minorHAnsi" w:cstheme="minorBidi"/>
          <w:b w:val="0"/>
          <w:bCs w:val="0"/>
          <w:sz w:val="22"/>
          <w:szCs w:val="22"/>
          <w:lang w:val="en-GB" w:eastAsia="en-GB"/>
        </w:rPr>
      </w:pPr>
      <w:hyperlink w:anchor="_Toc343702783" w:history="1">
        <w:r w:rsidR="00F54646" w:rsidRPr="00743781">
          <w:rPr>
            <w:rStyle w:val="Hyperlink"/>
          </w:rPr>
          <w:t>3.</w:t>
        </w:r>
        <w:r w:rsidR="00F54646">
          <w:rPr>
            <w:rFonts w:asciiTheme="minorHAnsi" w:eastAsiaTheme="minorEastAsia" w:hAnsiTheme="minorHAnsi" w:cstheme="minorBidi"/>
            <w:b w:val="0"/>
            <w:bCs w:val="0"/>
            <w:sz w:val="22"/>
            <w:szCs w:val="22"/>
            <w:lang w:val="en-GB" w:eastAsia="en-GB"/>
          </w:rPr>
          <w:tab/>
        </w:r>
        <w:r w:rsidR="00F54646" w:rsidRPr="00743781">
          <w:rPr>
            <w:rStyle w:val="Hyperlink"/>
          </w:rPr>
          <w:t>CA 239 - SR2013 Maintenance WG follow up items</w:t>
        </w:r>
        <w:r w:rsidR="00F54646">
          <w:rPr>
            <w:webHidden/>
          </w:rPr>
          <w:tab/>
        </w:r>
        <w:r w:rsidR="00F54646">
          <w:rPr>
            <w:webHidden/>
          </w:rPr>
          <w:fldChar w:fldCharType="begin"/>
        </w:r>
        <w:r w:rsidR="00F54646">
          <w:rPr>
            <w:webHidden/>
          </w:rPr>
          <w:instrText xml:space="preserve"> PAGEREF _Toc343702783 \h </w:instrText>
        </w:r>
        <w:r w:rsidR="00F54646">
          <w:rPr>
            <w:webHidden/>
          </w:rPr>
        </w:r>
        <w:r w:rsidR="00F54646">
          <w:rPr>
            <w:webHidden/>
          </w:rPr>
          <w:fldChar w:fldCharType="separate"/>
        </w:r>
        <w:r w:rsidR="00F54646">
          <w:rPr>
            <w:webHidden/>
          </w:rPr>
          <w:t>4</w:t>
        </w:r>
        <w:r w:rsidR="00F54646">
          <w:rPr>
            <w:webHidden/>
          </w:rPr>
          <w:fldChar w:fldCharType="end"/>
        </w:r>
      </w:hyperlink>
    </w:p>
    <w:p w:rsidR="00F54646" w:rsidRDefault="00BD0772">
      <w:pPr>
        <w:pStyle w:val="TOC1"/>
        <w:rPr>
          <w:rFonts w:asciiTheme="minorHAnsi" w:eastAsiaTheme="minorEastAsia" w:hAnsiTheme="minorHAnsi" w:cstheme="minorBidi"/>
          <w:b w:val="0"/>
          <w:bCs w:val="0"/>
          <w:sz w:val="22"/>
          <w:szCs w:val="22"/>
          <w:lang w:val="en-GB" w:eastAsia="en-GB"/>
        </w:rPr>
      </w:pPr>
      <w:hyperlink w:anchor="_Toc343702784" w:history="1">
        <w:r w:rsidR="00F54646" w:rsidRPr="00743781">
          <w:rPr>
            <w:rStyle w:val="Hyperlink"/>
          </w:rPr>
          <w:t>4.</w:t>
        </w:r>
        <w:r w:rsidR="00F54646">
          <w:rPr>
            <w:rFonts w:asciiTheme="minorHAnsi" w:eastAsiaTheme="minorEastAsia" w:hAnsiTheme="minorHAnsi" w:cstheme="minorBidi"/>
            <w:b w:val="0"/>
            <w:bCs w:val="0"/>
            <w:sz w:val="22"/>
            <w:szCs w:val="22"/>
            <w:lang w:val="en-GB" w:eastAsia="en-GB"/>
          </w:rPr>
          <w:tab/>
        </w:r>
        <w:r w:rsidR="00F54646" w:rsidRPr="00743781">
          <w:rPr>
            <w:rStyle w:val="Hyperlink"/>
          </w:rPr>
          <w:t>CA 226 - Disclosure (DSCL) Event - Clarify Usage / Market Practice</w:t>
        </w:r>
        <w:r w:rsidR="00F54646">
          <w:rPr>
            <w:webHidden/>
          </w:rPr>
          <w:tab/>
        </w:r>
        <w:r w:rsidR="00F54646">
          <w:rPr>
            <w:webHidden/>
          </w:rPr>
          <w:fldChar w:fldCharType="begin"/>
        </w:r>
        <w:r w:rsidR="00F54646">
          <w:rPr>
            <w:webHidden/>
          </w:rPr>
          <w:instrText xml:space="preserve"> PAGEREF _Toc343702784 \h </w:instrText>
        </w:r>
        <w:r w:rsidR="00F54646">
          <w:rPr>
            <w:webHidden/>
          </w:rPr>
        </w:r>
        <w:r w:rsidR="00F54646">
          <w:rPr>
            <w:webHidden/>
          </w:rPr>
          <w:fldChar w:fldCharType="separate"/>
        </w:r>
        <w:r w:rsidR="00F54646">
          <w:rPr>
            <w:webHidden/>
          </w:rPr>
          <w:t>4</w:t>
        </w:r>
        <w:r w:rsidR="00F54646">
          <w:rPr>
            <w:webHidden/>
          </w:rPr>
          <w:fldChar w:fldCharType="end"/>
        </w:r>
      </w:hyperlink>
    </w:p>
    <w:p w:rsidR="00F54646" w:rsidRDefault="00BD0772">
      <w:pPr>
        <w:pStyle w:val="TOC1"/>
        <w:rPr>
          <w:rFonts w:asciiTheme="minorHAnsi" w:eastAsiaTheme="minorEastAsia" w:hAnsiTheme="minorHAnsi" w:cstheme="minorBidi"/>
          <w:b w:val="0"/>
          <w:bCs w:val="0"/>
          <w:sz w:val="22"/>
          <w:szCs w:val="22"/>
          <w:lang w:val="en-GB" w:eastAsia="en-GB"/>
        </w:rPr>
      </w:pPr>
      <w:hyperlink w:anchor="_Toc343702785" w:history="1">
        <w:r w:rsidR="00F54646" w:rsidRPr="00743781">
          <w:rPr>
            <w:rStyle w:val="Hyperlink"/>
          </w:rPr>
          <w:t>5.</w:t>
        </w:r>
        <w:r w:rsidR="00F54646">
          <w:rPr>
            <w:rFonts w:asciiTheme="minorHAnsi" w:eastAsiaTheme="minorEastAsia" w:hAnsiTheme="minorHAnsi" w:cstheme="minorBidi"/>
            <w:b w:val="0"/>
            <w:bCs w:val="0"/>
            <w:sz w:val="22"/>
            <w:szCs w:val="22"/>
            <w:lang w:val="en-GB" w:eastAsia="en-GB"/>
          </w:rPr>
          <w:tab/>
        </w:r>
        <w:r w:rsidR="00F54646" w:rsidRPr="00743781">
          <w:rPr>
            <w:rStyle w:val="Hyperlink"/>
          </w:rPr>
          <w:t>CA 244 – DVCA GRSS and NETT Rates in Percentage</w:t>
        </w:r>
        <w:r w:rsidR="00F54646">
          <w:rPr>
            <w:webHidden/>
          </w:rPr>
          <w:tab/>
        </w:r>
        <w:r w:rsidR="00F54646">
          <w:rPr>
            <w:webHidden/>
          </w:rPr>
          <w:fldChar w:fldCharType="begin"/>
        </w:r>
        <w:r w:rsidR="00F54646">
          <w:rPr>
            <w:webHidden/>
          </w:rPr>
          <w:instrText xml:space="preserve"> PAGEREF _Toc343702785 \h </w:instrText>
        </w:r>
        <w:r w:rsidR="00F54646">
          <w:rPr>
            <w:webHidden/>
          </w:rPr>
        </w:r>
        <w:r w:rsidR="00F54646">
          <w:rPr>
            <w:webHidden/>
          </w:rPr>
          <w:fldChar w:fldCharType="separate"/>
        </w:r>
        <w:r w:rsidR="00F54646">
          <w:rPr>
            <w:webHidden/>
          </w:rPr>
          <w:t>5</w:t>
        </w:r>
        <w:r w:rsidR="00F54646">
          <w:rPr>
            <w:webHidden/>
          </w:rPr>
          <w:fldChar w:fldCharType="end"/>
        </w:r>
      </w:hyperlink>
    </w:p>
    <w:p w:rsidR="00F54646" w:rsidRDefault="00BD0772">
      <w:pPr>
        <w:pStyle w:val="TOC1"/>
        <w:rPr>
          <w:rFonts w:asciiTheme="minorHAnsi" w:eastAsiaTheme="minorEastAsia" w:hAnsiTheme="minorHAnsi" w:cstheme="minorBidi"/>
          <w:b w:val="0"/>
          <w:bCs w:val="0"/>
          <w:sz w:val="22"/>
          <w:szCs w:val="22"/>
          <w:lang w:val="en-GB" w:eastAsia="en-GB"/>
        </w:rPr>
      </w:pPr>
      <w:hyperlink w:anchor="_Toc343702786" w:history="1">
        <w:r w:rsidR="00F54646" w:rsidRPr="00743781">
          <w:rPr>
            <w:rStyle w:val="Hyperlink"/>
          </w:rPr>
          <w:t>6.</w:t>
        </w:r>
        <w:r w:rsidR="00F54646">
          <w:rPr>
            <w:rFonts w:asciiTheme="minorHAnsi" w:eastAsiaTheme="minorEastAsia" w:hAnsiTheme="minorHAnsi" w:cstheme="minorBidi"/>
            <w:b w:val="0"/>
            <w:bCs w:val="0"/>
            <w:sz w:val="22"/>
            <w:szCs w:val="22"/>
            <w:lang w:val="en-GB" w:eastAsia="en-GB"/>
          </w:rPr>
          <w:tab/>
        </w:r>
        <w:r w:rsidR="00F54646" w:rsidRPr="00743781">
          <w:rPr>
            <w:rStyle w:val="Hyperlink"/>
          </w:rPr>
          <w:t>CA 245 – Capital Increase Offered to Public</w:t>
        </w:r>
        <w:r w:rsidR="00F54646">
          <w:rPr>
            <w:webHidden/>
          </w:rPr>
          <w:tab/>
        </w:r>
        <w:r w:rsidR="00F54646">
          <w:rPr>
            <w:webHidden/>
          </w:rPr>
          <w:fldChar w:fldCharType="begin"/>
        </w:r>
        <w:r w:rsidR="00F54646">
          <w:rPr>
            <w:webHidden/>
          </w:rPr>
          <w:instrText xml:space="preserve"> PAGEREF _Toc343702786 \h </w:instrText>
        </w:r>
        <w:r w:rsidR="00F54646">
          <w:rPr>
            <w:webHidden/>
          </w:rPr>
        </w:r>
        <w:r w:rsidR="00F54646">
          <w:rPr>
            <w:webHidden/>
          </w:rPr>
          <w:fldChar w:fldCharType="separate"/>
        </w:r>
        <w:r w:rsidR="00F54646">
          <w:rPr>
            <w:webHidden/>
          </w:rPr>
          <w:t>5</w:t>
        </w:r>
        <w:r w:rsidR="00F54646">
          <w:rPr>
            <w:webHidden/>
          </w:rPr>
          <w:fldChar w:fldCharType="end"/>
        </w:r>
      </w:hyperlink>
    </w:p>
    <w:p w:rsidR="00F54646" w:rsidRDefault="00BD0772">
      <w:pPr>
        <w:pStyle w:val="TOC1"/>
        <w:rPr>
          <w:rFonts w:asciiTheme="minorHAnsi" w:eastAsiaTheme="minorEastAsia" w:hAnsiTheme="minorHAnsi" w:cstheme="minorBidi"/>
          <w:b w:val="0"/>
          <w:bCs w:val="0"/>
          <w:sz w:val="22"/>
          <w:szCs w:val="22"/>
          <w:lang w:val="en-GB" w:eastAsia="en-GB"/>
        </w:rPr>
      </w:pPr>
      <w:hyperlink w:anchor="_Toc343702787" w:history="1">
        <w:r w:rsidR="00F54646" w:rsidRPr="00743781">
          <w:rPr>
            <w:rStyle w:val="Hyperlink"/>
            <w:lang w:val="fr-BE"/>
          </w:rPr>
          <w:t>7.</w:t>
        </w:r>
        <w:r w:rsidR="00F54646">
          <w:rPr>
            <w:rFonts w:asciiTheme="minorHAnsi" w:eastAsiaTheme="minorEastAsia" w:hAnsiTheme="minorHAnsi" w:cstheme="minorBidi"/>
            <w:b w:val="0"/>
            <w:bCs w:val="0"/>
            <w:sz w:val="22"/>
            <w:szCs w:val="22"/>
            <w:lang w:val="en-GB" w:eastAsia="en-GB"/>
          </w:rPr>
          <w:tab/>
        </w:r>
        <w:r w:rsidR="00F54646" w:rsidRPr="00743781">
          <w:rPr>
            <w:rStyle w:val="Hyperlink"/>
            <w:lang w:val="fr-BE"/>
          </w:rPr>
          <w:t>GMP Part 1 Subgroup Update</w:t>
        </w:r>
        <w:r w:rsidR="00F54646">
          <w:rPr>
            <w:webHidden/>
          </w:rPr>
          <w:tab/>
        </w:r>
        <w:r w:rsidR="00F54646">
          <w:rPr>
            <w:webHidden/>
          </w:rPr>
          <w:fldChar w:fldCharType="begin"/>
        </w:r>
        <w:r w:rsidR="00F54646">
          <w:rPr>
            <w:webHidden/>
          </w:rPr>
          <w:instrText xml:space="preserve"> PAGEREF _Toc343702787 \h </w:instrText>
        </w:r>
        <w:r w:rsidR="00F54646">
          <w:rPr>
            <w:webHidden/>
          </w:rPr>
        </w:r>
        <w:r w:rsidR="00F54646">
          <w:rPr>
            <w:webHidden/>
          </w:rPr>
          <w:fldChar w:fldCharType="separate"/>
        </w:r>
        <w:r w:rsidR="00F54646">
          <w:rPr>
            <w:webHidden/>
          </w:rPr>
          <w:t>5</w:t>
        </w:r>
        <w:r w:rsidR="00F54646">
          <w:rPr>
            <w:webHidden/>
          </w:rPr>
          <w:fldChar w:fldCharType="end"/>
        </w:r>
      </w:hyperlink>
    </w:p>
    <w:p w:rsidR="00F54646" w:rsidRDefault="00BD0772">
      <w:pPr>
        <w:pStyle w:val="TOC1"/>
        <w:rPr>
          <w:rFonts w:asciiTheme="minorHAnsi" w:eastAsiaTheme="minorEastAsia" w:hAnsiTheme="minorHAnsi" w:cstheme="minorBidi"/>
          <w:b w:val="0"/>
          <w:bCs w:val="0"/>
          <w:sz w:val="22"/>
          <w:szCs w:val="22"/>
          <w:lang w:val="en-GB" w:eastAsia="en-GB"/>
        </w:rPr>
      </w:pPr>
      <w:hyperlink w:anchor="_Toc343702788" w:history="1">
        <w:r w:rsidR="00F54646" w:rsidRPr="00743781">
          <w:rPr>
            <w:rStyle w:val="Hyperlink"/>
            <w:lang w:val="fr-BE"/>
          </w:rPr>
          <w:t>8.</w:t>
        </w:r>
        <w:r w:rsidR="00F54646">
          <w:rPr>
            <w:rFonts w:asciiTheme="minorHAnsi" w:eastAsiaTheme="minorEastAsia" w:hAnsiTheme="minorHAnsi" w:cstheme="minorBidi"/>
            <w:b w:val="0"/>
            <w:bCs w:val="0"/>
            <w:sz w:val="22"/>
            <w:szCs w:val="22"/>
            <w:lang w:val="en-GB" w:eastAsia="en-GB"/>
          </w:rPr>
          <w:tab/>
        </w:r>
        <w:r w:rsidR="00F54646" w:rsidRPr="00743781">
          <w:rPr>
            <w:rStyle w:val="Hyperlink"/>
            <w:lang w:val="fr-BE"/>
          </w:rPr>
          <w:t>TA - Tax Subgroup</w:t>
        </w:r>
        <w:r w:rsidR="00F54646">
          <w:rPr>
            <w:webHidden/>
          </w:rPr>
          <w:tab/>
        </w:r>
        <w:r w:rsidR="00F54646">
          <w:rPr>
            <w:webHidden/>
          </w:rPr>
          <w:fldChar w:fldCharType="begin"/>
        </w:r>
        <w:r w:rsidR="00F54646">
          <w:rPr>
            <w:webHidden/>
          </w:rPr>
          <w:instrText xml:space="preserve"> PAGEREF _Toc343702788 \h </w:instrText>
        </w:r>
        <w:r w:rsidR="00F54646">
          <w:rPr>
            <w:webHidden/>
          </w:rPr>
        </w:r>
        <w:r w:rsidR="00F54646">
          <w:rPr>
            <w:webHidden/>
          </w:rPr>
          <w:fldChar w:fldCharType="separate"/>
        </w:r>
        <w:r w:rsidR="00F54646">
          <w:rPr>
            <w:webHidden/>
          </w:rPr>
          <w:t>5</w:t>
        </w:r>
        <w:r w:rsidR="00F54646">
          <w:rPr>
            <w:webHidden/>
          </w:rPr>
          <w:fldChar w:fldCharType="end"/>
        </w:r>
      </w:hyperlink>
    </w:p>
    <w:p w:rsidR="00F54646" w:rsidRDefault="00BD0772">
      <w:pPr>
        <w:pStyle w:val="TOC1"/>
        <w:rPr>
          <w:rFonts w:asciiTheme="minorHAnsi" w:eastAsiaTheme="minorEastAsia" w:hAnsiTheme="minorHAnsi" w:cstheme="minorBidi"/>
          <w:b w:val="0"/>
          <w:bCs w:val="0"/>
          <w:sz w:val="22"/>
          <w:szCs w:val="22"/>
          <w:lang w:val="en-GB" w:eastAsia="en-GB"/>
        </w:rPr>
      </w:pPr>
      <w:hyperlink w:anchor="_Toc343702789" w:history="1">
        <w:r w:rsidR="00F54646" w:rsidRPr="00743781">
          <w:rPr>
            <w:rStyle w:val="Hyperlink"/>
            <w:lang w:val="fr-BE"/>
          </w:rPr>
          <w:t>9.</w:t>
        </w:r>
        <w:r w:rsidR="00F54646">
          <w:rPr>
            <w:rFonts w:asciiTheme="minorHAnsi" w:eastAsiaTheme="minorEastAsia" w:hAnsiTheme="minorHAnsi" w:cstheme="minorBidi"/>
            <w:b w:val="0"/>
            <w:bCs w:val="0"/>
            <w:sz w:val="22"/>
            <w:szCs w:val="22"/>
            <w:lang w:val="en-GB" w:eastAsia="en-GB"/>
          </w:rPr>
          <w:tab/>
        </w:r>
        <w:r w:rsidR="00F54646" w:rsidRPr="00743781">
          <w:rPr>
            <w:rStyle w:val="Hyperlink"/>
            <w:lang w:val="fr-BE"/>
          </w:rPr>
          <w:t>PV - PV Subgroup</w:t>
        </w:r>
        <w:r w:rsidR="00F54646">
          <w:rPr>
            <w:webHidden/>
          </w:rPr>
          <w:tab/>
        </w:r>
        <w:r w:rsidR="00F54646">
          <w:rPr>
            <w:webHidden/>
          </w:rPr>
          <w:fldChar w:fldCharType="begin"/>
        </w:r>
        <w:r w:rsidR="00F54646">
          <w:rPr>
            <w:webHidden/>
          </w:rPr>
          <w:instrText xml:space="preserve"> PAGEREF _Toc343702789 \h </w:instrText>
        </w:r>
        <w:r w:rsidR="00F54646">
          <w:rPr>
            <w:webHidden/>
          </w:rPr>
        </w:r>
        <w:r w:rsidR="00F54646">
          <w:rPr>
            <w:webHidden/>
          </w:rPr>
          <w:fldChar w:fldCharType="separate"/>
        </w:r>
        <w:r w:rsidR="00F54646">
          <w:rPr>
            <w:webHidden/>
          </w:rPr>
          <w:t>5</w:t>
        </w:r>
        <w:r w:rsidR="00F54646">
          <w:rPr>
            <w:webHidden/>
          </w:rPr>
          <w:fldChar w:fldCharType="end"/>
        </w:r>
      </w:hyperlink>
    </w:p>
    <w:p w:rsidR="00F54646" w:rsidRDefault="00BD0772">
      <w:pPr>
        <w:pStyle w:val="TOC1"/>
        <w:rPr>
          <w:rFonts w:asciiTheme="minorHAnsi" w:eastAsiaTheme="minorEastAsia" w:hAnsiTheme="minorHAnsi" w:cstheme="minorBidi"/>
          <w:b w:val="0"/>
          <w:bCs w:val="0"/>
          <w:sz w:val="22"/>
          <w:szCs w:val="22"/>
          <w:lang w:val="en-GB" w:eastAsia="en-GB"/>
        </w:rPr>
      </w:pPr>
      <w:hyperlink w:anchor="_Toc343702790" w:history="1">
        <w:r w:rsidR="00F54646" w:rsidRPr="00743781">
          <w:rPr>
            <w:rStyle w:val="Hyperlink"/>
          </w:rPr>
          <w:t>10.</w:t>
        </w:r>
        <w:r w:rsidR="00F54646">
          <w:rPr>
            <w:rFonts w:asciiTheme="minorHAnsi" w:eastAsiaTheme="minorEastAsia" w:hAnsiTheme="minorHAnsi" w:cstheme="minorBidi"/>
            <w:b w:val="0"/>
            <w:bCs w:val="0"/>
            <w:sz w:val="22"/>
            <w:szCs w:val="22"/>
            <w:lang w:val="en-GB" w:eastAsia="en-GB"/>
          </w:rPr>
          <w:tab/>
        </w:r>
        <w:r w:rsidR="00F54646" w:rsidRPr="00743781">
          <w:rPr>
            <w:rStyle w:val="Hyperlink"/>
          </w:rPr>
          <w:t>CA SMPG conference calls schedule</w:t>
        </w:r>
        <w:r w:rsidR="00F54646">
          <w:rPr>
            <w:webHidden/>
          </w:rPr>
          <w:tab/>
        </w:r>
        <w:r w:rsidR="00F54646">
          <w:rPr>
            <w:webHidden/>
          </w:rPr>
          <w:fldChar w:fldCharType="begin"/>
        </w:r>
        <w:r w:rsidR="00F54646">
          <w:rPr>
            <w:webHidden/>
          </w:rPr>
          <w:instrText xml:space="preserve"> PAGEREF _Toc343702790 \h </w:instrText>
        </w:r>
        <w:r w:rsidR="00F54646">
          <w:rPr>
            <w:webHidden/>
          </w:rPr>
        </w:r>
        <w:r w:rsidR="00F54646">
          <w:rPr>
            <w:webHidden/>
          </w:rPr>
          <w:fldChar w:fldCharType="separate"/>
        </w:r>
        <w:r w:rsidR="00F54646">
          <w:rPr>
            <w:webHidden/>
          </w:rPr>
          <w:t>5</w:t>
        </w:r>
        <w:r w:rsidR="00F54646">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498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14"/>
        <w:gridCol w:w="1291"/>
        <w:gridCol w:w="647"/>
        <w:gridCol w:w="1291"/>
        <w:gridCol w:w="1900"/>
        <w:gridCol w:w="3182"/>
      </w:tblGrid>
      <w:tr w:rsidR="00FC31CB" w:rsidRPr="00ED35A1" w:rsidTr="001E0FF9">
        <w:tc>
          <w:tcPr>
            <w:tcW w:w="591" w:type="pct"/>
            <w:tcBorders>
              <w:top w:val="nil"/>
              <w:left w:val="nil"/>
              <w:bottom w:val="nil"/>
              <w:right w:val="single" w:sz="4" w:space="0" w:color="auto"/>
            </w:tcBorders>
            <w:shd w:val="clear" w:color="auto" w:fill="FFFFFF"/>
            <w:vAlign w:val="center"/>
          </w:tcPr>
          <w:p w:rsidR="00FC31CB" w:rsidRPr="00ED35A1" w:rsidRDefault="00FC31CB" w:rsidP="00ED35A1">
            <w:pPr>
              <w:rPr>
                <w:b/>
                <w:lang w:val="en-GB"/>
              </w:rPr>
            </w:pPr>
          </w:p>
        </w:tc>
        <w:tc>
          <w:tcPr>
            <w:tcW w:w="685" w:type="pct"/>
            <w:tcBorders>
              <w:left w:val="single" w:sz="4" w:space="0" w:color="auto"/>
            </w:tcBorders>
            <w:shd w:val="clear" w:color="auto" w:fill="CCCCCC"/>
            <w:vAlign w:val="center"/>
          </w:tcPr>
          <w:p w:rsidR="00FC31CB" w:rsidRPr="00ED35A1" w:rsidRDefault="00FC31CB" w:rsidP="00ED35A1">
            <w:pPr>
              <w:rPr>
                <w:b/>
                <w:lang w:val="en-GB"/>
              </w:rPr>
            </w:pPr>
            <w:r w:rsidRPr="00ED35A1">
              <w:rPr>
                <w:b/>
                <w:lang w:val="en-GB"/>
              </w:rPr>
              <w:t>Country</w:t>
            </w:r>
          </w:p>
        </w:tc>
        <w:tc>
          <w:tcPr>
            <w:tcW w:w="343" w:type="pct"/>
            <w:shd w:val="clear" w:color="auto" w:fill="CCCCCC"/>
          </w:tcPr>
          <w:p w:rsidR="00FC31CB" w:rsidRPr="00ED35A1" w:rsidRDefault="00FC31CB" w:rsidP="00ED35A1">
            <w:pPr>
              <w:rPr>
                <w:b/>
                <w:lang w:val="en-GB"/>
              </w:rPr>
            </w:pPr>
          </w:p>
        </w:tc>
        <w:tc>
          <w:tcPr>
            <w:tcW w:w="685" w:type="pct"/>
            <w:shd w:val="clear" w:color="auto" w:fill="CCCCCC"/>
            <w:vAlign w:val="center"/>
          </w:tcPr>
          <w:p w:rsidR="00FC31CB" w:rsidRPr="00ED35A1" w:rsidRDefault="00FC31CB" w:rsidP="00ED35A1">
            <w:pPr>
              <w:rPr>
                <w:b/>
                <w:lang w:val="en-GB"/>
              </w:rPr>
            </w:pPr>
            <w:r w:rsidRPr="00ED35A1">
              <w:rPr>
                <w:b/>
                <w:lang w:val="en-GB"/>
              </w:rPr>
              <w:t>First Name</w:t>
            </w:r>
          </w:p>
        </w:tc>
        <w:tc>
          <w:tcPr>
            <w:tcW w:w="1008" w:type="pct"/>
            <w:shd w:val="clear" w:color="auto" w:fill="CCCCCC"/>
            <w:vAlign w:val="center"/>
          </w:tcPr>
          <w:p w:rsidR="00FC31CB" w:rsidRPr="00ED35A1" w:rsidRDefault="00FC31CB" w:rsidP="00ED35A1">
            <w:pPr>
              <w:rPr>
                <w:b/>
                <w:lang w:val="en-GB"/>
              </w:rPr>
            </w:pPr>
            <w:r w:rsidRPr="00ED35A1">
              <w:rPr>
                <w:b/>
                <w:lang w:val="en-GB"/>
              </w:rPr>
              <w:t>Last Name</w:t>
            </w:r>
          </w:p>
        </w:tc>
        <w:tc>
          <w:tcPr>
            <w:tcW w:w="1688" w:type="pct"/>
            <w:shd w:val="clear" w:color="auto" w:fill="CCCCCC"/>
            <w:vAlign w:val="center"/>
          </w:tcPr>
          <w:p w:rsidR="00FC31CB" w:rsidRPr="00ED35A1" w:rsidRDefault="00FC31CB" w:rsidP="00ED35A1">
            <w:pPr>
              <w:rPr>
                <w:b/>
                <w:lang w:val="en-GB"/>
              </w:rPr>
            </w:pPr>
            <w:r w:rsidRPr="00ED35A1">
              <w:rPr>
                <w:b/>
                <w:lang w:val="en-GB"/>
              </w:rPr>
              <w:t>Institution</w:t>
            </w:r>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BE</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Ms.</w:t>
            </w:r>
          </w:p>
        </w:tc>
        <w:tc>
          <w:tcPr>
            <w:tcW w:w="685"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Veronique</w:t>
            </w:r>
          </w:p>
        </w:tc>
        <w:tc>
          <w:tcPr>
            <w:tcW w:w="1008" w:type="pct"/>
            <w:shd w:val="clear" w:color="auto" w:fill="FFFFFF"/>
            <w:vAlign w:val="bottom"/>
          </w:tcPr>
          <w:p w:rsidR="00550DB3" w:rsidRPr="001E0FF9" w:rsidRDefault="00550DB3" w:rsidP="00550DB3">
            <w:pPr>
              <w:spacing w:before="100" w:beforeAutospacing="1" w:after="100" w:afterAutospacing="1"/>
              <w:rPr>
                <w:color w:val="000000"/>
              </w:rPr>
            </w:pPr>
            <w:r w:rsidRPr="001E0FF9">
              <w:rPr>
                <w:color w:val="000000"/>
              </w:rPr>
              <w:t>Peeters</w:t>
            </w:r>
          </w:p>
        </w:tc>
        <w:tc>
          <w:tcPr>
            <w:tcW w:w="168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BNY Mellon</w:t>
            </w:r>
          </w:p>
        </w:tc>
      </w:tr>
      <w:tr w:rsidR="00D96FA6"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CH</w:t>
            </w:r>
          </w:p>
        </w:tc>
        <w:tc>
          <w:tcPr>
            <w:tcW w:w="343" w:type="pct"/>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Mr.</w:t>
            </w:r>
          </w:p>
        </w:tc>
        <w:tc>
          <w:tcPr>
            <w:tcW w:w="685" w:type="pct"/>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Michael</w:t>
            </w:r>
          </w:p>
        </w:tc>
        <w:tc>
          <w:tcPr>
            <w:tcW w:w="1008" w:type="pct"/>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Blumer</w:t>
            </w:r>
          </w:p>
        </w:tc>
        <w:tc>
          <w:tcPr>
            <w:tcW w:w="1688" w:type="pct"/>
            <w:shd w:val="clear" w:color="auto" w:fill="FFFFFF"/>
            <w:vAlign w:val="bottom"/>
          </w:tcPr>
          <w:p w:rsidR="00D96FA6" w:rsidRPr="001E0FF9" w:rsidRDefault="009220AE"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Credit Suisse</w:t>
            </w:r>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 </w:t>
            </w: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FI</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Ms.</w:t>
            </w:r>
          </w:p>
        </w:tc>
        <w:tc>
          <w:tcPr>
            <w:tcW w:w="685"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Sari</w:t>
            </w:r>
          </w:p>
        </w:tc>
        <w:tc>
          <w:tcPr>
            <w:tcW w:w="100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Rask</w:t>
            </w:r>
          </w:p>
        </w:tc>
        <w:tc>
          <w:tcPr>
            <w:tcW w:w="168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 xml:space="preserve">Nordea Bank Norway </w:t>
            </w:r>
          </w:p>
        </w:tc>
      </w:tr>
      <w:tr w:rsidR="00D96FA6"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FR</w:t>
            </w:r>
          </w:p>
        </w:tc>
        <w:tc>
          <w:tcPr>
            <w:tcW w:w="343" w:type="pct"/>
            <w:shd w:val="clear" w:color="auto" w:fill="FFFFFF"/>
            <w:vAlign w:val="bottom"/>
          </w:tcPr>
          <w:p w:rsidR="00D96FA6" w:rsidRPr="001E0FF9" w:rsidRDefault="00D96FA6" w:rsidP="009220AE">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Ms.</w:t>
            </w:r>
          </w:p>
        </w:tc>
        <w:tc>
          <w:tcPr>
            <w:tcW w:w="685" w:type="pct"/>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Kimchi</w:t>
            </w:r>
            <w:proofErr w:type="spellEnd"/>
          </w:p>
        </w:tc>
        <w:tc>
          <w:tcPr>
            <w:tcW w:w="1008" w:type="pct"/>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Phungtran</w:t>
            </w:r>
            <w:proofErr w:type="spellEnd"/>
          </w:p>
        </w:tc>
        <w:tc>
          <w:tcPr>
            <w:tcW w:w="1688" w:type="pct"/>
            <w:shd w:val="clear" w:color="auto" w:fill="FFFFFF"/>
            <w:vAlign w:val="bottom"/>
          </w:tcPr>
          <w:p w:rsidR="00D96FA6" w:rsidRPr="001E0FF9" w:rsidRDefault="00D96FA6"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BNP Paribas</w:t>
            </w:r>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 </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Mr.</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Ichiro</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Yamamoto</w:t>
            </w:r>
          </w:p>
        </w:tc>
        <w:tc>
          <w:tcPr>
            <w:tcW w:w="168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Mizuho Corporate Bank</w:t>
            </w:r>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Co-Chair</w:t>
            </w: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LU</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Mr.</w:t>
            </w:r>
          </w:p>
        </w:tc>
        <w:tc>
          <w:tcPr>
            <w:tcW w:w="685"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Bernard</w:t>
            </w:r>
          </w:p>
        </w:tc>
        <w:tc>
          <w:tcPr>
            <w:tcW w:w="100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Lenelle</w:t>
            </w:r>
          </w:p>
        </w:tc>
        <w:tc>
          <w:tcPr>
            <w:tcW w:w="168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Clearstream</w:t>
            </w:r>
            <w:proofErr w:type="spellEnd"/>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 </w:t>
            </w: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NO</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Mr.</w:t>
            </w:r>
          </w:p>
        </w:tc>
        <w:tc>
          <w:tcPr>
            <w:tcW w:w="685" w:type="pct"/>
            <w:shd w:val="clear" w:color="auto" w:fill="FFFFFF"/>
            <w:vAlign w:val="bottom"/>
          </w:tcPr>
          <w:p w:rsidR="00550DB3" w:rsidRPr="001E0FF9" w:rsidRDefault="001E0FF9" w:rsidP="00550DB3">
            <w:pPr>
              <w:spacing w:before="100" w:beforeAutospacing="1" w:after="100" w:afterAutospacing="1"/>
              <w:rPr>
                <w:color w:val="000000"/>
              </w:rPr>
            </w:pPr>
            <w:r w:rsidRPr="001E0FF9">
              <w:rPr>
                <w:color w:val="000000"/>
              </w:rPr>
              <w:t>Hans Martin</w:t>
            </w:r>
          </w:p>
        </w:tc>
        <w:tc>
          <w:tcPr>
            <w:tcW w:w="1008" w:type="pct"/>
            <w:shd w:val="clear" w:color="auto" w:fill="FFFFFF"/>
            <w:vAlign w:val="bottom"/>
          </w:tcPr>
          <w:p w:rsidR="00550DB3" w:rsidRPr="001E0FF9" w:rsidRDefault="001E0FF9" w:rsidP="00550DB3">
            <w:pPr>
              <w:spacing w:before="100" w:beforeAutospacing="1" w:after="100" w:afterAutospacing="1"/>
              <w:rPr>
                <w:color w:val="000000"/>
              </w:rPr>
            </w:pPr>
            <w:proofErr w:type="spellStart"/>
            <w:r w:rsidRPr="001E0FF9">
              <w:rPr>
                <w:color w:val="000000"/>
              </w:rPr>
              <w:t>Aulie</w:t>
            </w:r>
            <w:proofErr w:type="spellEnd"/>
          </w:p>
        </w:tc>
        <w:tc>
          <w:tcPr>
            <w:tcW w:w="1688" w:type="pct"/>
            <w:shd w:val="clear" w:color="auto" w:fill="FFFFFF"/>
            <w:vAlign w:val="bottom"/>
          </w:tcPr>
          <w:p w:rsidR="00550DB3" w:rsidRPr="001E0FF9" w:rsidRDefault="001E0FF9" w:rsidP="00550DB3">
            <w:pPr>
              <w:spacing w:before="100" w:beforeAutospacing="1" w:after="100" w:afterAutospacing="1"/>
              <w:rPr>
                <w:color w:val="000000"/>
              </w:rPr>
            </w:pPr>
            <w:r w:rsidRPr="001E0FF9">
              <w:rPr>
                <w:color w:val="000000"/>
              </w:rPr>
              <w:t>DNB</w:t>
            </w:r>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 </w:t>
            </w: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RU</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Ms.</w:t>
            </w:r>
          </w:p>
        </w:tc>
        <w:tc>
          <w:tcPr>
            <w:tcW w:w="685"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Elena</w:t>
            </w:r>
          </w:p>
        </w:tc>
        <w:tc>
          <w:tcPr>
            <w:tcW w:w="100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Solovyeva</w:t>
            </w:r>
          </w:p>
        </w:tc>
        <w:tc>
          <w:tcPr>
            <w:tcW w:w="168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NATIONAL SETTLEMENT DEPOSITORY MOSCOW RUSSIA (MICURUMM)</w:t>
            </w:r>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Co-Chair</w:t>
            </w: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SE</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Ms.</w:t>
            </w:r>
          </w:p>
        </w:tc>
        <w:tc>
          <w:tcPr>
            <w:tcW w:w="685"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Christine</w:t>
            </w:r>
          </w:p>
        </w:tc>
        <w:tc>
          <w:tcPr>
            <w:tcW w:w="100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Strandberg</w:t>
            </w:r>
          </w:p>
        </w:tc>
        <w:tc>
          <w:tcPr>
            <w:tcW w:w="168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SEB</w:t>
            </w:r>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 </w:t>
            </w: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UK &amp; IE</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Ms.</w:t>
            </w:r>
          </w:p>
        </w:tc>
        <w:tc>
          <w:tcPr>
            <w:tcW w:w="685"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Mariangela</w:t>
            </w:r>
            <w:proofErr w:type="spellEnd"/>
          </w:p>
        </w:tc>
        <w:tc>
          <w:tcPr>
            <w:tcW w:w="100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Fumagalli</w:t>
            </w:r>
            <w:proofErr w:type="spellEnd"/>
          </w:p>
        </w:tc>
        <w:tc>
          <w:tcPr>
            <w:tcW w:w="168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BNP Paribas</w:t>
            </w:r>
          </w:p>
        </w:tc>
      </w:tr>
      <w:tr w:rsidR="00D61C5E"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D61C5E" w:rsidRPr="001E0FF9" w:rsidRDefault="00D61C5E"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D61C5E" w:rsidRPr="001E0FF9" w:rsidRDefault="00D61C5E"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UK &amp; IE</w:t>
            </w:r>
          </w:p>
        </w:tc>
        <w:tc>
          <w:tcPr>
            <w:tcW w:w="343" w:type="pct"/>
            <w:shd w:val="clear" w:color="auto" w:fill="FFFFFF"/>
            <w:vAlign w:val="bottom"/>
          </w:tcPr>
          <w:p w:rsidR="00D61C5E" w:rsidRPr="001E0FF9" w:rsidRDefault="00D61C5E"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Mr.</w:t>
            </w:r>
          </w:p>
        </w:tc>
        <w:tc>
          <w:tcPr>
            <w:tcW w:w="685" w:type="pct"/>
            <w:shd w:val="clear" w:color="auto" w:fill="FFFFFF"/>
            <w:vAlign w:val="bottom"/>
          </w:tcPr>
          <w:p w:rsidR="00D61C5E" w:rsidRPr="001E0FF9" w:rsidRDefault="00D61C5E"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Matthew</w:t>
            </w:r>
          </w:p>
        </w:tc>
        <w:tc>
          <w:tcPr>
            <w:tcW w:w="1008" w:type="pct"/>
            <w:shd w:val="clear" w:color="auto" w:fill="FFFFFF"/>
            <w:vAlign w:val="bottom"/>
          </w:tcPr>
          <w:p w:rsidR="00D61C5E" w:rsidRPr="001E0FF9" w:rsidRDefault="001E0FF9"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Middleton</w:t>
            </w:r>
          </w:p>
        </w:tc>
        <w:tc>
          <w:tcPr>
            <w:tcW w:w="1688" w:type="pct"/>
            <w:shd w:val="clear" w:color="auto" w:fill="FFFFFF"/>
            <w:vAlign w:val="bottom"/>
          </w:tcPr>
          <w:p w:rsidR="00D61C5E" w:rsidRPr="001E0FF9" w:rsidRDefault="001E0FF9"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LSE</w:t>
            </w:r>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 </w:t>
            </w: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UK/MDPUG</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Mr.</w:t>
            </w:r>
          </w:p>
        </w:tc>
        <w:tc>
          <w:tcPr>
            <w:tcW w:w="685"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Peter</w:t>
            </w:r>
          </w:p>
        </w:tc>
        <w:tc>
          <w:tcPr>
            <w:tcW w:w="100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Hinds</w:t>
            </w:r>
          </w:p>
        </w:tc>
        <w:tc>
          <w:tcPr>
            <w:tcW w:w="168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MDPUG / Interactive Data</w:t>
            </w:r>
          </w:p>
        </w:tc>
      </w:tr>
      <w:tr w:rsidR="00550DB3"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US</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Ms.</w:t>
            </w:r>
          </w:p>
        </w:tc>
        <w:tc>
          <w:tcPr>
            <w:tcW w:w="685" w:type="pct"/>
            <w:shd w:val="clear" w:color="auto" w:fill="FFFFFF"/>
            <w:vAlign w:val="bottom"/>
          </w:tcPr>
          <w:p w:rsidR="00550DB3" w:rsidRPr="001E0FF9" w:rsidRDefault="009220AE"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Sonda</w:t>
            </w:r>
            <w:proofErr w:type="spellEnd"/>
          </w:p>
        </w:tc>
        <w:tc>
          <w:tcPr>
            <w:tcW w:w="1008" w:type="pct"/>
            <w:shd w:val="clear" w:color="auto" w:fill="FFFFFF"/>
            <w:vAlign w:val="bottom"/>
          </w:tcPr>
          <w:p w:rsidR="00550DB3" w:rsidRPr="001E0FF9" w:rsidRDefault="009220AE"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Pimental</w:t>
            </w:r>
            <w:proofErr w:type="spellEnd"/>
          </w:p>
        </w:tc>
        <w:tc>
          <w:tcPr>
            <w:tcW w:w="1688" w:type="pct"/>
            <w:shd w:val="clear" w:color="auto" w:fill="FFFFFF"/>
            <w:vAlign w:val="bottom"/>
          </w:tcPr>
          <w:p w:rsidR="00550DB3" w:rsidRPr="001E0FF9" w:rsidRDefault="009220AE"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BBH</w:t>
            </w:r>
          </w:p>
        </w:tc>
      </w:tr>
      <w:tr w:rsidR="009220AE" w:rsidRPr="001E0FF9"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9220AE" w:rsidRPr="001E0FF9" w:rsidRDefault="009220AE"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9220AE" w:rsidRPr="001E0FF9" w:rsidRDefault="009220AE"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XS</w:t>
            </w:r>
          </w:p>
        </w:tc>
        <w:tc>
          <w:tcPr>
            <w:tcW w:w="343" w:type="pct"/>
            <w:shd w:val="clear" w:color="auto" w:fill="FFFFFF"/>
            <w:vAlign w:val="bottom"/>
          </w:tcPr>
          <w:p w:rsidR="009220AE" w:rsidRPr="001E0FF9" w:rsidRDefault="009220AE" w:rsidP="009220AE">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Ms.</w:t>
            </w:r>
          </w:p>
        </w:tc>
        <w:tc>
          <w:tcPr>
            <w:tcW w:w="685" w:type="pct"/>
            <w:shd w:val="clear" w:color="auto" w:fill="FFFFFF"/>
            <w:vAlign w:val="bottom"/>
          </w:tcPr>
          <w:p w:rsidR="009220AE" w:rsidRPr="001E0FF9" w:rsidRDefault="009220AE"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Delphine</w:t>
            </w:r>
            <w:proofErr w:type="spellEnd"/>
          </w:p>
        </w:tc>
        <w:tc>
          <w:tcPr>
            <w:tcW w:w="1008" w:type="pct"/>
            <w:shd w:val="clear" w:color="auto" w:fill="FFFFFF"/>
            <w:vAlign w:val="bottom"/>
          </w:tcPr>
          <w:p w:rsidR="009220AE" w:rsidRPr="001E0FF9" w:rsidRDefault="009220AE"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Haillez</w:t>
            </w:r>
            <w:proofErr w:type="spellEnd"/>
          </w:p>
        </w:tc>
        <w:tc>
          <w:tcPr>
            <w:tcW w:w="1688" w:type="pct"/>
            <w:shd w:val="clear" w:color="auto" w:fill="FFFFFF"/>
            <w:vAlign w:val="bottom"/>
          </w:tcPr>
          <w:p w:rsidR="009220AE" w:rsidRPr="001E0FF9" w:rsidRDefault="009220AE"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Euroclear</w:t>
            </w:r>
            <w:proofErr w:type="spellEnd"/>
          </w:p>
        </w:tc>
      </w:tr>
      <w:tr w:rsidR="00550DB3" w:rsidRPr="00ED35A1"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Facilitator</w:t>
            </w:r>
          </w:p>
        </w:tc>
        <w:tc>
          <w:tcPr>
            <w:tcW w:w="685" w:type="pct"/>
            <w:tcBorders>
              <w:left w:val="single" w:sz="4" w:space="0" w:color="auto"/>
            </w:tcBorders>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BE</w:t>
            </w:r>
          </w:p>
        </w:tc>
        <w:tc>
          <w:tcPr>
            <w:tcW w:w="343"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Mr.</w:t>
            </w:r>
          </w:p>
        </w:tc>
        <w:tc>
          <w:tcPr>
            <w:tcW w:w="685"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Jacques</w:t>
            </w:r>
          </w:p>
        </w:tc>
        <w:tc>
          <w:tcPr>
            <w:tcW w:w="1008" w:type="pct"/>
            <w:shd w:val="clear" w:color="auto" w:fill="FFFFFF"/>
            <w:vAlign w:val="bottom"/>
          </w:tcPr>
          <w:p w:rsidR="00550DB3" w:rsidRPr="001E0FF9" w:rsidRDefault="00550DB3" w:rsidP="00550DB3">
            <w:pPr>
              <w:spacing w:before="100" w:beforeAutospacing="1" w:after="100" w:afterAutospacing="1"/>
              <w:rPr>
                <w:rFonts w:ascii="Calibri" w:hAnsi="Calibri" w:cs="Calibri"/>
                <w:color w:val="000000"/>
                <w:sz w:val="22"/>
                <w:szCs w:val="22"/>
              </w:rPr>
            </w:pPr>
            <w:proofErr w:type="spellStart"/>
            <w:r w:rsidRPr="001E0FF9">
              <w:rPr>
                <w:rFonts w:ascii="Calibri" w:hAnsi="Calibri" w:cs="Calibri"/>
                <w:color w:val="000000"/>
                <w:sz w:val="22"/>
                <w:szCs w:val="22"/>
              </w:rPr>
              <w:t>Littré</w:t>
            </w:r>
            <w:proofErr w:type="spellEnd"/>
          </w:p>
        </w:tc>
        <w:tc>
          <w:tcPr>
            <w:tcW w:w="168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sidRPr="001E0FF9">
              <w:rPr>
                <w:rFonts w:ascii="Calibri" w:hAnsi="Calibri" w:cs="Calibri"/>
                <w:color w:val="000000"/>
                <w:sz w:val="22"/>
                <w:szCs w:val="22"/>
              </w:rPr>
              <w:t>SWIFT</w:t>
            </w:r>
          </w:p>
        </w:tc>
      </w:tr>
      <w:bookmarkEnd w:id="1"/>
      <w:bookmarkEnd w:id="2"/>
    </w:tbl>
    <w:p w:rsidR="00550DB3" w:rsidRDefault="00550DB3" w:rsidP="003D56C9">
      <w:pPr>
        <w:rPr>
          <w:b/>
          <w:u w:val="single"/>
        </w:rPr>
      </w:pPr>
    </w:p>
    <w:p w:rsidR="003D56C9" w:rsidRPr="001E0FF9" w:rsidRDefault="003D56C9" w:rsidP="003D56C9">
      <w:pPr>
        <w:rPr>
          <w:lang w:val="fr-BE"/>
        </w:rPr>
      </w:pPr>
      <w:proofErr w:type="spellStart"/>
      <w:r w:rsidRPr="001E0FF9">
        <w:rPr>
          <w:b/>
          <w:u w:val="single"/>
          <w:lang w:val="fr-BE"/>
        </w:rPr>
        <w:t>Excused</w:t>
      </w:r>
      <w:proofErr w:type="spellEnd"/>
      <w:r w:rsidR="00FC31CB" w:rsidRPr="001E0FF9">
        <w:rPr>
          <w:lang w:val="fr-BE"/>
        </w:rPr>
        <w:t xml:space="preserve">: </w:t>
      </w:r>
      <w:proofErr w:type="spellStart"/>
      <w:r w:rsidR="00FC31CB" w:rsidRPr="001E0FF9">
        <w:rPr>
          <w:lang w:val="fr-BE"/>
        </w:rPr>
        <w:t>Andreana</w:t>
      </w:r>
      <w:proofErr w:type="spellEnd"/>
      <w:r w:rsidR="00FC31CB" w:rsidRPr="001E0FF9">
        <w:rPr>
          <w:lang w:val="fr-BE"/>
        </w:rPr>
        <w:t xml:space="preserve"> </w:t>
      </w:r>
      <w:proofErr w:type="spellStart"/>
      <w:r w:rsidR="00FC31CB" w:rsidRPr="001E0FF9">
        <w:rPr>
          <w:lang w:val="fr-BE"/>
        </w:rPr>
        <w:t>Pileri</w:t>
      </w:r>
      <w:proofErr w:type="spellEnd"/>
      <w:r w:rsidR="00FC31CB" w:rsidRPr="001E0FF9">
        <w:rPr>
          <w:lang w:val="fr-BE"/>
        </w:rPr>
        <w:t xml:space="preserve"> (DE), </w:t>
      </w:r>
      <w:r w:rsidR="001E0FF9" w:rsidRPr="001E0FF9">
        <w:rPr>
          <w:lang w:val="fr-BE"/>
        </w:rPr>
        <w:t>Daniel Schäfer (DE)</w:t>
      </w:r>
      <w:r w:rsidR="001E0FF9">
        <w:rPr>
          <w:lang w:val="fr-BE"/>
        </w:rPr>
        <w:t>,</w:t>
      </w:r>
      <w:r w:rsidR="001E0FF9" w:rsidRPr="001E0FF9">
        <w:rPr>
          <w:lang w:val="fr-BE"/>
        </w:rPr>
        <w:t xml:space="preserve"> Laura</w:t>
      </w:r>
      <w:r w:rsidR="001E0FF9">
        <w:rPr>
          <w:lang w:val="fr-BE"/>
        </w:rPr>
        <w:t xml:space="preserve"> Fuller (MDPUG)</w:t>
      </w:r>
      <w:r w:rsidR="001E0FF9" w:rsidRPr="001E0FF9">
        <w:rPr>
          <w:lang w:val="fr-BE"/>
        </w:rPr>
        <w:t>, Sanjeev</w:t>
      </w:r>
      <w:r w:rsidR="001E0FF9">
        <w:rPr>
          <w:lang w:val="fr-BE"/>
        </w:rPr>
        <w:t xml:space="preserve"> Jayram (ZA)</w:t>
      </w:r>
    </w:p>
    <w:p w:rsidR="004B2F86" w:rsidRDefault="004B2F86" w:rsidP="00651EB7">
      <w:pPr>
        <w:pStyle w:val="Heading1"/>
      </w:pPr>
      <w:bookmarkStart w:id="3" w:name="_Toc343702781"/>
      <w:bookmarkStart w:id="4" w:name="OLE_LINK5"/>
      <w:bookmarkStart w:id="5" w:name="OLE_LINK8"/>
      <w:r>
        <w:rPr>
          <w:lang w:eastAsia="en-GB"/>
        </w:rPr>
        <w:t xml:space="preserve">Approval of </w:t>
      </w:r>
      <w:r w:rsidR="00F81DB3">
        <w:rPr>
          <w:lang w:eastAsia="en-GB"/>
        </w:rPr>
        <w:t>Osaka Meeting</w:t>
      </w:r>
      <w:r>
        <w:rPr>
          <w:lang w:eastAsia="en-GB"/>
        </w:rPr>
        <w:t xml:space="preserve"> Minutes</w:t>
      </w:r>
      <w:bookmarkEnd w:id="3"/>
    </w:p>
    <w:p w:rsidR="00F81DB3" w:rsidRDefault="00F81DB3" w:rsidP="004B2F86">
      <w:r>
        <w:t>No comments provided at the conference call.</w:t>
      </w:r>
    </w:p>
    <w:p w:rsidR="003D56C9" w:rsidRDefault="00F81DB3" w:rsidP="004B2F86">
      <w:r>
        <w:t>One comment sent by Elena Solovyeva (RU) via email</w:t>
      </w:r>
      <w:r w:rsidR="00AE414F">
        <w:t xml:space="preserve"> on Dec. 13</w:t>
      </w:r>
      <w:r w:rsidR="00A6271E">
        <w:t>.</w:t>
      </w:r>
    </w:p>
    <w:p w:rsidR="00F81DB3" w:rsidRDefault="0041103C" w:rsidP="004B2F86">
      <w:r>
        <w:t xml:space="preserve">Minutes are approved. </w:t>
      </w:r>
      <w:r w:rsidR="00F81DB3">
        <w:t>See final minutes posted on the SMPG web site.</w:t>
      </w:r>
    </w:p>
    <w:p w:rsidR="008E171A" w:rsidRDefault="002F434C" w:rsidP="00651EB7">
      <w:pPr>
        <w:pStyle w:val="Heading1"/>
      </w:pPr>
      <w:bookmarkStart w:id="6" w:name="_Toc343702782"/>
      <w:r>
        <w:t xml:space="preserve">CA 203 - </w:t>
      </w:r>
      <w:r w:rsidR="00F81DB3">
        <w:t>Yearly GMP Part 1</w:t>
      </w:r>
      <w:proofErr w:type="gramStart"/>
      <w:r w:rsidR="00F81DB3">
        <w:t>,2,3</w:t>
      </w:r>
      <w:proofErr w:type="gramEnd"/>
      <w:r w:rsidR="00F81DB3">
        <w:t xml:space="preserve"> and S</w:t>
      </w:r>
      <w:r w:rsidR="008E171A">
        <w:t>a</w:t>
      </w:r>
      <w:r w:rsidR="00377295">
        <w:t xml:space="preserve">mples </w:t>
      </w:r>
      <w:r w:rsidR="00F81DB3">
        <w:t>Updates – Actions follow-up</w:t>
      </w:r>
      <w:bookmarkEnd w:id="6"/>
    </w:p>
    <w:p w:rsidR="00651EB7" w:rsidRDefault="00651EB7" w:rsidP="00377295">
      <w:r w:rsidRPr="008052DA">
        <w:rPr>
          <w:u w:val="single"/>
        </w:rPr>
        <w:t>1</w:t>
      </w:r>
      <w:r>
        <w:t xml:space="preserve">: </w:t>
      </w:r>
      <w:r w:rsidR="00377295">
        <w:t>PWAL value for CLSA VOLU template</w:t>
      </w:r>
      <w:r w:rsidR="008052DA">
        <w:t xml:space="preserve"> and complete event terms paragraph:</w:t>
      </w:r>
    </w:p>
    <w:p w:rsidR="008052DA" w:rsidRDefault="008052DA" w:rsidP="008052DA">
      <w:r w:rsidRPr="008052DA">
        <w:t xml:space="preserve">No update yet from Sonda regarding CLSA terms; they are still discussing within ISITC. </w:t>
      </w:r>
    </w:p>
    <w:p w:rsidR="008052DA" w:rsidRPr="008052DA" w:rsidRDefault="00382B23" w:rsidP="008052DA">
      <w:pPr>
        <w:pStyle w:val="Actions"/>
      </w:pPr>
      <w:r>
        <w:rPr>
          <w:u w:val="single"/>
        </w:rPr>
        <w:t>A</w:t>
      </w:r>
      <w:r w:rsidR="008052DA" w:rsidRPr="008052DA">
        <w:rPr>
          <w:u w:val="single"/>
        </w:rPr>
        <w:t>ction</w:t>
      </w:r>
      <w:r w:rsidR="008052DA">
        <w:rPr>
          <w:u w:val="single"/>
        </w:rPr>
        <w:t>1</w:t>
      </w:r>
      <w:r w:rsidR="008052DA">
        <w:t xml:space="preserve">: </w:t>
      </w:r>
      <w:r w:rsidR="008052DA" w:rsidRPr="008052DA">
        <w:t>ISITC will review both the template and the GG and ensure they are consistent</w:t>
      </w:r>
      <w:r w:rsidR="00FA4900">
        <w:t xml:space="preserve"> </w:t>
      </w:r>
      <w:r w:rsidR="00FA4900" w:rsidRPr="00FA4900">
        <w:rPr>
          <w:u w:val="single"/>
        </w:rPr>
        <w:t>for January 10</w:t>
      </w:r>
      <w:r w:rsidR="00FA4900">
        <w:t>.</w:t>
      </w:r>
    </w:p>
    <w:p w:rsidR="00651EB7" w:rsidRDefault="008052DA" w:rsidP="00377295">
      <w:r w:rsidRPr="008052DA">
        <w:rPr>
          <w:u w:val="single"/>
        </w:rPr>
        <w:t>2</w:t>
      </w:r>
      <w:r w:rsidR="00651EB7">
        <w:t xml:space="preserve">: </w:t>
      </w:r>
      <w:r w:rsidR="00B34719">
        <w:t xml:space="preserve">Record date tracking table: </w:t>
      </w:r>
      <w:r w:rsidR="00651EB7">
        <w:t>No feedback from the US</w:t>
      </w:r>
      <w:r w:rsidR="00B34719">
        <w:t xml:space="preserve">. </w:t>
      </w:r>
    </w:p>
    <w:p w:rsidR="008052DA" w:rsidRDefault="008052DA" w:rsidP="008052DA">
      <w:pPr>
        <w:pStyle w:val="Actions"/>
      </w:pPr>
      <w:r w:rsidRPr="008052DA">
        <w:rPr>
          <w:u w:val="single"/>
        </w:rPr>
        <w:t>Action</w:t>
      </w:r>
      <w:r>
        <w:rPr>
          <w:u w:val="single"/>
        </w:rPr>
        <w:t xml:space="preserve"> 2</w:t>
      </w:r>
      <w:r>
        <w:t xml:space="preserve">: </w:t>
      </w:r>
      <w:r w:rsidRPr="008052DA">
        <w:t xml:space="preserve">ISITC </w:t>
      </w:r>
      <w:r>
        <w:t>to provide input</w:t>
      </w:r>
      <w:r w:rsidR="00FA4900">
        <w:t xml:space="preserve"> </w:t>
      </w:r>
      <w:proofErr w:type="gramStart"/>
      <w:r w:rsidR="00FA4900">
        <w:t>asap</w:t>
      </w:r>
      <w:proofErr w:type="gramEnd"/>
      <w:r>
        <w:t>.</w:t>
      </w:r>
    </w:p>
    <w:p w:rsidR="00285DAA" w:rsidRDefault="008052DA" w:rsidP="00285DAA">
      <w:r w:rsidRPr="00B9345E">
        <w:rPr>
          <w:u w:val="single"/>
        </w:rPr>
        <w:t>3</w:t>
      </w:r>
      <w:r>
        <w:t xml:space="preserve">: </w:t>
      </w:r>
      <w:r w:rsidR="00285DAA">
        <w:t xml:space="preserve">RDTE in BIDS VOLU should be “M” </w:t>
      </w:r>
      <w:r w:rsidR="00B9345E">
        <w:t>or “O</w:t>
      </w:r>
      <w:proofErr w:type="gramStart"/>
      <w:r w:rsidR="00B9345E">
        <w:t>” ?</w:t>
      </w:r>
      <w:proofErr w:type="gramEnd"/>
      <w:r w:rsidR="00B9345E">
        <w:t xml:space="preserve"> </w:t>
      </w:r>
    </w:p>
    <w:p w:rsidR="00B9345E" w:rsidRDefault="00B9345E" w:rsidP="00B9345E">
      <w:pPr>
        <w:pStyle w:val="Decisions"/>
      </w:pPr>
      <w:r w:rsidRPr="00B9345E">
        <w:rPr>
          <w:u w:val="single"/>
        </w:rPr>
        <w:t>Decision</w:t>
      </w:r>
      <w:r>
        <w:t>: Rephrase action 3 as follows:</w:t>
      </w:r>
    </w:p>
    <w:p w:rsidR="00B9345E" w:rsidRPr="00B9345E" w:rsidRDefault="00285DAA" w:rsidP="00285DAA">
      <w:pPr>
        <w:pStyle w:val="Actions"/>
        <w:rPr>
          <w:i/>
        </w:rPr>
      </w:pPr>
      <w:r w:rsidRPr="00285DAA">
        <w:rPr>
          <w:u w:val="single"/>
        </w:rPr>
        <w:t>Action</w:t>
      </w:r>
      <w:r w:rsidR="003F2BDB">
        <w:rPr>
          <w:u w:val="single"/>
        </w:rPr>
        <w:t xml:space="preserve"> 3</w:t>
      </w:r>
      <w:r>
        <w:t xml:space="preserve">: </w:t>
      </w:r>
      <w:r w:rsidR="00B9345E">
        <w:t xml:space="preserve">All NMPGs to provide feedback on the following question: </w:t>
      </w:r>
      <w:r w:rsidR="00B9345E" w:rsidRPr="00B9345E">
        <w:rPr>
          <w:i/>
        </w:rPr>
        <w:t xml:space="preserve">Is RDTE present in BIDS </w:t>
      </w:r>
      <w:proofErr w:type="gramStart"/>
      <w:r w:rsidR="00B9345E" w:rsidRPr="00B9345E">
        <w:rPr>
          <w:i/>
        </w:rPr>
        <w:t>VOLU</w:t>
      </w:r>
      <w:r w:rsidR="00B9345E">
        <w:rPr>
          <w:i/>
        </w:rPr>
        <w:t xml:space="preserve"> </w:t>
      </w:r>
      <w:r w:rsidR="00B9345E" w:rsidRPr="00B9345E">
        <w:rPr>
          <w:i/>
        </w:rPr>
        <w:t>?</w:t>
      </w:r>
      <w:proofErr w:type="gramEnd"/>
      <w:r w:rsidR="00B9345E" w:rsidRPr="00B9345E">
        <w:rPr>
          <w:i/>
        </w:rPr>
        <w:t xml:space="preserve"> If it is, is it M or </w:t>
      </w:r>
      <w:proofErr w:type="gramStart"/>
      <w:r w:rsidR="00B9345E" w:rsidRPr="00B9345E">
        <w:rPr>
          <w:i/>
        </w:rPr>
        <w:t>O</w:t>
      </w:r>
      <w:r w:rsidR="00B9345E">
        <w:rPr>
          <w:i/>
        </w:rPr>
        <w:t xml:space="preserve"> </w:t>
      </w:r>
      <w:r w:rsidR="00B9345E" w:rsidRPr="00B9345E">
        <w:rPr>
          <w:i/>
        </w:rPr>
        <w:t>?</w:t>
      </w:r>
      <w:proofErr w:type="gramEnd"/>
    </w:p>
    <w:p w:rsidR="00382B23" w:rsidRDefault="00382B23" w:rsidP="00382B23">
      <w:r>
        <w:t xml:space="preserve">4. Jacques to update the EIG+ table with the decisions of </w:t>
      </w:r>
      <w:proofErr w:type="gramStart"/>
      <w:r>
        <w:t>Osaka</w:t>
      </w:r>
      <w:r w:rsidR="00CC41AF">
        <w:t xml:space="preserve"> :</w:t>
      </w:r>
      <w:proofErr w:type="gramEnd"/>
      <w:r w:rsidR="00CC41AF">
        <w:t xml:space="preserve"> </w:t>
      </w:r>
      <w:r w:rsidR="00CC41AF" w:rsidRPr="00CC41AF">
        <w:rPr>
          <w:b/>
        </w:rPr>
        <w:t>-&gt;</w:t>
      </w:r>
      <w:r w:rsidR="00CC41AF">
        <w:t xml:space="preserve"> </w:t>
      </w:r>
      <w:r w:rsidR="00CC41AF" w:rsidRPr="00CC41AF">
        <w:rPr>
          <w:b/>
        </w:rPr>
        <w:t>DONE</w:t>
      </w:r>
      <w:r w:rsidR="00CC41AF">
        <w:t xml:space="preserve"> and draft of EIG+ distributed to NMPGs for review.</w:t>
      </w:r>
    </w:p>
    <w:p w:rsidR="00382B23" w:rsidRDefault="00382B23" w:rsidP="00CC41AF">
      <w:pPr>
        <w:pStyle w:val="Actions"/>
      </w:pPr>
      <w:r>
        <w:t xml:space="preserve">5: </w:t>
      </w:r>
      <w:r w:rsidR="00CC41AF">
        <w:t xml:space="preserve">Action </w:t>
      </w:r>
      <w:r>
        <w:t xml:space="preserve">NMPGs (UK, CA, DE, FR) follow up actions for SR2013 defined by the CA MWG to be completed and sent to the GMP1 sub-group (Veronique) </w:t>
      </w:r>
      <w:r w:rsidRPr="00FA4900">
        <w:rPr>
          <w:u w:val="single"/>
        </w:rPr>
        <w:t>by November 30</w:t>
      </w:r>
      <w:r>
        <w:t xml:space="preserve"> (see follow up actions in “SMPG Open Items” file in the “SR2013 SMPG Actions” tab).</w:t>
      </w:r>
    </w:p>
    <w:p w:rsidR="00382B23" w:rsidRDefault="00382B23" w:rsidP="00CC41AF">
      <w:pPr>
        <w:pStyle w:val="Actions"/>
      </w:pPr>
      <w:r>
        <w:t xml:space="preserve">6: </w:t>
      </w:r>
      <w:r w:rsidR="00CC41AF">
        <w:t xml:space="preserve">Action: </w:t>
      </w:r>
      <w:r>
        <w:t xml:space="preserve">GMP1 sub-group to send a draft of updated GMP Part 1 to the SMPG </w:t>
      </w:r>
      <w:r w:rsidRPr="00FA4900">
        <w:rPr>
          <w:u w:val="single"/>
        </w:rPr>
        <w:t>by January 10</w:t>
      </w:r>
      <w:r>
        <w:t>.</w:t>
      </w:r>
    </w:p>
    <w:p w:rsidR="00382B23" w:rsidRDefault="00382B23" w:rsidP="00382B23">
      <w:r>
        <w:lastRenderedPageBreak/>
        <w:t>7: Jacques to add lines for the SR2013 newly created events in GG i.e. ACCU MAND (</w:t>
      </w:r>
      <w:proofErr w:type="gramStart"/>
      <w:r>
        <w:t>n/a</w:t>
      </w:r>
      <w:proofErr w:type="gramEnd"/>
      <w:r>
        <w:t xml:space="preserve"> in the GG), INFO VOLU (n/a in the GG) and NOOF VOLU (n/a in the GG).</w:t>
      </w:r>
      <w:r w:rsidR="00CC41AF">
        <w:t xml:space="preserve"> </w:t>
      </w:r>
      <w:r w:rsidR="00CC41AF" w:rsidRPr="00CC41AF">
        <w:rPr>
          <w:b/>
        </w:rPr>
        <w:t>-&gt; DONE</w:t>
      </w:r>
    </w:p>
    <w:p w:rsidR="00382B23" w:rsidRDefault="00382B23" w:rsidP="00382B23">
      <w:r>
        <w:t xml:space="preserve">8: Co-chairs/facilitator to send for beginning of December a draft SR2013 GMP Part 2 – basically a copy of the latest SR2012 with SR2013 </w:t>
      </w:r>
      <w:proofErr w:type="gramStart"/>
      <w:r>
        <w:t>updates  to</w:t>
      </w:r>
      <w:proofErr w:type="gramEnd"/>
      <w:r>
        <w:t xml:space="preserve"> the NMPGs to use in their GMP part 2 review</w:t>
      </w:r>
      <w:r w:rsidR="00CC41AF">
        <w:rPr>
          <w:b/>
        </w:rPr>
        <w:t xml:space="preserve"> </w:t>
      </w:r>
      <w:r w:rsidR="00CC41AF" w:rsidRPr="00CC41AF">
        <w:rPr>
          <w:b/>
        </w:rPr>
        <w:t>-&gt; DONE</w:t>
      </w:r>
    </w:p>
    <w:p w:rsidR="00382B23" w:rsidRDefault="00382B23" w:rsidP="00FA4900">
      <w:pPr>
        <w:pStyle w:val="Actions"/>
      </w:pPr>
      <w:r>
        <w:t xml:space="preserve">9: </w:t>
      </w:r>
      <w:r w:rsidR="00CC41AF" w:rsidRPr="00FA4900">
        <w:rPr>
          <w:u w:val="single"/>
        </w:rPr>
        <w:t>Action</w:t>
      </w:r>
      <w:r w:rsidR="00CC41AF">
        <w:t xml:space="preserve">: </w:t>
      </w:r>
      <w:r>
        <w:t xml:space="preserve">All NMPGs to send feedback on Global Grid review to the SMPG by </w:t>
      </w:r>
      <w:r w:rsidRPr="00FA4900">
        <w:rPr>
          <w:u w:val="single"/>
        </w:rPr>
        <w:t>January 10</w:t>
      </w:r>
      <w:r w:rsidR="00FA4900">
        <w:t>.</w:t>
      </w:r>
    </w:p>
    <w:p w:rsidR="00382B23" w:rsidRDefault="00382B23" w:rsidP="00382B23">
      <w:pPr>
        <w:rPr>
          <w:color w:val="FF0000"/>
        </w:rPr>
      </w:pPr>
      <w:r w:rsidRPr="00FA4900">
        <w:rPr>
          <w:color w:val="FF0000"/>
        </w:rPr>
        <w:t xml:space="preserve">10: </w:t>
      </w:r>
      <w:r w:rsidR="00FA4900" w:rsidRPr="00FA4900">
        <w:rPr>
          <w:color w:val="FF0000"/>
          <w:u w:val="single"/>
        </w:rPr>
        <w:t>Action</w:t>
      </w:r>
      <w:r w:rsidR="00FA4900" w:rsidRPr="00FA4900">
        <w:rPr>
          <w:color w:val="FF0000"/>
        </w:rPr>
        <w:t xml:space="preserve">: </w:t>
      </w:r>
      <w:r w:rsidRPr="00FA4900">
        <w:rPr>
          <w:color w:val="FF0000"/>
        </w:rPr>
        <w:t xml:space="preserve">All NMPGs to send updates to their own EIG+ Country Column (CC) in GMP Part 2 </w:t>
      </w:r>
      <w:r w:rsidRPr="00FA4900">
        <w:rPr>
          <w:color w:val="FF0000"/>
          <w:u w:val="single"/>
        </w:rPr>
        <w:t>by January 24</w:t>
      </w:r>
      <w:r w:rsidRPr="00FA4900">
        <w:rPr>
          <w:color w:val="FF0000"/>
        </w:rPr>
        <w:t xml:space="preserve"> at the latest. Eventually fill in the data elements for the new events ACCU, INFO and NOOF. </w:t>
      </w:r>
    </w:p>
    <w:p w:rsidR="00FA4900" w:rsidRPr="00FA4900" w:rsidRDefault="00FA4900" w:rsidP="00FA4900">
      <w:pPr>
        <w:rPr>
          <w:color w:val="FF0000"/>
        </w:rPr>
      </w:pPr>
      <w:r>
        <w:t>If anyone has any questions; please contact Jacques or Christine. Please ensure all comments are sent using the SR2013 draft and that a date for the updates at the top of the country columns is provided.</w:t>
      </w:r>
    </w:p>
    <w:p w:rsidR="00382B23" w:rsidRDefault="00382B23" w:rsidP="00382B23">
      <w:r>
        <w:t>11: Christine to draft a one-page summary and send it to the</w:t>
      </w:r>
      <w:r w:rsidR="00FA4900">
        <w:t xml:space="preserve"> SMPG for review by November 30 </w:t>
      </w:r>
      <w:r w:rsidR="00FA4900" w:rsidRPr="00FA4900">
        <w:rPr>
          <w:b/>
        </w:rPr>
        <w:t>-&gt; DONE</w:t>
      </w:r>
    </w:p>
    <w:p w:rsidR="00FA4900" w:rsidRDefault="00382B23" w:rsidP="00FA4900">
      <w:r>
        <w:t>12</w:t>
      </w:r>
      <w:proofErr w:type="gramStart"/>
      <w:r>
        <w:t>:.</w:t>
      </w:r>
      <w:proofErr w:type="gramEnd"/>
      <w:r>
        <w:t xml:space="preserve"> SMPG to publish </w:t>
      </w:r>
      <w:r w:rsidR="00FA4900">
        <w:t xml:space="preserve">a </w:t>
      </w:r>
      <w:r>
        <w:t>one-pager</w:t>
      </w:r>
      <w:r w:rsidR="00FA4900">
        <w:t xml:space="preserve"> doc on the SR2013 MP updates: The one-pager summary will be published together with the GMP documents by end of January. </w:t>
      </w:r>
    </w:p>
    <w:p w:rsidR="00382B23" w:rsidRDefault="00FA4900" w:rsidP="00FA4900">
      <w:pPr>
        <w:pStyle w:val="Actions"/>
      </w:pPr>
      <w:r w:rsidRPr="00FA4900">
        <w:rPr>
          <w:u w:val="single"/>
        </w:rPr>
        <w:t>Action</w:t>
      </w:r>
      <w:r>
        <w:t xml:space="preserve">: All NMPGs to comment: Deadline </w:t>
      </w:r>
      <w:r w:rsidRPr="00FA4900">
        <w:rPr>
          <w:u w:val="single"/>
        </w:rPr>
        <w:t>January 10.</w:t>
      </w:r>
    </w:p>
    <w:p w:rsidR="00382B23" w:rsidRDefault="00382B23" w:rsidP="00382B23">
      <w:r>
        <w:t xml:space="preserve">13: </w:t>
      </w:r>
      <w:r w:rsidR="00D623DA" w:rsidRPr="00D623DA">
        <w:rPr>
          <w:u w:val="single"/>
        </w:rPr>
        <w:t>TEMPLATES UPDATE</w:t>
      </w:r>
      <w:r w:rsidR="00D623DA">
        <w:t xml:space="preserve">: </w:t>
      </w:r>
      <w:r>
        <w:t xml:space="preserve">The review of the existing SR2012 templates for SR2013 updates must be done by the responsible persons for January 10 at the latest. </w:t>
      </w:r>
    </w:p>
    <w:p w:rsidR="00382B23" w:rsidRDefault="00382B23" w:rsidP="00382B23">
      <w:r>
        <w:t xml:space="preserve">The list of the responsible people is listed in the following Excel file in the tab “CA Event Templates List”. </w:t>
      </w:r>
      <w:proofErr w:type="gramStart"/>
      <w:r>
        <w:t>Updates to be sent to Jacques with track changes into the document.</w:t>
      </w:r>
      <w:proofErr w:type="gramEnd"/>
    </w:p>
    <w:p w:rsidR="000A4F55" w:rsidRDefault="00382B23" w:rsidP="00382B23">
      <w:r>
        <w:t>The persons responsible for reviewing the templates for SR2013 are also responsible for reviewing th</w:t>
      </w:r>
      <w:r w:rsidR="00D623DA">
        <w:t xml:space="preserve">e same templates on MyStandards in </w:t>
      </w:r>
      <w:hyperlink r:id="rId12" w:history="1">
        <w:r w:rsidR="00D623DA" w:rsidRPr="00D623DA">
          <w:rPr>
            <w:rStyle w:val="Hyperlink"/>
          </w:rPr>
          <w:t>here</w:t>
        </w:r>
      </w:hyperlink>
      <w:r w:rsidR="00D623DA">
        <w:t xml:space="preserve">: </w:t>
      </w:r>
      <w:hyperlink r:id="rId13" w:history="1">
        <w:r w:rsidR="00D623DA">
          <w:rPr>
            <w:rStyle w:val="Hyperlink"/>
          </w:rPr>
          <w:t>https://www2.swift.com/mystandards/standardsPractices/marketPracticeDetail.xhtml?album=mp%2Fmt%2F_u1uc8MqFEeGmvs_-DjfUjg</w:t>
        </w:r>
      </w:hyperlink>
    </w:p>
    <w:p w:rsidR="00D623DA" w:rsidRDefault="00FA4900" w:rsidP="00FA4900">
      <w:pPr>
        <w:pStyle w:val="Actions"/>
      </w:pPr>
      <w:r w:rsidRPr="00FA4900">
        <w:rPr>
          <w:u w:val="single"/>
        </w:rPr>
        <w:t>Action</w:t>
      </w:r>
      <w:r>
        <w:t>:</w:t>
      </w:r>
    </w:p>
    <w:p w:rsidR="00382B23" w:rsidRDefault="00D623DA" w:rsidP="00FA4900">
      <w:pPr>
        <w:pStyle w:val="Actions"/>
      </w:pPr>
      <w:r>
        <w:t xml:space="preserve">+ </w:t>
      </w:r>
      <w:r w:rsidRPr="00D623DA">
        <w:rPr>
          <w:u w:val="single"/>
        </w:rPr>
        <w:t>Each responsible person</w:t>
      </w:r>
      <w:r>
        <w:t xml:space="preserve"> to update the t</w:t>
      </w:r>
      <w:r w:rsidR="00FA4900">
        <w:t xml:space="preserve">emplates </w:t>
      </w:r>
      <w:r>
        <w:t>and send</w:t>
      </w:r>
      <w:r w:rsidR="00FA4900">
        <w:t xml:space="preserve"> to Jacques </w:t>
      </w:r>
      <w:r w:rsidR="00FA4900" w:rsidRPr="00FA4900">
        <w:rPr>
          <w:u w:val="single"/>
        </w:rPr>
        <w:t>by January 10</w:t>
      </w:r>
      <w:r w:rsidR="00FA4900">
        <w:t>.</w:t>
      </w:r>
    </w:p>
    <w:p w:rsidR="00D623DA" w:rsidRDefault="00D623DA" w:rsidP="00FA4900">
      <w:pPr>
        <w:pStyle w:val="Actions"/>
      </w:pPr>
      <w:r>
        <w:t xml:space="preserve">+ </w:t>
      </w:r>
      <w:r w:rsidRPr="00D623DA">
        <w:rPr>
          <w:u w:val="single"/>
        </w:rPr>
        <w:t>Jacques</w:t>
      </w:r>
      <w:r>
        <w:t xml:space="preserve"> to pro-actively identifies CA SMPG members not yet registered on MyStandards and prompt people to register.</w:t>
      </w:r>
    </w:p>
    <w:p w:rsidR="00A37CFE" w:rsidRDefault="006D1DD6" w:rsidP="00A37CFE">
      <w:r>
        <w:rPr>
          <w:u w:val="single"/>
        </w:rPr>
        <w:t>1</w:t>
      </w:r>
      <w:r w:rsidR="00C961CB" w:rsidRPr="00C961CB">
        <w:rPr>
          <w:u w:val="single"/>
        </w:rPr>
        <w:t>4</w:t>
      </w:r>
      <w:r w:rsidR="00651EB7" w:rsidRPr="00160901">
        <w:t xml:space="preserve">: </w:t>
      </w:r>
      <w:r w:rsidR="00A37CFE">
        <w:t xml:space="preserve">ACCU event template/MP: Still being discussed in the UK&amp;IE NMPG for the MT566. </w:t>
      </w:r>
    </w:p>
    <w:p w:rsidR="00FA4900" w:rsidRPr="00A37CFE" w:rsidRDefault="00A37CFE" w:rsidP="00A37CFE">
      <w:pPr>
        <w:pStyle w:val="Decisions"/>
      </w:pPr>
      <w:r w:rsidRPr="00A37CFE">
        <w:rPr>
          <w:u w:val="single"/>
        </w:rPr>
        <w:t>Decision</w:t>
      </w:r>
      <w:r w:rsidRPr="00A37CFE">
        <w:t>:</w:t>
      </w:r>
      <w:r>
        <w:t xml:space="preserve"> K</w:t>
      </w:r>
      <w:r w:rsidRPr="00A37CFE">
        <w:t>eep it as UK&amp;IE MP</w:t>
      </w:r>
      <w:r>
        <w:t xml:space="preserve"> only</w:t>
      </w:r>
      <w:r w:rsidRPr="00A37CFE">
        <w:t>, but with a mention in GMP</w:t>
      </w:r>
      <w:r>
        <w:t xml:space="preserve"> part </w:t>
      </w:r>
      <w:r w:rsidRPr="00A37CFE">
        <w:t>1.</w:t>
      </w:r>
    </w:p>
    <w:p w:rsidR="00651EB7" w:rsidRPr="00160901" w:rsidRDefault="00FA4900" w:rsidP="00C961CB">
      <w:pPr>
        <w:pStyle w:val="Actions"/>
      </w:pPr>
      <w:r>
        <w:rPr>
          <w:u w:val="single"/>
        </w:rPr>
        <w:t xml:space="preserve">Action: </w:t>
      </w:r>
      <w:r w:rsidR="00651EB7" w:rsidRPr="00C961CB">
        <w:rPr>
          <w:u w:val="single"/>
        </w:rPr>
        <w:t>Mari</w:t>
      </w:r>
      <w:r w:rsidR="00651EB7" w:rsidRPr="00160901">
        <w:t xml:space="preserve"> to send the UK template for ACCU to the </w:t>
      </w:r>
      <w:r w:rsidR="00C961CB">
        <w:t>GMP Part 1 subgroup.</w:t>
      </w:r>
    </w:p>
    <w:p w:rsidR="008E171A" w:rsidRDefault="002F434C" w:rsidP="00651EB7">
      <w:pPr>
        <w:pStyle w:val="Heading1"/>
      </w:pPr>
      <w:bookmarkStart w:id="7" w:name="_Toc343702783"/>
      <w:r>
        <w:t xml:space="preserve">CA 239 - </w:t>
      </w:r>
      <w:r w:rsidR="008E171A">
        <w:t>SR2013 Maintenance WG follow up items</w:t>
      </w:r>
      <w:bookmarkEnd w:id="7"/>
    </w:p>
    <w:p w:rsidR="001470EA" w:rsidRDefault="00645061" w:rsidP="00645061">
      <w:r>
        <w:rPr>
          <w:b/>
          <w:u w:val="single"/>
        </w:rPr>
        <w:t xml:space="preserve">Action </w:t>
      </w:r>
      <w:r w:rsidR="00783962" w:rsidRPr="00783962">
        <w:rPr>
          <w:b/>
          <w:u w:val="single"/>
        </w:rPr>
        <w:t>item</w:t>
      </w:r>
      <w:r>
        <w:rPr>
          <w:b/>
          <w:u w:val="single"/>
        </w:rPr>
        <w:t xml:space="preserve"> 1:</w:t>
      </w:r>
      <w:r w:rsidR="00783962">
        <w:t xml:space="preserve"> </w:t>
      </w:r>
      <w:r w:rsidR="001470EA" w:rsidRPr="00783962">
        <w:rPr>
          <w:u w:val="single"/>
        </w:rPr>
        <w:t>Jacques</w:t>
      </w:r>
      <w:r w:rsidR="001470EA">
        <w:t xml:space="preserve"> to create a new open item</w:t>
      </w:r>
      <w:r>
        <w:t xml:space="preserve"> for the use of PROC//INFO code </w:t>
      </w:r>
      <w:r w:rsidRPr="00645061">
        <w:rPr>
          <w:b/>
        </w:rPr>
        <w:t>-&gt; DONE</w:t>
      </w:r>
      <w:r>
        <w:t xml:space="preserve"> </w:t>
      </w:r>
    </w:p>
    <w:p w:rsidR="00645061" w:rsidRDefault="00645061" w:rsidP="00783962">
      <w:pPr>
        <w:spacing w:after="0"/>
        <w:rPr>
          <w:b/>
        </w:rPr>
      </w:pPr>
      <w:r w:rsidRPr="00645061">
        <w:rPr>
          <w:b/>
          <w:u w:val="single"/>
        </w:rPr>
        <w:t>Action item 2</w:t>
      </w:r>
      <w:r>
        <w:t xml:space="preserve">: </w:t>
      </w:r>
      <w:r w:rsidRPr="00645061">
        <w:t>GMP Part 1 subgroup to include the INFO decision chart into the Part 1</w:t>
      </w:r>
    </w:p>
    <w:p w:rsidR="00783962" w:rsidRDefault="00645061" w:rsidP="00645061">
      <w:pPr>
        <w:pStyle w:val="Actions"/>
      </w:pPr>
      <w:r>
        <w:t>Action: Jacques still to be done</w:t>
      </w:r>
    </w:p>
    <w:p w:rsidR="00645061" w:rsidRDefault="00645061" w:rsidP="00645061">
      <w:pPr>
        <w:rPr>
          <w:b/>
          <w:u w:val="single"/>
        </w:rPr>
      </w:pPr>
      <w:r>
        <w:rPr>
          <w:b/>
          <w:u w:val="single"/>
        </w:rPr>
        <w:t xml:space="preserve">Action </w:t>
      </w:r>
      <w:r w:rsidR="00651EB7" w:rsidRPr="001470EA">
        <w:rPr>
          <w:b/>
          <w:u w:val="single"/>
        </w:rPr>
        <w:t>item 3</w:t>
      </w:r>
      <w:r>
        <w:rPr>
          <w:b/>
          <w:u w:val="single"/>
        </w:rPr>
        <w:t xml:space="preserve">: </w:t>
      </w:r>
      <w:r w:rsidRPr="00645061">
        <w:t>PROC//INFO usage</w:t>
      </w:r>
    </w:p>
    <w:p w:rsidR="00645061" w:rsidRDefault="00645061" w:rsidP="00645061">
      <w:pPr>
        <w:pStyle w:val="Actions"/>
      </w:pPr>
      <w:r>
        <w:rPr>
          <w:b/>
          <w:u w:val="single"/>
        </w:rPr>
        <w:t xml:space="preserve">Action:  </w:t>
      </w:r>
      <w:r w:rsidRPr="00645061">
        <w:t xml:space="preserve">NMPGs to report on use of PROC//INFO; if it is used by anyone in the market and if so, for what </w:t>
      </w:r>
      <w:proofErr w:type="gramStart"/>
      <w:r w:rsidRPr="00645061">
        <w:t>purpose ?</w:t>
      </w:r>
      <w:proofErr w:type="gramEnd"/>
    </w:p>
    <w:p w:rsidR="001470EA" w:rsidRDefault="00645061" w:rsidP="001470EA">
      <w:r>
        <w:rPr>
          <w:b/>
          <w:u w:val="single"/>
        </w:rPr>
        <w:t xml:space="preserve">Action </w:t>
      </w:r>
      <w:r w:rsidRPr="001470EA">
        <w:rPr>
          <w:b/>
          <w:u w:val="single"/>
        </w:rPr>
        <w:t xml:space="preserve">item </w:t>
      </w:r>
      <w:r>
        <w:rPr>
          <w:b/>
          <w:u w:val="single"/>
        </w:rPr>
        <w:t xml:space="preserve">4: </w:t>
      </w:r>
      <w:r w:rsidR="00651EB7">
        <w:t xml:space="preserve">Make Offeror Repeatable: </w:t>
      </w:r>
    </w:p>
    <w:p w:rsidR="00651EB7" w:rsidRDefault="001470EA" w:rsidP="001470EA">
      <w:pPr>
        <w:pStyle w:val="Actions"/>
      </w:pPr>
      <w:r w:rsidRPr="001470EA">
        <w:rPr>
          <w:b/>
          <w:u w:val="single"/>
        </w:rPr>
        <w:t>Action</w:t>
      </w:r>
      <w:r>
        <w:t xml:space="preserve">: </w:t>
      </w:r>
      <w:r w:rsidR="00651EB7">
        <w:t xml:space="preserve">Proposed text in the spreadsheet to be included in </w:t>
      </w:r>
      <w:smartTag w:uri="urn:schemas-microsoft-com:office:smarttags" w:element="stockticker">
        <w:r w:rsidR="00651EB7">
          <w:t>GMP</w:t>
        </w:r>
      </w:smartTag>
      <w:r w:rsidR="00651EB7">
        <w:t xml:space="preserve">1 by </w:t>
      </w:r>
      <w:smartTag w:uri="urn:schemas-microsoft-com:office:smarttags" w:element="stockticker">
        <w:r w:rsidR="00651EB7">
          <w:t>GMP</w:t>
        </w:r>
      </w:smartTag>
      <w:r w:rsidR="00651EB7">
        <w:t>1 sub-group</w:t>
      </w:r>
    </w:p>
    <w:p w:rsidR="001470EA" w:rsidRDefault="00645061" w:rsidP="001470EA">
      <w:r>
        <w:rPr>
          <w:b/>
          <w:u w:val="single"/>
        </w:rPr>
        <w:t>Action</w:t>
      </w:r>
      <w:r w:rsidR="00651EB7" w:rsidRPr="001470EA">
        <w:rPr>
          <w:b/>
          <w:u w:val="single"/>
        </w:rPr>
        <w:t xml:space="preserve"> item 5</w:t>
      </w:r>
      <w:r w:rsidR="001470EA">
        <w:rPr>
          <w:b/>
          <w:u w:val="single"/>
        </w:rPr>
        <w:t>:</w:t>
      </w:r>
      <w:r w:rsidR="00651EB7">
        <w:t xml:space="preserve"> Add new Fractional Quantity Sought for Securities Proceeds Reporting in </w:t>
      </w:r>
      <w:r w:rsidR="001470EA">
        <w:t>MT566</w:t>
      </w:r>
      <w:r w:rsidR="00651EB7">
        <w:t xml:space="preserve">: </w:t>
      </w:r>
    </w:p>
    <w:p w:rsidR="00651EB7" w:rsidRDefault="001470EA" w:rsidP="001470EA">
      <w:pPr>
        <w:pStyle w:val="Actions"/>
      </w:pPr>
      <w:r w:rsidRPr="001470EA">
        <w:rPr>
          <w:b/>
          <w:u w:val="single"/>
        </w:rPr>
        <w:t>Action</w:t>
      </w:r>
      <w:r>
        <w:t xml:space="preserve">: </w:t>
      </w:r>
      <w:r w:rsidR="00651EB7" w:rsidRPr="001470EA">
        <w:rPr>
          <w:u w:val="single"/>
        </w:rPr>
        <w:t>FR NMPG</w:t>
      </w:r>
      <w:r w:rsidR="00651EB7">
        <w:t xml:space="preserve"> to create a draft MP for this</w:t>
      </w:r>
      <w:r>
        <w:t xml:space="preserve"> in GMP Part 1.</w:t>
      </w:r>
    </w:p>
    <w:p w:rsidR="00F81DB3" w:rsidRDefault="00F81DB3" w:rsidP="00651EB7">
      <w:pPr>
        <w:pStyle w:val="Heading1"/>
      </w:pPr>
      <w:bookmarkStart w:id="8" w:name="_Toc343702784"/>
      <w:r>
        <w:t>CA 226 - Disclosure (DSCL) Event - Clarify Usage / Market Practice</w:t>
      </w:r>
      <w:bookmarkEnd w:id="8"/>
    </w:p>
    <w:p w:rsidR="00645061" w:rsidRDefault="00AE414F" w:rsidP="00AE414F">
      <w:r w:rsidRPr="00AE414F">
        <w:t>Report from Jacques. This is on hold, due to perceived lack of need</w:t>
      </w:r>
      <w:r w:rsidR="00645061">
        <w:t xml:space="preserve"> </w:t>
      </w:r>
      <w:r w:rsidRPr="00AE414F">
        <w:t>and thus no resulting submission for new messages</w:t>
      </w:r>
      <w:r w:rsidR="00645061">
        <w:t xml:space="preserve"> done at ISO20022 level</w:t>
      </w:r>
      <w:r w:rsidRPr="00AE414F">
        <w:t xml:space="preserve">. If a market does have </w:t>
      </w:r>
      <w:r w:rsidR="00645061">
        <w:t>a need for this, please raise concern.</w:t>
      </w:r>
      <w:r w:rsidRPr="00AE414F">
        <w:t xml:space="preserve"> </w:t>
      </w:r>
    </w:p>
    <w:p w:rsidR="00AE414F" w:rsidRPr="00AE414F" w:rsidRDefault="00AE414F" w:rsidP="00645061">
      <w:pPr>
        <w:pStyle w:val="Actions"/>
      </w:pPr>
      <w:r w:rsidRPr="00645061">
        <w:rPr>
          <w:u w:val="single"/>
        </w:rPr>
        <w:lastRenderedPageBreak/>
        <w:t>Action</w:t>
      </w:r>
      <w:r w:rsidRPr="00AE414F">
        <w:t xml:space="preserve">: NMPGs to report of </w:t>
      </w:r>
      <w:r w:rsidR="00645061">
        <w:t>usage of DSCL event by February telco.</w:t>
      </w:r>
    </w:p>
    <w:p w:rsidR="008E171A" w:rsidRDefault="00F81DB3" w:rsidP="00651EB7">
      <w:pPr>
        <w:pStyle w:val="Heading1"/>
      </w:pPr>
      <w:bookmarkStart w:id="9" w:name="_Toc343702785"/>
      <w:r>
        <w:t>CA 244</w:t>
      </w:r>
      <w:r w:rsidR="008646C4">
        <w:t xml:space="preserve"> </w:t>
      </w:r>
      <w:r w:rsidR="00057A3B">
        <w:t>–</w:t>
      </w:r>
      <w:r w:rsidR="008646C4">
        <w:t xml:space="preserve"> </w:t>
      </w:r>
      <w:r w:rsidR="00057A3B">
        <w:t xml:space="preserve">DVCA </w:t>
      </w:r>
      <w:r>
        <w:t>GRSS and NETT R</w:t>
      </w:r>
      <w:r w:rsidR="008E171A">
        <w:t xml:space="preserve">ates in </w:t>
      </w:r>
      <w:r>
        <w:t>P</w:t>
      </w:r>
      <w:r w:rsidR="008E171A">
        <w:t>ercentage</w:t>
      </w:r>
      <w:bookmarkEnd w:id="9"/>
    </w:p>
    <w:p w:rsidR="00645061" w:rsidRDefault="00645061" w:rsidP="00645061">
      <w:r>
        <w:t>NETT percentage</w:t>
      </w:r>
      <w:r w:rsidR="00930971">
        <w:t xml:space="preserve"> rates should not be applicable.</w:t>
      </w:r>
      <w:r>
        <w:t xml:space="preserve"> </w:t>
      </w:r>
      <w:proofErr w:type="gramStart"/>
      <w:r>
        <w:t>MDPUG to discu</w:t>
      </w:r>
      <w:r w:rsidR="00930971">
        <w:t>ss at their next call on Jan 15.</w:t>
      </w:r>
      <w:proofErr w:type="gramEnd"/>
      <w:r>
        <w:t xml:space="preserve"> </w:t>
      </w:r>
    </w:p>
    <w:p w:rsidR="00DD1D07" w:rsidRDefault="00DD1D07" w:rsidP="00DD1D07">
      <w:pPr>
        <w:pStyle w:val="Actions"/>
      </w:pPr>
      <w:r w:rsidRPr="00DD1D07">
        <w:rPr>
          <w:b/>
          <w:u w:val="single"/>
        </w:rPr>
        <w:t>Action</w:t>
      </w:r>
      <w:r>
        <w:t xml:space="preserve">: </w:t>
      </w:r>
      <w:r w:rsidR="00930971">
        <w:t>Peter to report at the January 24 call.</w:t>
      </w:r>
    </w:p>
    <w:p w:rsidR="00DD1D07" w:rsidRDefault="00F81DB3" w:rsidP="00DD1D07">
      <w:pPr>
        <w:pStyle w:val="Heading1"/>
      </w:pPr>
      <w:bookmarkStart w:id="10" w:name="_Toc343702786"/>
      <w:r>
        <w:t>CA 245 – Capital Increase O</w:t>
      </w:r>
      <w:r w:rsidR="00DD1D07">
        <w:t xml:space="preserve">ffered to </w:t>
      </w:r>
      <w:r>
        <w:t>P</w:t>
      </w:r>
      <w:r w:rsidR="00DD1D07">
        <w:t>ublic</w:t>
      </w:r>
      <w:bookmarkEnd w:id="10"/>
      <w:r w:rsidR="00D60FA4">
        <w:t xml:space="preserve"> </w:t>
      </w:r>
    </w:p>
    <w:p w:rsidR="004948DB" w:rsidRDefault="00930971" w:rsidP="004948DB">
      <w:r>
        <w:t xml:space="preserve">The UK&amp;IE NMPG have discussed this and have a number of examples of companies announcing a capital increase with some form of priority for existing shareholders in case of over-subscription. The LSE sends the same event as both a PRIO and an OTHR. </w:t>
      </w:r>
      <w:r w:rsidR="004948DB">
        <w:t>The price is always the same for existing shareholders or for the public offer. This is becoming more and more frequent.</w:t>
      </w:r>
    </w:p>
    <w:p w:rsidR="004948DB" w:rsidRDefault="00930971" w:rsidP="004948DB">
      <w:pPr>
        <w:pStyle w:val="Actions"/>
      </w:pPr>
      <w:r w:rsidRPr="004948DB">
        <w:rPr>
          <w:b/>
          <w:u w:val="single"/>
        </w:rPr>
        <w:t>Action</w:t>
      </w:r>
      <w:r>
        <w:t>: Matthew to send UK</w:t>
      </w:r>
      <w:r w:rsidR="00A444B1">
        <w:t xml:space="preserve"> examples </w:t>
      </w:r>
      <w:r>
        <w:t xml:space="preserve">to the SMPG. </w:t>
      </w:r>
    </w:p>
    <w:p w:rsidR="00A444B1" w:rsidRDefault="00930971" w:rsidP="004948DB">
      <w:pPr>
        <w:pStyle w:val="Actions"/>
      </w:pPr>
      <w:r w:rsidRPr="00A444B1">
        <w:rPr>
          <w:b/>
          <w:u w:val="single"/>
        </w:rPr>
        <w:t>Action</w:t>
      </w:r>
      <w:r>
        <w:t xml:space="preserve">: NMPGs to report if they have similar events. </w:t>
      </w:r>
    </w:p>
    <w:p w:rsidR="00930971" w:rsidRDefault="00930971" w:rsidP="004948DB">
      <w:pPr>
        <w:pStyle w:val="Actions"/>
      </w:pPr>
      <w:r>
        <w:t>To be discussed at the January 24 or possibly the February 21 call.</w:t>
      </w:r>
    </w:p>
    <w:p w:rsidR="00F81DB3" w:rsidRDefault="00F81DB3" w:rsidP="00651EB7">
      <w:pPr>
        <w:pStyle w:val="Heading1"/>
        <w:rPr>
          <w:lang w:val="fr-BE"/>
        </w:rPr>
      </w:pPr>
      <w:bookmarkStart w:id="11" w:name="_Toc343702787"/>
      <w:bookmarkEnd w:id="4"/>
      <w:bookmarkEnd w:id="5"/>
      <w:r>
        <w:rPr>
          <w:lang w:val="fr-BE"/>
        </w:rPr>
        <w:t>GMP Part 1 Subgroup Update</w:t>
      </w:r>
      <w:bookmarkEnd w:id="11"/>
    </w:p>
    <w:p w:rsidR="004948DB" w:rsidRDefault="00A444B1" w:rsidP="00A444B1">
      <w:r>
        <w:t>Veronique reports: Meeting on Monday</w:t>
      </w:r>
      <w:r w:rsidR="004948DB">
        <w:t xml:space="preserve"> with two more calls scheduled before January 10. Work is ongoing, and most of the SR2013 MWG actions have been completed. Some of the actions assigned to GMP1 will be handed back to the CA-WG.</w:t>
      </w:r>
    </w:p>
    <w:p w:rsidR="00F81DB3" w:rsidRDefault="00F81DB3" w:rsidP="00651EB7">
      <w:pPr>
        <w:pStyle w:val="Heading1"/>
        <w:rPr>
          <w:lang w:val="fr-BE"/>
        </w:rPr>
      </w:pPr>
      <w:bookmarkStart w:id="12" w:name="_Toc343702788"/>
      <w:r>
        <w:rPr>
          <w:lang w:val="fr-BE"/>
        </w:rPr>
        <w:t xml:space="preserve">TA - </w:t>
      </w:r>
      <w:r w:rsidRPr="008E171A">
        <w:rPr>
          <w:lang w:val="fr-BE"/>
        </w:rPr>
        <w:t>Tax Subgroup</w:t>
      </w:r>
      <w:bookmarkEnd w:id="12"/>
    </w:p>
    <w:p w:rsidR="00FC03DC" w:rsidRDefault="00FC03DC" w:rsidP="00A444B1">
      <w:r>
        <w:t>Kim has</w:t>
      </w:r>
      <w:r w:rsidR="004948DB">
        <w:t xml:space="preserve"> resign</w:t>
      </w:r>
      <w:r>
        <w:t>ed</w:t>
      </w:r>
      <w:r w:rsidR="004948DB">
        <w:t xml:space="preserve"> and </w:t>
      </w:r>
      <w:r>
        <w:t xml:space="preserve">Bernard has proposed </w:t>
      </w:r>
      <w:r w:rsidR="004948DB">
        <w:t xml:space="preserve">to </w:t>
      </w:r>
      <w:r>
        <w:t xml:space="preserve">nominate </w:t>
      </w:r>
      <w:r>
        <w:rPr>
          <w:bCs/>
          <w:color w:val="000000" w:themeColor="text1"/>
          <w:lang w:eastAsia="en-GB"/>
        </w:rPr>
        <w:t>Jyi-Chen Chueh (</w:t>
      </w:r>
      <w:r>
        <w:t xml:space="preserve">ex-BNY CA tax expert and the current CA MWG member </w:t>
      </w:r>
      <w:r w:rsidR="004948DB">
        <w:t>from Singapore</w:t>
      </w:r>
      <w:r>
        <w:t>) to replace Kim</w:t>
      </w:r>
      <w:r w:rsidR="004948DB">
        <w:t xml:space="preserve">. Jean-Pierre </w:t>
      </w:r>
      <w:r>
        <w:t xml:space="preserve">Klak </w:t>
      </w:r>
      <w:r w:rsidR="004948DB">
        <w:t>will continue as co-chair together with J</w:t>
      </w:r>
      <w:r>
        <w:t>y</w:t>
      </w:r>
      <w:r w:rsidR="004948DB">
        <w:t xml:space="preserve">i-Chen. The group will </w:t>
      </w:r>
      <w:r>
        <w:t>have monthly calls – still to be rescheduled.</w:t>
      </w:r>
    </w:p>
    <w:p w:rsidR="004948DB" w:rsidRDefault="00FC03DC" w:rsidP="00FC03DC">
      <w:pPr>
        <w:pStyle w:val="Actions"/>
      </w:pPr>
      <w:r w:rsidRPr="00FC03DC">
        <w:rPr>
          <w:b/>
          <w:u w:val="single"/>
        </w:rPr>
        <w:t>Action</w:t>
      </w:r>
      <w:r>
        <w:t xml:space="preserve">: </w:t>
      </w:r>
      <w:r w:rsidR="004948DB">
        <w:t>Bernard will email J</w:t>
      </w:r>
      <w:r>
        <w:t>y</w:t>
      </w:r>
      <w:r w:rsidR="004948DB">
        <w:t>i-Chen’s manager today and request his assistance.</w:t>
      </w:r>
    </w:p>
    <w:p w:rsidR="004948DB" w:rsidRPr="004948DB" w:rsidRDefault="004948DB" w:rsidP="004948DB"/>
    <w:p w:rsidR="00F81DB3" w:rsidRDefault="00F81DB3" w:rsidP="008D2E16">
      <w:pPr>
        <w:pStyle w:val="Actions"/>
        <w:rPr>
          <w:b/>
          <w:color w:val="auto"/>
        </w:rPr>
      </w:pPr>
      <w:r w:rsidRPr="00927C3C">
        <w:rPr>
          <w:b/>
          <w:color w:val="auto"/>
        </w:rPr>
        <w:t xml:space="preserve">To participate to the Tax subgroup: please contact </w:t>
      </w:r>
      <w:hyperlink r:id="rId14" w:history="1">
        <w:r w:rsidRPr="00E61C15">
          <w:rPr>
            <w:rStyle w:val="Hyperlink"/>
            <w:b/>
          </w:rPr>
          <w:t>bernard.lenelle@clearstream.com</w:t>
        </w:r>
      </w:hyperlink>
    </w:p>
    <w:p w:rsidR="00F81DB3" w:rsidRDefault="00F81DB3" w:rsidP="00651EB7">
      <w:pPr>
        <w:pStyle w:val="Heading1"/>
        <w:rPr>
          <w:lang w:val="fr-BE"/>
        </w:rPr>
      </w:pPr>
      <w:bookmarkStart w:id="13" w:name="_Toc343702789"/>
      <w:r>
        <w:rPr>
          <w:lang w:val="fr-BE"/>
        </w:rPr>
        <w:t xml:space="preserve">PV - </w:t>
      </w:r>
      <w:r w:rsidRPr="008E171A">
        <w:rPr>
          <w:lang w:val="fr-BE"/>
        </w:rPr>
        <w:t>PV Subgroup</w:t>
      </w:r>
      <w:bookmarkEnd w:id="13"/>
    </w:p>
    <w:p w:rsidR="004948DB" w:rsidRDefault="004948DB" w:rsidP="00FC03DC">
      <w:r>
        <w:t>The PV sub-group has had two conf calls scheduled since Osaka, but only one had enough participants to hold the call. Please ensure your NMPG representatives attend the calls, reply to meeting invitations and send comments in advance when they cannot attend.</w:t>
      </w:r>
    </w:p>
    <w:p w:rsidR="004948DB" w:rsidRDefault="004948DB" w:rsidP="00FC03DC">
      <w:r>
        <w:t>At the December call, the UK/JP Morgan proposal to ask for additional status and reason codes in the MT</w:t>
      </w:r>
      <w:r w:rsidR="00D21B7D">
        <w:t xml:space="preserve"> </w:t>
      </w:r>
      <w:r>
        <w:t>567 to cater for voting instructions and registrations was discussed. If the PV sub-group agrees to this proposal, it will be circulated to the SMPG CA-WG before sending the CR.</w:t>
      </w:r>
    </w:p>
    <w:p w:rsidR="004948DB" w:rsidRPr="00D21B7D" w:rsidRDefault="00D21B7D" w:rsidP="00FC03DC">
      <w:r w:rsidRPr="00D21B7D">
        <w:t>Next meeting is on January 8</w:t>
      </w:r>
      <w:r>
        <w:t>.</w:t>
      </w:r>
    </w:p>
    <w:p w:rsidR="00F81DB3" w:rsidRDefault="00F81DB3" w:rsidP="00712934">
      <w:pPr>
        <w:rPr>
          <w:b/>
        </w:rPr>
      </w:pPr>
      <w:r w:rsidRPr="00927C3C">
        <w:rPr>
          <w:b/>
        </w:rPr>
        <w:t>To participate to the PV subgroup: please contact Christine Strandberg (</w:t>
      </w:r>
      <w:hyperlink r:id="rId15" w:history="1">
        <w:r w:rsidRPr="00927C3C">
          <w:rPr>
            <w:rStyle w:val="Hyperlink"/>
            <w:b/>
          </w:rPr>
          <w:t>Christine.strandberg@seb.se</w:t>
        </w:r>
      </w:hyperlink>
      <w:r w:rsidRPr="00927C3C">
        <w:rPr>
          <w:b/>
        </w:rPr>
        <w:t xml:space="preserve">) or </w:t>
      </w:r>
      <w:hyperlink r:id="rId16" w:history="1">
        <w:r w:rsidRPr="00927C3C">
          <w:rPr>
            <w:rStyle w:val="Hyperlink"/>
            <w:b/>
          </w:rPr>
          <w:t>jacques.littre@swift.com</w:t>
        </w:r>
      </w:hyperlink>
      <w:r w:rsidRPr="00927C3C">
        <w:rPr>
          <w:b/>
        </w:rPr>
        <w:t>.</w:t>
      </w:r>
    </w:p>
    <w:p w:rsidR="004948DB" w:rsidRPr="00D21B7D" w:rsidRDefault="00D21B7D" w:rsidP="00D21B7D">
      <w:pPr>
        <w:pStyle w:val="Heading1"/>
      </w:pPr>
      <w:bookmarkStart w:id="14" w:name="_Toc343702790"/>
      <w:r w:rsidRPr="00D21B7D">
        <w:t>CA SMPG conference calls schedule</w:t>
      </w:r>
      <w:bookmarkEnd w:id="14"/>
    </w:p>
    <w:p w:rsidR="00840569" w:rsidRDefault="00840569" w:rsidP="0053546A">
      <w:r>
        <w:t xml:space="preserve">Next Call – </w:t>
      </w:r>
      <w:r w:rsidR="00BD0772">
        <w:t xml:space="preserve">Thursday </w:t>
      </w:r>
      <w:r>
        <w:t>January 24, 2013</w:t>
      </w:r>
      <w:r w:rsidR="00BD0772">
        <w:t xml:space="preserve"> from 2 to 4 PM CET.</w:t>
      </w:r>
      <w:bookmarkStart w:id="15" w:name="_GoBack"/>
      <w:bookmarkEnd w:id="15"/>
    </w:p>
    <w:p w:rsidR="004948DB" w:rsidRDefault="004948DB" w:rsidP="0053546A">
      <w:r>
        <w:t xml:space="preserve">The March 28 </w:t>
      </w:r>
      <w:proofErr w:type="spellStart"/>
      <w:r>
        <w:t>conf</w:t>
      </w:r>
      <w:proofErr w:type="spellEnd"/>
      <w:r>
        <w:t xml:space="preserve"> call was </w:t>
      </w:r>
      <w:r w:rsidRPr="00BD0772">
        <w:rPr>
          <w:u w:val="single"/>
        </w:rPr>
        <w:t>moved to March 25</w:t>
      </w:r>
      <w:r>
        <w:t xml:space="preserve"> due to Easter holidays.</w:t>
      </w: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17"/>
      <w:headerReference w:type="default" r:id="rId18"/>
      <w:headerReference w:type="first" r:id="rId19"/>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7D" w:rsidRDefault="00D21B7D" w:rsidP="00592037">
      <w:r>
        <w:separator/>
      </w:r>
    </w:p>
    <w:p w:rsidR="00D21B7D" w:rsidRDefault="00D21B7D" w:rsidP="00592037"/>
  </w:endnote>
  <w:endnote w:type="continuationSeparator" w:id="0">
    <w:p w:rsidR="00D21B7D" w:rsidRDefault="00D21B7D" w:rsidP="00592037">
      <w:r>
        <w:continuationSeparator/>
      </w:r>
    </w:p>
    <w:p w:rsidR="00D21B7D" w:rsidRDefault="00D21B7D"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7D" w:rsidRDefault="00D21B7D"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1B7D" w:rsidRDefault="00D21B7D"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7D" w:rsidRPr="00F23DA7" w:rsidRDefault="00D21B7D" w:rsidP="00592037">
    <w:pPr>
      <w:pStyle w:val="Footer"/>
      <w:rPr>
        <w:lang w:val="fr-BE"/>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 mins SMPG CA telco_20121213_v0_1</w:t>
    </w:r>
    <w:r w:rsidRPr="008C30B6">
      <w:rPr>
        <w:sz w:val="16"/>
        <w:szCs w:val="16"/>
      </w:rPr>
      <w:fldChar w:fldCharType="end"/>
    </w:r>
    <w:r w:rsidRPr="00F23DA7">
      <w:rPr>
        <w:lang w:val="fr-BE"/>
      </w:rPr>
      <w:tab/>
      <w:t xml:space="preserve">Page </w:t>
    </w:r>
    <w:r w:rsidRPr="00D53847">
      <w:rPr>
        <w:lang w:val="fr-BE"/>
      </w:rPr>
      <w:fldChar w:fldCharType="begin"/>
    </w:r>
    <w:r w:rsidRPr="00D53847">
      <w:rPr>
        <w:lang w:val="fr-BE"/>
      </w:rPr>
      <w:instrText xml:space="preserve"> PAGE   \* MERGEFORMAT </w:instrText>
    </w:r>
    <w:r w:rsidRPr="00D53847">
      <w:rPr>
        <w:lang w:val="fr-BE"/>
      </w:rPr>
      <w:fldChar w:fldCharType="separate"/>
    </w:r>
    <w:r w:rsidR="00BD0772">
      <w:rPr>
        <w:noProof/>
        <w:lang w:val="fr-BE"/>
      </w:rPr>
      <w:t>5</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7D" w:rsidRDefault="00D21B7D" w:rsidP="00592037">
      <w:r>
        <w:separator/>
      </w:r>
    </w:p>
    <w:p w:rsidR="00D21B7D" w:rsidRDefault="00D21B7D" w:rsidP="00592037"/>
  </w:footnote>
  <w:footnote w:type="continuationSeparator" w:id="0">
    <w:p w:rsidR="00D21B7D" w:rsidRDefault="00D21B7D" w:rsidP="00592037">
      <w:r>
        <w:continuationSeparator/>
      </w:r>
    </w:p>
    <w:p w:rsidR="00D21B7D" w:rsidRDefault="00D21B7D"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7D" w:rsidRDefault="00D21B7D"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7D" w:rsidRPr="00284B42" w:rsidRDefault="00BD0772"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17445299" r:id="rId2"/>
      </w:pict>
    </w:r>
    <w:r w:rsidR="00D21B7D" w:rsidRPr="00284B42">
      <w:rPr>
        <w:b/>
      </w:rPr>
      <w:t xml:space="preserve">CA SMPG </w:t>
    </w:r>
    <w:r w:rsidR="00D21B7D">
      <w:rPr>
        <w:b/>
      </w:rPr>
      <w:t>– 13 December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7D" w:rsidRDefault="00D21B7D"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54919"/>
    <w:multiLevelType w:val="hybridMultilevel"/>
    <w:tmpl w:val="074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2727F"/>
    <w:multiLevelType w:val="hybridMultilevel"/>
    <w:tmpl w:val="E8CA3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330922"/>
    <w:multiLevelType w:val="hybridMultilevel"/>
    <w:tmpl w:val="165A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237314"/>
    <w:multiLevelType w:val="hybridMultilevel"/>
    <w:tmpl w:val="C834028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49218F"/>
    <w:multiLevelType w:val="hybridMultilevel"/>
    <w:tmpl w:val="65B0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47E68"/>
    <w:multiLevelType w:val="hybridMultilevel"/>
    <w:tmpl w:val="73D8A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C23A6E"/>
    <w:multiLevelType w:val="hybridMultilevel"/>
    <w:tmpl w:val="9CDE8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586BF9"/>
    <w:multiLevelType w:val="hybridMultilevel"/>
    <w:tmpl w:val="FA8467D0"/>
    <w:lvl w:ilvl="0" w:tplc="08090001">
      <w:start w:val="1"/>
      <w:numFmt w:val="bullet"/>
      <w:lvlText w:val=""/>
      <w:lvlJc w:val="left"/>
      <w:pPr>
        <w:ind w:left="360" w:hanging="360"/>
      </w:pPr>
      <w:rPr>
        <w:rFonts w:ascii="Symbol" w:hAnsi="Symbol" w:hint="default"/>
      </w:rPr>
    </w:lvl>
    <w:lvl w:ilvl="1" w:tplc="FCAE47C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D925E9C"/>
    <w:multiLevelType w:val="hybridMultilevel"/>
    <w:tmpl w:val="933E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F51C9A"/>
    <w:multiLevelType w:val="hybridMultilevel"/>
    <w:tmpl w:val="04E0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3F3B18"/>
    <w:multiLevelType w:val="hybridMultilevel"/>
    <w:tmpl w:val="523081EE"/>
    <w:lvl w:ilvl="0" w:tplc="F2205A16">
      <w:start w:val="1"/>
      <w:numFmt w:val="decimal"/>
      <w:pStyle w:val="Heading1"/>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1A744E"/>
    <w:multiLevelType w:val="hybridMultilevel"/>
    <w:tmpl w:val="1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2C71F2"/>
    <w:multiLevelType w:val="hybridMultilevel"/>
    <w:tmpl w:val="586E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BD0FEA"/>
    <w:multiLevelType w:val="hybridMultilevel"/>
    <w:tmpl w:val="4FAAA7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D40272"/>
    <w:multiLevelType w:val="hybridMultilevel"/>
    <w:tmpl w:val="E8D859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A4908"/>
    <w:multiLevelType w:val="hybridMultilevel"/>
    <w:tmpl w:val="E526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C55D2"/>
    <w:multiLevelType w:val="hybridMultilevel"/>
    <w:tmpl w:val="22B86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70F01B0"/>
    <w:multiLevelType w:val="hybridMultilevel"/>
    <w:tmpl w:val="E938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1">
    <w:nsid w:val="4BAC4278"/>
    <w:multiLevelType w:val="multilevel"/>
    <w:tmpl w:val="0186E310"/>
    <w:numStyleLink w:val="CurrentList1"/>
  </w:abstractNum>
  <w:abstractNum w:abstractNumId="22">
    <w:nsid w:val="4DAF08B6"/>
    <w:multiLevelType w:val="hybridMultilevel"/>
    <w:tmpl w:val="A2BEBFDE"/>
    <w:lvl w:ilvl="0" w:tplc="08090001">
      <w:start w:val="1"/>
      <w:numFmt w:val="bullet"/>
      <w:lvlText w:val=""/>
      <w:lvlJc w:val="left"/>
      <w:pPr>
        <w:ind w:left="360" w:hanging="360"/>
      </w:pPr>
      <w:rPr>
        <w:rFonts w:ascii="Symbol" w:hAnsi="Symbol" w:hint="default"/>
      </w:rPr>
    </w:lvl>
    <w:lvl w:ilvl="1" w:tplc="FCAE47C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4E03FB"/>
    <w:multiLevelType w:val="hybridMultilevel"/>
    <w:tmpl w:val="CAF2246E"/>
    <w:lvl w:ilvl="0" w:tplc="08090001">
      <w:start w:val="1"/>
      <w:numFmt w:val="bullet"/>
      <w:lvlText w:val=""/>
      <w:lvlJc w:val="left"/>
      <w:pPr>
        <w:ind w:left="360" w:hanging="360"/>
      </w:pPr>
      <w:rPr>
        <w:rFonts w:ascii="Symbol" w:hAnsi="Symbol" w:hint="default"/>
      </w:rPr>
    </w:lvl>
    <w:lvl w:ilvl="1" w:tplc="FCAE47C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CC0670"/>
    <w:multiLevelType w:val="hybridMultilevel"/>
    <w:tmpl w:val="2B58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795219"/>
    <w:multiLevelType w:val="hybridMultilevel"/>
    <w:tmpl w:val="C186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FC7BA0"/>
    <w:multiLevelType w:val="hybridMultilevel"/>
    <w:tmpl w:val="1E5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5B9415B2"/>
    <w:multiLevelType w:val="hybridMultilevel"/>
    <w:tmpl w:val="82CE92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1374124"/>
    <w:multiLevelType w:val="hybridMultilevel"/>
    <w:tmpl w:val="61AC57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615F3D5E"/>
    <w:multiLevelType w:val="hybridMultilevel"/>
    <w:tmpl w:val="DB12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244218"/>
    <w:multiLevelType w:val="hybridMultilevel"/>
    <w:tmpl w:val="AACAB428"/>
    <w:lvl w:ilvl="0" w:tplc="23FCC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3A7674"/>
    <w:multiLevelType w:val="hybridMultilevel"/>
    <w:tmpl w:val="68864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524E0A"/>
    <w:multiLevelType w:val="hybridMultilevel"/>
    <w:tmpl w:val="4AE4A428"/>
    <w:lvl w:ilvl="0" w:tplc="08090001">
      <w:start w:val="1"/>
      <w:numFmt w:val="bullet"/>
      <w:lvlText w:val=""/>
      <w:lvlJc w:val="left"/>
      <w:pPr>
        <w:ind w:left="360" w:hanging="360"/>
      </w:pPr>
      <w:rPr>
        <w:rFonts w:ascii="Symbol" w:hAnsi="Symbol" w:hint="default"/>
      </w:rPr>
    </w:lvl>
    <w:lvl w:ilvl="1" w:tplc="FCAE47C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C6B6373"/>
    <w:multiLevelType w:val="hybridMultilevel"/>
    <w:tmpl w:val="EBB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263093"/>
    <w:multiLevelType w:val="hybridMultilevel"/>
    <w:tmpl w:val="E676C17C"/>
    <w:lvl w:ilvl="0" w:tplc="5860DFC2">
      <w:start w:val="1"/>
      <w:numFmt w:val="decimal"/>
      <w:pStyle w:val="Heading2"/>
      <w:lvlText w:val="4.%1."/>
      <w:lvlJc w:val="right"/>
      <w:pPr>
        <w:ind w:left="648" w:hanging="360"/>
      </w:pPr>
      <w:rPr>
        <w:rFonts w:hint="default"/>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num>
  <w:num w:numId="3">
    <w:abstractNumId w:val="20"/>
  </w:num>
  <w:num w:numId="4">
    <w:abstractNumId w:val="14"/>
  </w:num>
  <w:num w:numId="5">
    <w:abstractNumId w:val="11"/>
  </w:num>
  <w:num w:numId="6">
    <w:abstractNumId w:val="34"/>
  </w:num>
  <w:num w:numId="7">
    <w:abstractNumId w:val="30"/>
  </w:num>
  <w:num w:numId="8">
    <w:abstractNumId w:val="25"/>
  </w:num>
  <w:num w:numId="9">
    <w:abstractNumId w:val="21"/>
  </w:num>
  <w:num w:numId="10">
    <w:abstractNumId w:val="9"/>
  </w:num>
  <w:num w:numId="11">
    <w:abstractNumId w:val="31"/>
  </w:num>
  <w:num w:numId="12">
    <w:abstractNumId w:val="7"/>
  </w:num>
  <w:num w:numId="13">
    <w:abstractNumId w:val="35"/>
  </w:num>
  <w:num w:numId="14">
    <w:abstractNumId w:val="15"/>
  </w:num>
  <w:num w:numId="15">
    <w:abstractNumId w:val="33"/>
  </w:num>
  <w:num w:numId="16">
    <w:abstractNumId w:val="5"/>
  </w:num>
  <w:num w:numId="17">
    <w:abstractNumId w:val="12"/>
  </w:num>
  <w:num w:numId="18">
    <w:abstractNumId w:val="27"/>
  </w:num>
  <w:num w:numId="19">
    <w:abstractNumId w:val="13"/>
  </w:num>
  <w:num w:numId="20">
    <w:abstractNumId w:val="38"/>
  </w:num>
  <w:num w:numId="21">
    <w:abstractNumId w:val="37"/>
  </w:num>
  <w:num w:numId="22">
    <w:abstractNumId w:val="17"/>
  </w:num>
  <w:num w:numId="23">
    <w:abstractNumId w:val="24"/>
  </w:num>
  <w:num w:numId="24">
    <w:abstractNumId w:val="6"/>
  </w:num>
  <w:num w:numId="25">
    <w:abstractNumId w:val="3"/>
  </w:num>
  <w:num w:numId="26">
    <w:abstractNumId w:val="26"/>
  </w:num>
  <w:num w:numId="27">
    <w:abstractNumId w:val="21"/>
  </w:num>
  <w:num w:numId="28">
    <w:abstractNumId w:val="16"/>
  </w:num>
  <w:num w:numId="29">
    <w:abstractNumId w:val="4"/>
  </w:num>
  <w:num w:numId="30">
    <w:abstractNumId w:val="1"/>
  </w:num>
  <w:num w:numId="31">
    <w:abstractNumId w:val="18"/>
  </w:num>
  <w:num w:numId="32">
    <w:abstractNumId w:val="2"/>
  </w:num>
  <w:num w:numId="33">
    <w:abstractNumId w:val="19"/>
  </w:num>
  <w:num w:numId="34">
    <w:abstractNumId w:val="10"/>
  </w:num>
  <w:num w:numId="35">
    <w:abstractNumId w:val="32"/>
  </w:num>
  <w:num w:numId="36">
    <w:abstractNumId w:val="36"/>
  </w:num>
  <w:num w:numId="37">
    <w:abstractNumId w:val="8"/>
  </w:num>
  <w:num w:numId="38">
    <w:abstractNumId w:val="23"/>
  </w:num>
  <w:num w:numId="39">
    <w:abstractNumId w:val="2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1004E"/>
    <w:rsid w:val="00010813"/>
    <w:rsid w:val="000152DC"/>
    <w:rsid w:val="000157C2"/>
    <w:rsid w:val="00015AA5"/>
    <w:rsid w:val="00015F15"/>
    <w:rsid w:val="00015FFC"/>
    <w:rsid w:val="00017532"/>
    <w:rsid w:val="0001783E"/>
    <w:rsid w:val="000238B1"/>
    <w:rsid w:val="00023C98"/>
    <w:rsid w:val="00023D5B"/>
    <w:rsid w:val="000249A5"/>
    <w:rsid w:val="000250CC"/>
    <w:rsid w:val="000265A9"/>
    <w:rsid w:val="00027143"/>
    <w:rsid w:val="00027503"/>
    <w:rsid w:val="00030760"/>
    <w:rsid w:val="00030CC6"/>
    <w:rsid w:val="000357FF"/>
    <w:rsid w:val="00037351"/>
    <w:rsid w:val="00043D75"/>
    <w:rsid w:val="00044AD0"/>
    <w:rsid w:val="00046B58"/>
    <w:rsid w:val="00046E03"/>
    <w:rsid w:val="00047EB2"/>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9050D"/>
    <w:rsid w:val="0009483B"/>
    <w:rsid w:val="00095B6F"/>
    <w:rsid w:val="00096171"/>
    <w:rsid w:val="00096CBE"/>
    <w:rsid w:val="000971AD"/>
    <w:rsid w:val="00097370"/>
    <w:rsid w:val="0009749E"/>
    <w:rsid w:val="000A020C"/>
    <w:rsid w:val="000A0465"/>
    <w:rsid w:val="000A07A2"/>
    <w:rsid w:val="000A0FAC"/>
    <w:rsid w:val="000A0FFC"/>
    <w:rsid w:val="000A198A"/>
    <w:rsid w:val="000A2DA8"/>
    <w:rsid w:val="000A3489"/>
    <w:rsid w:val="000A4E72"/>
    <w:rsid w:val="000A4F55"/>
    <w:rsid w:val="000A641E"/>
    <w:rsid w:val="000A785A"/>
    <w:rsid w:val="000A7B3B"/>
    <w:rsid w:val="000B1811"/>
    <w:rsid w:val="000B1929"/>
    <w:rsid w:val="000B4025"/>
    <w:rsid w:val="000B557A"/>
    <w:rsid w:val="000B5831"/>
    <w:rsid w:val="000B5DFD"/>
    <w:rsid w:val="000B7094"/>
    <w:rsid w:val="000B70C1"/>
    <w:rsid w:val="000C0868"/>
    <w:rsid w:val="000C103C"/>
    <w:rsid w:val="000C15E7"/>
    <w:rsid w:val="000C29FB"/>
    <w:rsid w:val="000C5A2C"/>
    <w:rsid w:val="000D0384"/>
    <w:rsid w:val="000D04FB"/>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A30"/>
    <w:rsid w:val="000F07A5"/>
    <w:rsid w:val="000F4705"/>
    <w:rsid w:val="001006E9"/>
    <w:rsid w:val="0010148B"/>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8E0"/>
    <w:rsid w:val="00143CD5"/>
    <w:rsid w:val="00144D89"/>
    <w:rsid w:val="0014506F"/>
    <w:rsid w:val="001470EA"/>
    <w:rsid w:val="00147C1D"/>
    <w:rsid w:val="00152168"/>
    <w:rsid w:val="00152AFF"/>
    <w:rsid w:val="00155A05"/>
    <w:rsid w:val="00155B4B"/>
    <w:rsid w:val="00156EF0"/>
    <w:rsid w:val="0015716F"/>
    <w:rsid w:val="00157457"/>
    <w:rsid w:val="001577B5"/>
    <w:rsid w:val="00160901"/>
    <w:rsid w:val="001661A6"/>
    <w:rsid w:val="001676C8"/>
    <w:rsid w:val="0017306F"/>
    <w:rsid w:val="001753F9"/>
    <w:rsid w:val="001803DE"/>
    <w:rsid w:val="0018324D"/>
    <w:rsid w:val="001865D5"/>
    <w:rsid w:val="001868D6"/>
    <w:rsid w:val="001869F3"/>
    <w:rsid w:val="00187EB0"/>
    <w:rsid w:val="00190D5F"/>
    <w:rsid w:val="00191E31"/>
    <w:rsid w:val="00193B1C"/>
    <w:rsid w:val="00193C6C"/>
    <w:rsid w:val="00196DC2"/>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F55"/>
    <w:rsid w:val="001D0D2F"/>
    <w:rsid w:val="001D0D7A"/>
    <w:rsid w:val="001D0FDF"/>
    <w:rsid w:val="001D1050"/>
    <w:rsid w:val="001D1633"/>
    <w:rsid w:val="001D1F27"/>
    <w:rsid w:val="001D2EE1"/>
    <w:rsid w:val="001D7F34"/>
    <w:rsid w:val="001E0FF9"/>
    <w:rsid w:val="001E3E8E"/>
    <w:rsid w:val="001E44C0"/>
    <w:rsid w:val="001E5AAA"/>
    <w:rsid w:val="001E774B"/>
    <w:rsid w:val="001E78CC"/>
    <w:rsid w:val="001F2C65"/>
    <w:rsid w:val="001F3F45"/>
    <w:rsid w:val="001F70B4"/>
    <w:rsid w:val="0020115E"/>
    <w:rsid w:val="00201BDB"/>
    <w:rsid w:val="00202058"/>
    <w:rsid w:val="0020323F"/>
    <w:rsid w:val="0020391C"/>
    <w:rsid w:val="00206DF5"/>
    <w:rsid w:val="00211C67"/>
    <w:rsid w:val="002127BA"/>
    <w:rsid w:val="00212BFF"/>
    <w:rsid w:val="002131AF"/>
    <w:rsid w:val="00215780"/>
    <w:rsid w:val="00216A0C"/>
    <w:rsid w:val="00217002"/>
    <w:rsid w:val="002178B6"/>
    <w:rsid w:val="002200DE"/>
    <w:rsid w:val="002200F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54FF"/>
    <w:rsid w:val="002456C7"/>
    <w:rsid w:val="00245BAF"/>
    <w:rsid w:val="0024663A"/>
    <w:rsid w:val="00246A6A"/>
    <w:rsid w:val="00246C2F"/>
    <w:rsid w:val="002508BC"/>
    <w:rsid w:val="00251E0B"/>
    <w:rsid w:val="0025223A"/>
    <w:rsid w:val="002533BB"/>
    <w:rsid w:val="002549AE"/>
    <w:rsid w:val="00254E98"/>
    <w:rsid w:val="00257190"/>
    <w:rsid w:val="0025798E"/>
    <w:rsid w:val="00260B07"/>
    <w:rsid w:val="00262E44"/>
    <w:rsid w:val="00262F75"/>
    <w:rsid w:val="00265B60"/>
    <w:rsid w:val="00266341"/>
    <w:rsid w:val="00266950"/>
    <w:rsid w:val="00270080"/>
    <w:rsid w:val="00272B37"/>
    <w:rsid w:val="00273F18"/>
    <w:rsid w:val="00275165"/>
    <w:rsid w:val="00276C1F"/>
    <w:rsid w:val="00277BC7"/>
    <w:rsid w:val="0028014D"/>
    <w:rsid w:val="00281FE5"/>
    <w:rsid w:val="0028242A"/>
    <w:rsid w:val="00284B42"/>
    <w:rsid w:val="00285001"/>
    <w:rsid w:val="00285165"/>
    <w:rsid w:val="0028574A"/>
    <w:rsid w:val="00285DAA"/>
    <w:rsid w:val="0028678C"/>
    <w:rsid w:val="0029301A"/>
    <w:rsid w:val="00293BD3"/>
    <w:rsid w:val="0029519D"/>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666D"/>
    <w:rsid w:val="002D13AB"/>
    <w:rsid w:val="002D15BA"/>
    <w:rsid w:val="002D20A6"/>
    <w:rsid w:val="002D26F6"/>
    <w:rsid w:val="002D33B9"/>
    <w:rsid w:val="002D3ECD"/>
    <w:rsid w:val="002D4171"/>
    <w:rsid w:val="002D5579"/>
    <w:rsid w:val="002D5A70"/>
    <w:rsid w:val="002D666A"/>
    <w:rsid w:val="002E08BB"/>
    <w:rsid w:val="002E39DA"/>
    <w:rsid w:val="002F0EA9"/>
    <w:rsid w:val="002F1879"/>
    <w:rsid w:val="002F18DE"/>
    <w:rsid w:val="002F3775"/>
    <w:rsid w:val="002F434C"/>
    <w:rsid w:val="002F7332"/>
    <w:rsid w:val="002F79AF"/>
    <w:rsid w:val="0030375D"/>
    <w:rsid w:val="00304516"/>
    <w:rsid w:val="00305B81"/>
    <w:rsid w:val="00305BD1"/>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A55"/>
    <w:rsid w:val="00330C7E"/>
    <w:rsid w:val="00332F91"/>
    <w:rsid w:val="00333A87"/>
    <w:rsid w:val="003439BE"/>
    <w:rsid w:val="00346733"/>
    <w:rsid w:val="00346AA9"/>
    <w:rsid w:val="003524FD"/>
    <w:rsid w:val="003525AE"/>
    <w:rsid w:val="0035412E"/>
    <w:rsid w:val="003549AC"/>
    <w:rsid w:val="003559F3"/>
    <w:rsid w:val="003562A2"/>
    <w:rsid w:val="003569DA"/>
    <w:rsid w:val="003611AC"/>
    <w:rsid w:val="00361484"/>
    <w:rsid w:val="00363C0E"/>
    <w:rsid w:val="003656AB"/>
    <w:rsid w:val="003657AB"/>
    <w:rsid w:val="0037101D"/>
    <w:rsid w:val="00371B50"/>
    <w:rsid w:val="00371D8F"/>
    <w:rsid w:val="003750EA"/>
    <w:rsid w:val="00375D17"/>
    <w:rsid w:val="00376698"/>
    <w:rsid w:val="0037670C"/>
    <w:rsid w:val="00376A6D"/>
    <w:rsid w:val="00377295"/>
    <w:rsid w:val="003815C4"/>
    <w:rsid w:val="00381A23"/>
    <w:rsid w:val="00382B23"/>
    <w:rsid w:val="00383BD5"/>
    <w:rsid w:val="00384B04"/>
    <w:rsid w:val="00385E1E"/>
    <w:rsid w:val="0039065D"/>
    <w:rsid w:val="0039109C"/>
    <w:rsid w:val="00392112"/>
    <w:rsid w:val="00393230"/>
    <w:rsid w:val="0039522C"/>
    <w:rsid w:val="0039626C"/>
    <w:rsid w:val="003979EC"/>
    <w:rsid w:val="003A0493"/>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D70"/>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2BDB"/>
    <w:rsid w:val="003F5926"/>
    <w:rsid w:val="003F5CD3"/>
    <w:rsid w:val="003F79E6"/>
    <w:rsid w:val="0040048C"/>
    <w:rsid w:val="0040244E"/>
    <w:rsid w:val="00403047"/>
    <w:rsid w:val="00403D4A"/>
    <w:rsid w:val="00404C0C"/>
    <w:rsid w:val="00404FF3"/>
    <w:rsid w:val="004059D7"/>
    <w:rsid w:val="0040717B"/>
    <w:rsid w:val="0040750A"/>
    <w:rsid w:val="004078BD"/>
    <w:rsid w:val="00410935"/>
    <w:rsid w:val="00410D38"/>
    <w:rsid w:val="0041103C"/>
    <w:rsid w:val="0041398D"/>
    <w:rsid w:val="00413A6E"/>
    <w:rsid w:val="00413DCF"/>
    <w:rsid w:val="0041445A"/>
    <w:rsid w:val="0041468C"/>
    <w:rsid w:val="00415DB0"/>
    <w:rsid w:val="004168D8"/>
    <w:rsid w:val="004175A3"/>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EBE"/>
    <w:rsid w:val="00451AAA"/>
    <w:rsid w:val="00454A63"/>
    <w:rsid w:val="00456BBD"/>
    <w:rsid w:val="00456E82"/>
    <w:rsid w:val="00457BF4"/>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2E4C"/>
    <w:rsid w:val="00483126"/>
    <w:rsid w:val="00483131"/>
    <w:rsid w:val="00484021"/>
    <w:rsid w:val="00486DD6"/>
    <w:rsid w:val="00490FC6"/>
    <w:rsid w:val="004948DB"/>
    <w:rsid w:val="00494C4C"/>
    <w:rsid w:val="00496351"/>
    <w:rsid w:val="00497810"/>
    <w:rsid w:val="004A0F2B"/>
    <w:rsid w:val="004A17C2"/>
    <w:rsid w:val="004A3256"/>
    <w:rsid w:val="004A355B"/>
    <w:rsid w:val="004A37EF"/>
    <w:rsid w:val="004A3833"/>
    <w:rsid w:val="004A56C8"/>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1D25"/>
    <w:rsid w:val="004C2196"/>
    <w:rsid w:val="004C2926"/>
    <w:rsid w:val="004C4A2E"/>
    <w:rsid w:val="004C4CE2"/>
    <w:rsid w:val="004C4DB3"/>
    <w:rsid w:val="004C4DFA"/>
    <w:rsid w:val="004C6BD1"/>
    <w:rsid w:val="004D04FF"/>
    <w:rsid w:val="004D0EDD"/>
    <w:rsid w:val="004D26FC"/>
    <w:rsid w:val="004D2C5C"/>
    <w:rsid w:val="004D2E16"/>
    <w:rsid w:val="004D4937"/>
    <w:rsid w:val="004E0F76"/>
    <w:rsid w:val="004E1DAE"/>
    <w:rsid w:val="004E210B"/>
    <w:rsid w:val="004E4BA3"/>
    <w:rsid w:val="004E62F4"/>
    <w:rsid w:val="004E646D"/>
    <w:rsid w:val="004E7310"/>
    <w:rsid w:val="004F0F26"/>
    <w:rsid w:val="004F1F1E"/>
    <w:rsid w:val="004F24AC"/>
    <w:rsid w:val="004F4B63"/>
    <w:rsid w:val="004F4DA3"/>
    <w:rsid w:val="004F506B"/>
    <w:rsid w:val="004F6152"/>
    <w:rsid w:val="004F76FA"/>
    <w:rsid w:val="005023A2"/>
    <w:rsid w:val="005028FD"/>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6132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492E"/>
    <w:rsid w:val="00574E2C"/>
    <w:rsid w:val="0057519C"/>
    <w:rsid w:val="0057620D"/>
    <w:rsid w:val="005764E6"/>
    <w:rsid w:val="005764ED"/>
    <w:rsid w:val="00577A1B"/>
    <w:rsid w:val="00577DA2"/>
    <w:rsid w:val="00581D77"/>
    <w:rsid w:val="00583B21"/>
    <w:rsid w:val="005850FF"/>
    <w:rsid w:val="00585DE9"/>
    <w:rsid w:val="005900B9"/>
    <w:rsid w:val="00590E39"/>
    <w:rsid w:val="00591424"/>
    <w:rsid w:val="005917B7"/>
    <w:rsid w:val="00592037"/>
    <w:rsid w:val="00592B90"/>
    <w:rsid w:val="00595174"/>
    <w:rsid w:val="00595EA8"/>
    <w:rsid w:val="005973B7"/>
    <w:rsid w:val="0059742E"/>
    <w:rsid w:val="00597D5A"/>
    <w:rsid w:val="005A076E"/>
    <w:rsid w:val="005A1A6C"/>
    <w:rsid w:val="005A29B7"/>
    <w:rsid w:val="005A3C11"/>
    <w:rsid w:val="005A3FA1"/>
    <w:rsid w:val="005A4507"/>
    <w:rsid w:val="005A46BD"/>
    <w:rsid w:val="005A4948"/>
    <w:rsid w:val="005A5198"/>
    <w:rsid w:val="005B0264"/>
    <w:rsid w:val="005B4768"/>
    <w:rsid w:val="005C033A"/>
    <w:rsid w:val="005C066C"/>
    <w:rsid w:val="005C0760"/>
    <w:rsid w:val="005C2A8B"/>
    <w:rsid w:val="005C39DE"/>
    <w:rsid w:val="005C3E37"/>
    <w:rsid w:val="005C3FCB"/>
    <w:rsid w:val="005C410F"/>
    <w:rsid w:val="005C54C3"/>
    <w:rsid w:val="005C7169"/>
    <w:rsid w:val="005D082A"/>
    <w:rsid w:val="005D1D53"/>
    <w:rsid w:val="005D495D"/>
    <w:rsid w:val="005E0B6F"/>
    <w:rsid w:val="005E2A81"/>
    <w:rsid w:val="005E337F"/>
    <w:rsid w:val="005E4A0B"/>
    <w:rsid w:val="005E64E7"/>
    <w:rsid w:val="005E6846"/>
    <w:rsid w:val="005E6B80"/>
    <w:rsid w:val="005E74B2"/>
    <w:rsid w:val="005E7C94"/>
    <w:rsid w:val="005F1349"/>
    <w:rsid w:val="005F4089"/>
    <w:rsid w:val="005F4BB5"/>
    <w:rsid w:val="005F76A1"/>
    <w:rsid w:val="00601B63"/>
    <w:rsid w:val="006047A2"/>
    <w:rsid w:val="00604BBF"/>
    <w:rsid w:val="00604CE5"/>
    <w:rsid w:val="006100A7"/>
    <w:rsid w:val="00610609"/>
    <w:rsid w:val="00610AC0"/>
    <w:rsid w:val="00610D81"/>
    <w:rsid w:val="00612A33"/>
    <w:rsid w:val="00612C6C"/>
    <w:rsid w:val="006136A6"/>
    <w:rsid w:val="00613994"/>
    <w:rsid w:val="00613B4F"/>
    <w:rsid w:val="0061750F"/>
    <w:rsid w:val="00622B75"/>
    <w:rsid w:val="00625958"/>
    <w:rsid w:val="00631595"/>
    <w:rsid w:val="00634CFC"/>
    <w:rsid w:val="0063519F"/>
    <w:rsid w:val="00635ECA"/>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717"/>
    <w:rsid w:val="0066790E"/>
    <w:rsid w:val="00667989"/>
    <w:rsid w:val="00671693"/>
    <w:rsid w:val="0067632B"/>
    <w:rsid w:val="00676435"/>
    <w:rsid w:val="00676523"/>
    <w:rsid w:val="00676727"/>
    <w:rsid w:val="00676EF9"/>
    <w:rsid w:val="00677719"/>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B98"/>
    <w:rsid w:val="006A19D2"/>
    <w:rsid w:val="006A1E17"/>
    <w:rsid w:val="006A2185"/>
    <w:rsid w:val="006A442B"/>
    <w:rsid w:val="006A4887"/>
    <w:rsid w:val="006A73DE"/>
    <w:rsid w:val="006B13A7"/>
    <w:rsid w:val="006B2D15"/>
    <w:rsid w:val="006B5372"/>
    <w:rsid w:val="006B60FA"/>
    <w:rsid w:val="006C1A33"/>
    <w:rsid w:val="006C216A"/>
    <w:rsid w:val="006C2ADA"/>
    <w:rsid w:val="006C4331"/>
    <w:rsid w:val="006C5C86"/>
    <w:rsid w:val="006C7749"/>
    <w:rsid w:val="006D1C81"/>
    <w:rsid w:val="006D1DD6"/>
    <w:rsid w:val="006D1DE0"/>
    <w:rsid w:val="006D290F"/>
    <w:rsid w:val="006D3A23"/>
    <w:rsid w:val="006D4E80"/>
    <w:rsid w:val="006D7688"/>
    <w:rsid w:val="006E1767"/>
    <w:rsid w:val="006E1BB8"/>
    <w:rsid w:val="006E5FAB"/>
    <w:rsid w:val="006E6E56"/>
    <w:rsid w:val="006F1F52"/>
    <w:rsid w:val="006F1F8A"/>
    <w:rsid w:val="006F2337"/>
    <w:rsid w:val="006F3139"/>
    <w:rsid w:val="006F3B70"/>
    <w:rsid w:val="006F41C4"/>
    <w:rsid w:val="006F5EB8"/>
    <w:rsid w:val="006F680E"/>
    <w:rsid w:val="006F7DC5"/>
    <w:rsid w:val="00700C78"/>
    <w:rsid w:val="0070379B"/>
    <w:rsid w:val="0070770C"/>
    <w:rsid w:val="007107F2"/>
    <w:rsid w:val="007114CE"/>
    <w:rsid w:val="00712934"/>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44CA"/>
    <w:rsid w:val="00746488"/>
    <w:rsid w:val="00746C2E"/>
    <w:rsid w:val="0075032C"/>
    <w:rsid w:val="0075046F"/>
    <w:rsid w:val="007530F5"/>
    <w:rsid w:val="00754448"/>
    <w:rsid w:val="00754DB9"/>
    <w:rsid w:val="0075589B"/>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3962"/>
    <w:rsid w:val="007862E3"/>
    <w:rsid w:val="00787ECD"/>
    <w:rsid w:val="00791DDD"/>
    <w:rsid w:val="00793A2D"/>
    <w:rsid w:val="007943BE"/>
    <w:rsid w:val="00795A51"/>
    <w:rsid w:val="00797286"/>
    <w:rsid w:val="007972D3"/>
    <w:rsid w:val="0079798E"/>
    <w:rsid w:val="00797D9A"/>
    <w:rsid w:val="00797FD5"/>
    <w:rsid w:val="007A08A5"/>
    <w:rsid w:val="007A26AC"/>
    <w:rsid w:val="007A3D8D"/>
    <w:rsid w:val="007A3E2D"/>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D0957"/>
    <w:rsid w:val="007D1312"/>
    <w:rsid w:val="007D1415"/>
    <w:rsid w:val="007D1E41"/>
    <w:rsid w:val="007D31BF"/>
    <w:rsid w:val="007D3AE3"/>
    <w:rsid w:val="007D42AD"/>
    <w:rsid w:val="007D629A"/>
    <w:rsid w:val="007D63F1"/>
    <w:rsid w:val="007D7448"/>
    <w:rsid w:val="007E104F"/>
    <w:rsid w:val="007E15A6"/>
    <w:rsid w:val="007E1EDC"/>
    <w:rsid w:val="007E1FD3"/>
    <w:rsid w:val="007E2082"/>
    <w:rsid w:val="007E2A46"/>
    <w:rsid w:val="007E3DD9"/>
    <w:rsid w:val="007E3F24"/>
    <w:rsid w:val="007E4DA1"/>
    <w:rsid w:val="007E7544"/>
    <w:rsid w:val="007F0338"/>
    <w:rsid w:val="007F0AA6"/>
    <w:rsid w:val="007F0C1D"/>
    <w:rsid w:val="007F328A"/>
    <w:rsid w:val="007F73FB"/>
    <w:rsid w:val="007F7D7A"/>
    <w:rsid w:val="008000C6"/>
    <w:rsid w:val="00800138"/>
    <w:rsid w:val="0080314A"/>
    <w:rsid w:val="008045BD"/>
    <w:rsid w:val="00804D45"/>
    <w:rsid w:val="008052DA"/>
    <w:rsid w:val="00805EC4"/>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A29"/>
    <w:rsid w:val="00827AC4"/>
    <w:rsid w:val="00830077"/>
    <w:rsid w:val="00830D90"/>
    <w:rsid w:val="0083167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27D7"/>
    <w:rsid w:val="00853B0A"/>
    <w:rsid w:val="008545D1"/>
    <w:rsid w:val="0085557C"/>
    <w:rsid w:val="00856069"/>
    <w:rsid w:val="008568A0"/>
    <w:rsid w:val="00857B69"/>
    <w:rsid w:val="008604BA"/>
    <w:rsid w:val="008646C4"/>
    <w:rsid w:val="0086538F"/>
    <w:rsid w:val="0086577B"/>
    <w:rsid w:val="00866279"/>
    <w:rsid w:val="008666D8"/>
    <w:rsid w:val="008676D0"/>
    <w:rsid w:val="008708D6"/>
    <w:rsid w:val="00870ACC"/>
    <w:rsid w:val="00870D88"/>
    <w:rsid w:val="00873E0F"/>
    <w:rsid w:val="00875C2E"/>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58B0"/>
    <w:rsid w:val="00895F7D"/>
    <w:rsid w:val="008A00D6"/>
    <w:rsid w:val="008A0E84"/>
    <w:rsid w:val="008A2391"/>
    <w:rsid w:val="008A2D39"/>
    <w:rsid w:val="008A355C"/>
    <w:rsid w:val="008A6521"/>
    <w:rsid w:val="008A6ACE"/>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CD0"/>
    <w:rsid w:val="008C69F4"/>
    <w:rsid w:val="008C6AA1"/>
    <w:rsid w:val="008C6AEA"/>
    <w:rsid w:val="008C7D05"/>
    <w:rsid w:val="008D0E2B"/>
    <w:rsid w:val="008D2310"/>
    <w:rsid w:val="008D2E16"/>
    <w:rsid w:val="008D3B3E"/>
    <w:rsid w:val="008D3D9E"/>
    <w:rsid w:val="008D4920"/>
    <w:rsid w:val="008D53D2"/>
    <w:rsid w:val="008D5D5C"/>
    <w:rsid w:val="008D6973"/>
    <w:rsid w:val="008D7983"/>
    <w:rsid w:val="008E0464"/>
    <w:rsid w:val="008E171A"/>
    <w:rsid w:val="008E19E4"/>
    <w:rsid w:val="008E28E4"/>
    <w:rsid w:val="008E56BD"/>
    <w:rsid w:val="008E75F5"/>
    <w:rsid w:val="008E7B70"/>
    <w:rsid w:val="008F2189"/>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22A6"/>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971"/>
    <w:rsid w:val="0093143C"/>
    <w:rsid w:val="00932DA3"/>
    <w:rsid w:val="0093345E"/>
    <w:rsid w:val="009370FE"/>
    <w:rsid w:val="00937498"/>
    <w:rsid w:val="00941E29"/>
    <w:rsid w:val="009427AE"/>
    <w:rsid w:val="009441F5"/>
    <w:rsid w:val="00945F80"/>
    <w:rsid w:val="009471C6"/>
    <w:rsid w:val="00951975"/>
    <w:rsid w:val="00951AE1"/>
    <w:rsid w:val="0095244B"/>
    <w:rsid w:val="0095397C"/>
    <w:rsid w:val="009552B5"/>
    <w:rsid w:val="00956E2E"/>
    <w:rsid w:val="00956FC1"/>
    <w:rsid w:val="00957449"/>
    <w:rsid w:val="00961CB4"/>
    <w:rsid w:val="0096213C"/>
    <w:rsid w:val="00964834"/>
    <w:rsid w:val="009660AE"/>
    <w:rsid w:val="00966710"/>
    <w:rsid w:val="00970323"/>
    <w:rsid w:val="00972373"/>
    <w:rsid w:val="00973196"/>
    <w:rsid w:val="00975399"/>
    <w:rsid w:val="009756BB"/>
    <w:rsid w:val="00976C40"/>
    <w:rsid w:val="009809A7"/>
    <w:rsid w:val="00980BD1"/>
    <w:rsid w:val="0098101C"/>
    <w:rsid w:val="009834C7"/>
    <w:rsid w:val="00984A9D"/>
    <w:rsid w:val="0098511E"/>
    <w:rsid w:val="00985475"/>
    <w:rsid w:val="00985D1F"/>
    <w:rsid w:val="009877EF"/>
    <w:rsid w:val="00987877"/>
    <w:rsid w:val="00990EA3"/>
    <w:rsid w:val="009919CC"/>
    <w:rsid w:val="00991DD7"/>
    <w:rsid w:val="0099255F"/>
    <w:rsid w:val="00993839"/>
    <w:rsid w:val="00997182"/>
    <w:rsid w:val="0099768F"/>
    <w:rsid w:val="009A29E6"/>
    <w:rsid w:val="009A2AF6"/>
    <w:rsid w:val="009A3539"/>
    <w:rsid w:val="009A3AB3"/>
    <w:rsid w:val="009A4375"/>
    <w:rsid w:val="009A5647"/>
    <w:rsid w:val="009A56CE"/>
    <w:rsid w:val="009A5877"/>
    <w:rsid w:val="009A667B"/>
    <w:rsid w:val="009B05F4"/>
    <w:rsid w:val="009B34B5"/>
    <w:rsid w:val="009B38E8"/>
    <w:rsid w:val="009B54E3"/>
    <w:rsid w:val="009B552C"/>
    <w:rsid w:val="009B75D7"/>
    <w:rsid w:val="009B7AD7"/>
    <w:rsid w:val="009C056F"/>
    <w:rsid w:val="009C057D"/>
    <w:rsid w:val="009C08E7"/>
    <w:rsid w:val="009C1599"/>
    <w:rsid w:val="009C61EE"/>
    <w:rsid w:val="009D14D0"/>
    <w:rsid w:val="009D3AA0"/>
    <w:rsid w:val="009D3B68"/>
    <w:rsid w:val="009D4249"/>
    <w:rsid w:val="009D4BFD"/>
    <w:rsid w:val="009D55F5"/>
    <w:rsid w:val="009D5D20"/>
    <w:rsid w:val="009E074F"/>
    <w:rsid w:val="009E1F2B"/>
    <w:rsid w:val="009E4332"/>
    <w:rsid w:val="009E464C"/>
    <w:rsid w:val="009E7051"/>
    <w:rsid w:val="009E73E7"/>
    <w:rsid w:val="009E76A5"/>
    <w:rsid w:val="009E7703"/>
    <w:rsid w:val="009E786F"/>
    <w:rsid w:val="009E7B6E"/>
    <w:rsid w:val="009F156D"/>
    <w:rsid w:val="009F26B9"/>
    <w:rsid w:val="009F3B02"/>
    <w:rsid w:val="009F415C"/>
    <w:rsid w:val="009F5040"/>
    <w:rsid w:val="009F533D"/>
    <w:rsid w:val="009F68F2"/>
    <w:rsid w:val="009F6E7E"/>
    <w:rsid w:val="00A00A07"/>
    <w:rsid w:val="00A0635A"/>
    <w:rsid w:val="00A06939"/>
    <w:rsid w:val="00A06EE5"/>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2BC"/>
    <w:rsid w:val="00A3342F"/>
    <w:rsid w:val="00A35DE2"/>
    <w:rsid w:val="00A37CFE"/>
    <w:rsid w:val="00A4048E"/>
    <w:rsid w:val="00A40575"/>
    <w:rsid w:val="00A42D4E"/>
    <w:rsid w:val="00A43511"/>
    <w:rsid w:val="00A444B1"/>
    <w:rsid w:val="00A44A41"/>
    <w:rsid w:val="00A46158"/>
    <w:rsid w:val="00A50D47"/>
    <w:rsid w:val="00A51A7F"/>
    <w:rsid w:val="00A54ED5"/>
    <w:rsid w:val="00A55A24"/>
    <w:rsid w:val="00A57665"/>
    <w:rsid w:val="00A6271E"/>
    <w:rsid w:val="00A62AFB"/>
    <w:rsid w:val="00A6356E"/>
    <w:rsid w:val="00A646EE"/>
    <w:rsid w:val="00A66A0F"/>
    <w:rsid w:val="00A66B44"/>
    <w:rsid w:val="00A710AA"/>
    <w:rsid w:val="00A718E5"/>
    <w:rsid w:val="00A71F9F"/>
    <w:rsid w:val="00A726EC"/>
    <w:rsid w:val="00A73404"/>
    <w:rsid w:val="00A738EA"/>
    <w:rsid w:val="00A74410"/>
    <w:rsid w:val="00A76B2B"/>
    <w:rsid w:val="00A84A31"/>
    <w:rsid w:val="00A861D2"/>
    <w:rsid w:val="00A876AD"/>
    <w:rsid w:val="00A90BE6"/>
    <w:rsid w:val="00A91CE4"/>
    <w:rsid w:val="00A91F68"/>
    <w:rsid w:val="00A96132"/>
    <w:rsid w:val="00A96743"/>
    <w:rsid w:val="00AA0529"/>
    <w:rsid w:val="00AA117C"/>
    <w:rsid w:val="00AA1C41"/>
    <w:rsid w:val="00AA2BF4"/>
    <w:rsid w:val="00AA53B9"/>
    <w:rsid w:val="00AA581D"/>
    <w:rsid w:val="00AA6CFD"/>
    <w:rsid w:val="00AB0264"/>
    <w:rsid w:val="00AB5229"/>
    <w:rsid w:val="00AB5D12"/>
    <w:rsid w:val="00AB6103"/>
    <w:rsid w:val="00AB6283"/>
    <w:rsid w:val="00AB7794"/>
    <w:rsid w:val="00AC03B4"/>
    <w:rsid w:val="00AC0752"/>
    <w:rsid w:val="00AC1347"/>
    <w:rsid w:val="00AC1EC3"/>
    <w:rsid w:val="00AC27D4"/>
    <w:rsid w:val="00AC33D2"/>
    <w:rsid w:val="00AC3B87"/>
    <w:rsid w:val="00AC51B8"/>
    <w:rsid w:val="00AC564B"/>
    <w:rsid w:val="00AC639A"/>
    <w:rsid w:val="00AC74CF"/>
    <w:rsid w:val="00AD0A2E"/>
    <w:rsid w:val="00AD28BB"/>
    <w:rsid w:val="00AD4824"/>
    <w:rsid w:val="00AD6414"/>
    <w:rsid w:val="00AD7FAD"/>
    <w:rsid w:val="00AE045E"/>
    <w:rsid w:val="00AE053C"/>
    <w:rsid w:val="00AE295B"/>
    <w:rsid w:val="00AE414F"/>
    <w:rsid w:val="00AE5261"/>
    <w:rsid w:val="00AE679C"/>
    <w:rsid w:val="00AF0815"/>
    <w:rsid w:val="00AF2227"/>
    <w:rsid w:val="00AF4BD8"/>
    <w:rsid w:val="00AF4C0B"/>
    <w:rsid w:val="00AF5E71"/>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430"/>
    <w:rsid w:val="00B322DA"/>
    <w:rsid w:val="00B3301A"/>
    <w:rsid w:val="00B3425D"/>
    <w:rsid w:val="00B34719"/>
    <w:rsid w:val="00B3578C"/>
    <w:rsid w:val="00B40C8B"/>
    <w:rsid w:val="00B41238"/>
    <w:rsid w:val="00B416F4"/>
    <w:rsid w:val="00B417B4"/>
    <w:rsid w:val="00B4281A"/>
    <w:rsid w:val="00B443EF"/>
    <w:rsid w:val="00B44667"/>
    <w:rsid w:val="00B4667C"/>
    <w:rsid w:val="00B47358"/>
    <w:rsid w:val="00B50E51"/>
    <w:rsid w:val="00B51AF6"/>
    <w:rsid w:val="00B5246F"/>
    <w:rsid w:val="00B524CD"/>
    <w:rsid w:val="00B579A1"/>
    <w:rsid w:val="00B61679"/>
    <w:rsid w:val="00B61AA7"/>
    <w:rsid w:val="00B61F76"/>
    <w:rsid w:val="00B6248B"/>
    <w:rsid w:val="00B62B81"/>
    <w:rsid w:val="00B64798"/>
    <w:rsid w:val="00B674D6"/>
    <w:rsid w:val="00B67AAF"/>
    <w:rsid w:val="00B7066F"/>
    <w:rsid w:val="00B70C91"/>
    <w:rsid w:val="00B72DBD"/>
    <w:rsid w:val="00B72FEB"/>
    <w:rsid w:val="00B73257"/>
    <w:rsid w:val="00B7493D"/>
    <w:rsid w:val="00B7498F"/>
    <w:rsid w:val="00B74A77"/>
    <w:rsid w:val="00B74BFA"/>
    <w:rsid w:val="00B7717D"/>
    <w:rsid w:val="00B8004E"/>
    <w:rsid w:val="00B80712"/>
    <w:rsid w:val="00B80D6D"/>
    <w:rsid w:val="00B819D8"/>
    <w:rsid w:val="00B833F1"/>
    <w:rsid w:val="00B83851"/>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F20"/>
    <w:rsid w:val="00BE0210"/>
    <w:rsid w:val="00BE07EB"/>
    <w:rsid w:val="00BE199C"/>
    <w:rsid w:val="00BE28FF"/>
    <w:rsid w:val="00BE412F"/>
    <w:rsid w:val="00BE62CC"/>
    <w:rsid w:val="00BE6B8A"/>
    <w:rsid w:val="00BF0462"/>
    <w:rsid w:val="00BF0D72"/>
    <w:rsid w:val="00BF3939"/>
    <w:rsid w:val="00BF6C43"/>
    <w:rsid w:val="00C0057E"/>
    <w:rsid w:val="00C01FCF"/>
    <w:rsid w:val="00C02036"/>
    <w:rsid w:val="00C032FD"/>
    <w:rsid w:val="00C050EC"/>
    <w:rsid w:val="00C06B13"/>
    <w:rsid w:val="00C06EFA"/>
    <w:rsid w:val="00C10F02"/>
    <w:rsid w:val="00C11FA9"/>
    <w:rsid w:val="00C17ED7"/>
    <w:rsid w:val="00C2132B"/>
    <w:rsid w:val="00C21F32"/>
    <w:rsid w:val="00C230F9"/>
    <w:rsid w:val="00C252BD"/>
    <w:rsid w:val="00C26716"/>
    <w:rsid w:val="00C26857"/>
    <w:rsid w:val="00C3024F"/>
    <w:rsid w:val="00C323B6"/>
    <w:rsid w:val="00C337C5"/>
    <w:rsid w:val="00C339D4"/>
    <w:rsid w:val="00C34956"/>
    <w:rsid w:val="00C34962"/>
    <w:rsid w:val="00C40250"/>
    <w:rsid w:val="00C406D9"/>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25D5"/>
    <w:rsid w:val="00C825FB"/>
    <w:rsid w:val="00C8662D"/>
    <w:rsid w:val="00C92B71"/>
    <w:rsid w:val="00C956D5"/>
    <w:rsid w:val="00C958E1"/>
    <w:rsid w:val="00C961CB"/>
    <w:rsid w:val="00CA002C"/>
    <w:rsid w:val="00CA0C4D"/>
    <w:rsid w:val="00CA182B"/>
    <w:rsid w:val="00CA1917"/>
    <w:rsid w:val="00CA1CF7"/>
    <w:rsid w:val="00CA3AD6"/>
    <w:rsid w:val="00CA43E2"/>
    <w:rsid w:val="00CA58A2"/>
    <w:rsid w:val="00CA58E8"/>
    <w:rsid w:val="00CA7E4F"/>
    <w:rsid w:val="00CB2316"/>
    <w:rsid w:val="00CB3613"/>
    <w:rsid w:val="00CB43B0"/>
    <w:rsid w:val="00CC01AE"/>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4CAD"/>
    <w:rsid w:val="00CD5021"/>
    <w:rsid w:val="00CD6DF1"/>
    <w:rsid w:val="00CE078B"/>
    <w:rsid w:val="00CE2177"/>
    <w:rsid w:val="00CE2B3D"/>
    <w:rsid w:val="00CE3C8B"/>
    <w:rsid w:val="00CE4500"/>
    <w:rsid w:val="00CE7EFD"/>
    <w:rsid w:val="00CF08B4"/>
    <w:rsid w:val="00CF0A4F"/>
    <w:rsid w:val="00CF1B8D"/>
    <w:rsid w:val="00CF3D5E"/>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21B7D"/>
    <w:rsid w:val="00D223C8"/>
    <w:rsid w:val="00D225BD"/>
    <w:rsid w:val="00D25E7E"/>
    <w:rsid w:val="00D26521"/>
    <w:rsid w:val="00D269D1"/>
    <w:rsid w:val="00D26FEA"/>
    <w:rsid w:val="00D271A6"/>
    <w:rsid w:val="00D27410"/>
    <w:rsid w:val="00D27715"/>
    <w:rsid w:val="00D31BC8"/>
    <w:rsid w:val="00D32277"/>
    <w:rsid w:val="00D32471"/>
    <w:rsid w:val="00D35353"/>
    <w:rsid w:val="00D357EC"/>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60FA4"/>
    <w:rsid w:val="00D6145B"/>
    <w:rsid w:val="00D61B38"/>
    <w:rsid w:val="00D61B83"/>
    <w:rsid w:val="00D61C5E"/>
    <w:rsid w:val="00D623DA"/>
    <w:rsid w:val="00D6252F"/>
    <w:rsid w:val="00D626D9"/>
    <w:rsid w:val="00D6388E"/>
    <w:rsid w:val="00D63D10"/>
    <w:rsid w:val="00D63EC3"/>
    <w:rsid w:val="00D64624"/>
    <w:rsid w:val="00D65DA3"/>
    <w:rsid w:val="00D662A8"/>
    <w:rsid w:val="00D6754E"/>
    <w:rsid w:val="00D7076A"/>
    <w:rsid w:val="00D72173"/>
    <w:rsid w:val="00D747F6"/>
    <w:rsid w:val="00D75CB5"/>
    <w:rsid w:val="00D76F5E"/>
    <w:rsid w:val="00D81E0E"/>
    <w:rsid w:val="00D83D31"/>
    <w:rsid w:val="00D86196"/>
    <w:rsid w:val="00D86B65"/>
    <w:rsid w:val="00D8725F"/>
    <w:rsid w:val="00D87F0D"/>
    <w:rsid w:val="00D91336"/>
    <w:rsid w:val="00D938FC"/>
    <w:rsid w:val="00D940B0"/>
    <w:rsid w:val="00D94FAA"/>
    <w:rsid w:val="00D96FA6"/>
    <w:rsid w:val="00DA059A"/>
    <w:rsid w:val="00DA06B7"/>
    <w:rsid w:val="00DA1312"/>
    <w:rsid w:val="00DA1629"/>
    <w:rsid w:val="00DA206B"/>
    <w:rsid w:val="00DA3F50"/>
    <w:rsid w:val="00DA662E"/>
    <w:rsid w:val="00DA7497"/>
    <w:rsid w:val="00DA7CED"/>
    <w:rsid w:val="00DB1325"/>
    <w:rsid w:val="00DB1963"/>
    <w:rsid w:val="00DB1F54"/>
    <w:rsid w:val="00DB25AA"/>
    <w:rsid w:val="00DB2F02"/>
    <w:rsid w:val="00DB32F6"/>
    <w:rsid w:val="00DB6416"/>
    <w:rsid w:val="00DB7FAD"/>
    <w:rsid w:val="00DC23B9"/>
    <w:rsid w:val="00DC2B7F"/>
    <w:rsid w:val="00DC3831"/>
    <w:rsid w:val="00DC57E4"/>
    <w:rsid w:val="00DC6614"/>
    <w:rsid w:val="00DD0404"/>
    <w:rsid w:val="00DD08AD"/>
    <w:rsid w:val="00DD137B"/>
    <w:rsid w:val="00DD1568"/>
    <w:rsid w:val="00DD15DF"/>
    <w:rsid w:val="00DD1D07"/>
    <w:rsid w:val="00DD36DE"/>
    <w:rsid w:val="00DD3DB9"/>
    <w:rsid w:val="00DD6244"/>
    <w:rsid w:val="00DE631F"/>
    <w:rsid w:val="00DE706A"/>
    <w:rsid w:val="00DF0644"/>
    <w:rsid w:val="00DF2E30"/>
    <w:rsid w:val="00DF3878"/>
    <w:rsid w:val="00DF3E97"/>
    <w:rsid w:val="00DF7A95"/>
    <w:rsid w:val="00E00C01"/>
    <w:rsid w:val="00E01386"/>
    <w:rsid w:val="00E01E13"/>
    <w:rsid w:val="00E01F24"/>
    <w:rsid w:val="00E047A1"/>
    <w:rsid w:val="00E05479"/>
    <w:rsid w:val="00E07780"/>
    <w:rsid w:val="00E07A86"/>
    <w:rsid w:val="00E07E9C"/>
    <w:rsid w:val="00E104E0"/>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4042B"/>
    <w:rsid w:val="00E43EE6"/>
    <w:rsid w:val="00E4455A"/>
    <w:rsid w:val="00E472D9"/>
    <w:rsid w:val="00E478C3"/>
    <w:rsid w:val="00E47BFA"/>
    <w:rsid w:val="00E47EAE"/>
    <w:rsid w:val="00E51CF6"/>
    <w:rsid w:val="00E53F33"/>
    <w:rsid w:val="00E561B8"/>
    <w:rsid w:val="00E606F9"/>
    <w:rsid w:val="00E63496"/>
    <w:rsid w:val="00E6740D"/>
    <w:rsid w:val="00E80485"/>
    <w:rsid w:val="00E81D81"/>
    <w:rsid w:val="00E82007"/>
    <w:rsid w:val="00E82056"/>
    <w:rsid w:val="00E82181"/>
    <w:rsid w:val="00E83286"/>
    <w:rsid w:val="00E8461C"/>
    <w:rsid w:val="00E85094"/>
    <w:rsid w:val="00E85593"/>
    <w:rsid w:val="00E86556"/>
    <w:rsid w:val="00E878D9"/>
    <w:rsid w:val="00E901D4"/>
    <w:rsid w:val="00E91225"/>
    <w:rsid w:val="00E9136D"/>
    <w:rsid w:val="00E92AA9"/>
    <w:rsid w:val="00E92F26"/>
    <w:rsid w:val="00E935C4"/>
    <w:rsid w:val="00E93ABC"/>
    <w:rsid w:val="00E9790D"/>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F4C"/>
    <w:rsid w:val="00F00515"/>
    <w:rsid w:val="00F01E63"/>
    <w:rsid w:val="00F042EE"/>
    <w:rsid w:val="00F048F8"/>
    <w:rsid w:val="00F055BA"/>
    <w:rsid w:val="00F066D1"/>
    <w:rsid w:val="00F067F4"/>
    <w:rsid w:val="00F06C5C"/>
    <w:rsid w:val="00F06D4A"/>
    <w:rsid w:val="00F07DCF"/>
    <w:rsid w:val="00F07E3C"/>
    <w:rsid w:val="00F109E9"/>
    <w:rsid w:val="00F135E1"/>
    <w:rsid w:val="00F14CB6"/>
    <w:rsid w:val="00F167E2"/>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6436"/>
    <w:rsid w:val="00F671DF"/>
    <w:rsid w:val="00F733D4"/>
    <w:rsid w:val="00F76537"/>
    <w:rsid w:val="00F76A92"/>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5506"/>
    <w:rsid w:val="00FC03DC"/>
    <w:rsid w:val="00FC07A8"/>
    <w:rsid w:val="00FC1070"/>
    <w:rsid w:val="00FC2078"/>
    <w:rsid w:val="00FC31CB"/>
    <w:rsid w:val="00FC3358"/>
    <w:rsid w:val="00FC5AFB"/>
    <w:rsid w:val="00FC6E03"/>
    <w:rsid w:val="00FC7695"/>
    <w:rsid w:val="00FD0083"/>
    <w:rsid w:val="00FD00B4"/>
    <w:rsid w:val="00FD01D5"/>
    <w:rsid w:val="00FD04B9"/>
    <w:rsid w:val="00FD06EE"/>
    <w:rsid w:val="00FD0943"/>
    <w:rsid w:val="00FD1599"/>
    <w:rsid w:val="00FD2972"/>
    <w:rsid w:val="00FD2A87"/>
    <w:rsid w:val="00FD415B"/>
    <w:rsid w:val="00FD4673"/>
    <w:rsid w:val="00FE0ED0"/>
    <w:rsid w:val="00FE14AF"/>
    <w:rsid w:val="00FE2A44"/>
    <w:rsid w:val="00FE2CBE"/>
    <w:rsid w:val="00FE3AB7"/>
    <w:rsid w:val="00FE55CF"/>
    <w:rsid w:val="00FE5F3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20"/>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20"/>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swift.com/mystandards/standardsPractices/marketPracticeDetail.xhtml?album=mp%2Fmt%2F_u1uc8MqFEeGmvs_-DjfUj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2.swift.com/mystandards/standardsPractices/marketPracticeDetail.xhtml?album=mp%2Fmt%2F_u1uc8MqFEeGmvs_-DjfUj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cques.littre@swif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hristine.strandberg@seb.se"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ernard.lenelle@clearstream.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C5A6-13A6-4881-AB25-F3761064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1448</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9430</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21</cp:revision>
  <cp:lastPrinted>2012-05-10T13:07:00Z</cp:lastPrinted>
  <dcterms:created xsi:type="dcterms:W3CDTF">2012-12-19T11:48:00Z</dcterms:created>
  <dcterms:modified xsi:type="dcterms:W3CDTF">2012-12-19T17:02:00Z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