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50ECE" w:rsidP="00592037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AF1355" wp14:editId="3B856631">
            <wp:simplePos x="0" y="0"/>
            <wp:positionH relativeFrom="column">
              <wp:posOffset>2184400</wp:posOffset>
            </wp:positionH>
            <wp:positionV relativeFrom="paragraph">
              <wp:posOffset>-342900</wp:posOffset>
            </wp:positionV>
            <wp:extent cx="3759200" cy="2819400"/>
            <wp:effectExtent l="0" t="0" r="0" b="0"/>
            <wp:wrapTopAndBottom/>
            <wp:docPr id="32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Pr="007A69C8" w:rsidRDefault="003562A2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738EA" w:rsidRPr="007A69C8" w:rsidRDefault="00A738EA" w:rsidP="00A738EA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738EA" w:rsidRPr="007A69C8" w:rsidRDefault="00A738EA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738EA" w:rsidRPr="007A69C8" w:rsidRDefault="00D87979" w:rsidP="00A738EA">
      <w:pPr>
        <w:pStyle w:val="Header"/>
        <w:rPr>
          <w:lang w:val="en-GB"/>
        </w:rPr>
      </w:pPr>
      <w:r>
        <w:rPr>
          <w:lang w:val="en-GB"/>
        </w:rPr>
        <w:t>24</w:t>
      </w:r>
      <w:r w:rsidR="00A738EA">
        <w:rPr>
          <w:lang w:val="en-GB"/>
        </w:rPr>
        <w:t xml:space="preserve"> </w:t>
      </w:r>
      <w:r>
        <w:rPr>
          <w:lang w:val="en-GB"/>
        </w:rPr>
        <w:t>January 2013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D87979" w:rsidP="00141100">
      <w:pPr>
        <w:tabs>
          <w:tab w:val="left" w:pos="3690"/>
        </w:tabs>
        <w:rPr>
          <w:lang w:val="en-GB"/>
        </w:rPr>
        <w:sectPr w:rsidR="00AB6103" w:rsidRPr="00C10F02">
          <w:footerReference w:type="even" r:id="rId10"/>
          <w:footerReference w:type="default" r:id="rId11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1" w:name="_Toc54501830"/>
      <w:r>
        <w:rPr>
          <w:lang w:val="en-GB"/>
        </w:rPr>
        <w:t>Draft</w:t>
      </w:r>
      <w:r w:rsidR="00BB670F" w:rsidRPr="00C10F02">
        <w:rPr>
          <w:lang w:val="en-GB"/>
        </w:rPr>
        <w:t xml:space="preserve"> </w:t>
      </w:r>
      <w:proofErr w:type="gramStart"/>
      <w:r w:rsidR="00BB670F" w:rsidRPr="00C10F02">
        <w:rPr>
          <w:lang w:val="en-GB"/>
        </w:rPr>
        <w:t xml:space="preserve">Version  </w:t>
      </w:r>
      <w:r w:rsidR="0076568D" w:rsidRPr="00C10F02">
        <w:rPr>
          <w:lang w:val="en-GB"/>
        </w:rPr>
        <w:t>v</w:t>
      </w:r>
      <w:r>
        <w:rPr>
          <w:lang w:val="en-GB"/>
        </w:rPr>
        <w:t>0.1</w:t>
      </w:r>
      <w:proofErr w:type="gramEnd"/>
      <w:r w:rsidR="008179FB" w:rsidRPr="00C10F02">
        <w:rPr>
          <w:lang w:val="en-GB"/>
        </w:rPr>
        <w:t xml:space="preserve"> – </w:t>
      </w:r>
      <w:r w:rsidR="007779B6">
        <w:rPr>
          <w:lang w:val="en-GB"/>
        </w:rPr>
        <w:t>January 31</w:t>
      </w:r>
      <w:r>
        <w:rPr>
          <w:lang w:val="en-GB"/>
        </w:rPr>
        <w:t>, 2013</w:t>
      </w:r>
    </w:p>
    <w:p w:rsidR="00AB6103" w:rsidRDefault="00E81D81" w:rsidP="00592037">
      <w:pPr>
        <w:pStyle w:val="Title1"/>
      </w:pPr>
      <w:r>
        <w:lastRenderedPageBreak/>
        <w:t>Table of Contents</w:t>
      </w:r>
    </w:p>
    <w:p w:rsidR="009C2EB3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rPr>
          <w:bCs w:val="0"/>
        </w:rPr>
        <w:fldChar w:fldCharType="begin"/>
      </w:r>
      <w:r w:rsidR="00A718E5">
        <w:rPr>
          <w:bCs w:val="0"/>
        </w:rPr>
        <w:instrText xml:space="preserve"> TOC \o "1-1" \h \z \u </w:instrText>
      </w:r>
      <w:r>
        <w:rPr>
          <w:bCs w:val="0"/>
        </w:rPr>
        <w:fldChar w:fldCharType="separate"/>
      </w:r>
      <w:hyperlink w:anchor="_Toc347397232" w:history="1">
        <w:r w:rsidR="009C2EB3" w:rsidRPr="00854820">
          <w:rPr>
            <w:rStyle w:val="Hyperlink"/>
          </w:rPr>
          <w:t>1.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  <w:lang w:eastAsia="en-GB"/>
          </w:rPr>
          <w:t>Approval of December Conf. Call Minutes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_Toc347397232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3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33" w:history="1">
        <w:r w:rsidR="009C2EB3" w:rsidRPr="00854820">
          <w:rPr>
            <w:rStyle w:val="Hyperlink"/>
          </w:rPr>
          <w:t>2.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</w:rPr>
          <w:t>CA 203 – SR2013 MP Updates – Actions follow-up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_Toc347397233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3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34" w:history="1">
        <w:r w:rsidR="009C2EB3" w:rsidRPr="00854820">
          <w:rPr>
            <w:rStyle w:val="Hyperlink"/>
          </w:rPr>
          <w:t>3.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</w:rPr>
          <w:t>CA 239 – GMP Part 1 - SR2013 Maintenance WG follow up items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_Toc347397234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5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35" w:history="1">
        <w:r w:rsidR="009C2EB3" w:rsidRPr="00854820">
          <w:rPr>
            <w:rStyle w:val="Hyperlink"/>
          </w:rPr>
          <w:t>4.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</w:rPr>
          <w:t>CA 167 - Consent Events /+ Schemes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_Toc347397235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5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36" w:history="1">
        <w:r w:rsidR="009C2EB3" w:rsidRPr="00854820">
          <w:rPr>
            <w:rStyle w:val="Hyperlink"/>
          </w:rPr>
          <w:t>5.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</w:rPr>
          <w:t>CA 244 – DVCA GRSS and NETT Rates in Percentage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_Toc347397236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6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37" w:history="1">
        <w:r w:rsidR="009C2EB3" w:rsidRPr="00854820">
          <w:rPr>
            <w:rStyle w:val="Hyperlink"/>
          </w:rPr>
          <w:t>6.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</w:rPr>
          <w:t>CA 245 – Capital Increase Offered to Public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_Toc347397237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6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38" w:history="1">
        <w:r w:rsidR="009C2EB3" w:rsidRPr="00854820">
          <w:rPr>
            <w:rStyle w:val="Hyperlink"/>
          </w:rPr>
          <w:t>7.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  <w:lang w:val="en-GB"/>
          </w:rPr>
          <w:t xml:space="preserve">CA 246 - </w:t>
        </w:r>
        <w:r w:rsidR="009C2EB3" w:rsidRPr="00854820">
          <w:rPr>
            <w:rStyle w:val="Hyperlink"/>
          </w:rPr>
          <w:t>Processing Status INFO (25D::PROC//INFO)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_Toc347397238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6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39" w:history="1">
        <w:r w:rsidR="009C2EB3" w:rsidRPr="00854820">
          <w:rPr>
            <w:rStyle w:val="Hyperlink"/>
            <w:lang w:val="fr-BE"/>
          </w:rPr>
          <w:t>8.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  <w:lang w:val="fr-BE"/>
          </w:rPr>
          <w:t>TA - Tax Subgroup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_Toc347397239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6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40" w:history="1">
        <w:r w:rsidR="009C2EB3" w:rsidRPr="00854820">
          <w:rPr>
            <w:rStyle w:val="Hyperlink"/>
            <w:lang w:val="fr-BE"/>
          </w:rPr>
          <w:t>9.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  <w:lang w:val="fr-BE"/>
          </w:rPr>
          <w:t>PV - PV Subgroup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_Toc347397240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6</w:t>
        </w:r>
        <w:r w:rsidR="009C2EB3">
          <w:rPr>
            <w:webHidden/>
          </w:rPr>
          <w:fldChar w:fldCharType="end"/>
        </w:r>
      </w:hyperlink>
    </w:p>
    <w:p w:rsidR="009C2EB3" w:rsidRDefault="00930DD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47397241" w:history="1">
        <w:r w:rsidR="009C2EB3" w:rsidRPr="00854820">
          <w:rPr>
            <w:rStyle w:val="Hyperlink"/>
          </w:rPr>
          <w:t>10.</w:t>
        </w:r>
        <w:r w:rsidR="009C2EB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9C2EB3" w:rsidRPr="00854820">
          <w:rPr>
            <w:rStyle w:val="Hyperlink"/>
          </w:rPr>
          <w:t>AOB</w:t>
        </w:r>
        <w:r w:rsidR="009C2EB3">
          <w:rPr>
            <w:webHidden/>
          </w:rPr>
          <w:tab/>
        </w:r>
        <w:r w:rsidR="009C2EB3">
          <w:rPr>
            <w:webHidden/>
          </w:rPr>
          <w:fldChar w:fldCharType="begin"/>
        </w:r>
        <w:r w:rsidR="009C2EB3">
          <w:rPr>
            <w:webHidden/>
          </w:rPr>
          <w:instrText xml:space="preserve"> PAGEREF _Toc347397241 \h </w:instrText>
        </w:r>
        <w:r w:rsidR="009C2EB3">
          <w:rPr>
            <w:webHidden/>
          </w:rPr>
        </w:r>
        <w:r w:rsidR="009C2EB3">
          <w:rPr>
            <w:webHidden/>
          </w:rPr>
          <w:fldChar w:fldCharType="separate"/>
        </w:r>
        <w:r w:rsidR="009C2EB3">
          <w:rPr>
            <w:webHidden/>
          </w:rPr>
          <w:t>7</w:t>
        </w:r>
        <w:r w:rsidR="009C2EB3">
          <w:rPr>
            <w:webHidden/>
          </w:rPr>
          <w:fldChar w:fldCharType="end"/>
        </w:r>
      </w:hyperlink>
    </w:p>
    <w:p w:rsidR="00AB6103" w:rsidRDefault="00EB51C4" w:rsidP="00A718E5">
      <w:pPr>
        <w:pStyle w:val="Title1"/>
        <w:tabs>
          <w:tab w:val="left" w:pos="540"/>
        </w:tabs>
        <w:ind w:left="540" w:hanging="540"/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  <w:r w:rsidR="00AB6103" w:rsidRPr="007A69C8">
        <w:br w:type="page"/>
      </w:r>
      <w:bookmarkStart w:id="2" w:name="OLE_LINK1"/>
      <w:bookmarkStart w:id="3" w:name="OLE_LINK2"/>
      <w:r w:rsidR="00AB6103" w:rsidRPr="00C11FA9">
        <w:lastRenderedPageBreak/>
        <w:t>Attendees</w:t>
      </w:r>
      <w:bookmarkEnd w:id="1"/>
    </w:p>
    <w:tbl>
      <w:tblPr>
        <w:tblW w:w="4987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4"/>
        <w:gridCol w:w="1291"/>
        <w:gridCol w:w="647"/>
        <w:gridCol w:w="1291"/>
        <w:gridCol w:w="1900"/>
        <w:gridCol w:w="3182"/>
      </w:tblGrid>
      <w:tr w:rsidR="00FC31CB" w:rsidRPr="00ED35A1" w:rsidTr="001E0FF9"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Country</w:t>
            </w:r>
          </w:p>
        </w:tc>
        <w:tc>
          <w:tcPr>
            <w:tcW w:w="343" w:type="pct"/>
            <w:shd w:val="clear" w:color="auto" w:fill="CCCCCC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</w:p>
        </w:tc>
        <w:tc>
          <w:tcPr>
            <w:tcW w:w="685" w:type="pct"/>
            <w:shd w:val="clear" w:color="auto" w:fill="CCCCCC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008" w:type="pct"/>
            <w:shd w:val="clear" w:color="auto" w:fill="CCCCCC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1688" w:type="pct"/>
            <w:shd w:val="clear" w:color="auto" w:fill="CCCCCC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</w:tr>
      <w:tr w:rsidR="00550DB3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Veronique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E92CC6">
              <w:rPr>
                <w:color w:val="000000"/>
              </w:rPr>
              <w:t>Peeters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BNY Mellon</w:t>
            </w:r>
          </w:p>
        </w:tc>
      </w:tr>
      <w:tr w:rsidR="00D96FA6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FA6" w:rsidRPr="00E92CC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6FA6" w:rsidRPr="00E92CC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D96FA6" w:rsidRPr="00E92CC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D96FA6" w:rsidRPr="00E92CC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D96FA6" w:rsidRPr="00E92CC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Blumer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D96FA6" w:rsidRPr="00E92CC6" w:rsidRDefault="009220A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Credit Suisse</w:t>
            </w:r>
          </w:p>
        </w:tc>
      </w:tr>
      <w:tr w:rsidR="00550DB3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FI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Rask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Nordea Bank Norway </w:t>
            </w:r>
          </w:p>
        </w:tc>
      </w:tr>
      <w:tr w:rsidR="007E1B7E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Yek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Ling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HSBC</w:t>
            </w:r>
          </w:p>
        </w:tc>
      </w:tr>
      <w:tr w:rsidR="00550DB3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JP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Ichiro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Yamamoto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Mizuho Corporate Bank</w:t>
            </w:r>
          </w:p>
        </w:tc>
      </w:tr>
      <w:tr w:rsidR="00550DB3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LU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Lenelle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Clearstream</w:t>
            </w:r>
          </w:p>
        </w:tc>
      </w:tr>
      <w:tr w:rsidR="00AB3C29" w:rsidRPr="00E92CC6" w:rsidTr="0009689B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3C29" w:rsidRPr="00E92CC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3C29" w:rsidRPr="00E92CC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MDPUG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B3C29" w:rsidRPr="00E92CC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B3C29" w:rsidRPr="00E92CC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AB3C29" w:rsidRPr="00E92CC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Hinds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AB3C29" w:rsidRPr="00E92CC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MDPUG / Interactive Data</w:t>
            </w:r>
          </w:p>
        </w:tc>
      </w:tr>
      <w:tr w:rsidR="007E1B7E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286D76" w:rsidP="007E1B7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MD</w:t>
            </w:r>
            <w:r w:rsidR="007E1B7E"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PUG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7E1B7E" w:rsidRPr="00E92CC6" w:rsidRDefault="00286D7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7E1B7E" w:rsidRPr="00E92CC6" w:rsidRDefault="00286D76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E92CC6">
              <w:rPr>
                <w:color w:val="000000"/>
              </w:rPr>
              <w:t>Laura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7E1B7E" w:rsidRPr="00E92CC6" w:rsidRDefault="00286D76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E92CC6">
              <w:rPr>
                <w:color w:val="000000"/>
              </w:rPr>
              <w:t>Fuller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7E1B7E" w:rsidRPr="00E92CC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E92CC6">
              <w:rPr>
                <w:color w:val="000000"/>
              </w:rPr>
              <w:t>Telekurs</w:t>
            </w:r>
            <w:proofErr w:type="spellEnd"/>
          </w:p>
        </w:tc>
      </w:tr>
      <w:tr w:rsidR="007E1B7E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B7E" w:rsidRPr="00E92CC6" w:rsidRDefault="00AB3C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7E1B7E" w:rsidRPr="00E92CC6" w:rsidRDefault="00AB3C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Mr. 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7E1B7E" w:rsidRPr="00E92CC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E92CC6">
              <w:rPr>
                <w:color w:val="000000"/>
              </w:rPr>
              <w:t>Alexander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7E1B7E" w:rsidRPr="00E92CC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E92CC6">
              <w:rPr>
                <w:color w:val="000000"/>
              </w:rPr>
              <w:t>Wathne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7E1B7E" w:rsidRPr="00E92CC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E92CC6">
              <w:rPr>
                <w:color w:val="000000"/>
              </w:rPr>
              <w:t>Nordea</w:t>
            </w:r>
            <w:proofErr w:type="spellEnd"/>
          </w:p>
        </w:tc>
      </w:tr>
      <w:tr w:rsidR="00550DB3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E92CC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E92CC6">
              <w:rPr>
                <w:color w:val="000000"/>
              </w:rPr>
              <w:t>Hans-</w:t>
            </w:r>
            <w:r w:rsidR="001E0FF9" w:rsidRPr="00E92CC6">
              <w:rPr>
                <w:color w:val="000000"/>
              </w:rPr>
              <w:t>Martin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E92CC6" w:rsidRDefault="001E0FF9" w:rsidP="00550DB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E92CC6">
              <w:rPr>
                <w:color w:val="000000"/>
              </w:rPr>
              <w:t>Aulie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E92CC6" w:rsidRDefault="001E0FF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E92CC6">
              <w:rPr>
                <w:color w:val="000000"/>
              </w:rPr>
              <w:t>DNB</w:t>
            </w:r>
          </w:p>
        </w:tc>
      </w:tr>
      <w:tr w:rsidR="00550DB3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RU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Solovyeva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NATIONAL SETTLEMENT DEPOSITORY MOSCOW RUSSIA (MICURUMM)</w:t>
            </w:r>
          </w:p>
        </w:tc>
      </w:tr>
      <w:tr w:rsidR="00550DB3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Strandberg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SEB</w:t>
            </w:r>
          </w:p>
        </w:tc>
      </w:tr>
      <w:tr w:rsidR="00550DB3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UK &amp; IE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Mariangela</w:t>
            </w:r>
            <w:proofErr w:type="spellEnd"/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BNP Paribas</w:t>
            </w:r>
          </w:p>
        </w:tc>
      </w:tr>
      <w:tr w:rsidR="009220AE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20AE" w:rsidRPr="00E92CC6" w:rsidRDefault="009220A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20AE" w:rsidRPr="00E92CC6" w:rsidRDefault="009220A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XS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9220AE" w:rsidRPr="00E92CC6" w:rsidRDefault="009220AE" w:rsidP="009220A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9220AE" w:rsidRPr="00E92CC6" w:rsidRDefault="009220A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Delphine</w:t>
            </w:r>
            <w:proofErr w:type="spellEnd"/>
          </w:p>
        </w:tc>
        <w:tc>
          <w:tcPr>
            <w:tcW w:w="1008" w:type="pct"/>
            <w:shd w:val="clear" w:color="auto" w:fill="FFFFFF"/>
            <w:vAlign w:val="bottom"/>
          </w:tcPr>
          <w:p w:rsidR="009220AE" w:rsidRPr="00E92CC6" w:rsidRDefault="009220A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Haillez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9220AE" w:rsidRPr="00E92CC6" w:rsidRDefault="009220A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Euroclear</w:t>
            </w:r>
            <w:proofErr w:type="spellEnd"/>
          </w:p>
        </w:tc>
      </w:tr>
      <w:tr w:rsidR="00AB3C29" w:rsidRPr="00E92CC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3C29" w:rsidRPr="00E92CC6" w:rsidRDefault="00AB3C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3C29" w:rsidRPr="00E92CC6" w:rsidRDefault="00AB3C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B3C29" w:rsidRPr="00E92CC6" w:rsidRDefault="00AB3C29" w:rsidP="009220A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B3C29" w:rsidRPr="00E92CC6" w:rsidRDefault="00AB3C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Sanjeev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AB3C29" w:rsidRPr="00E92CC6" w:rsidRDefault="00914100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Jayram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AB3C29" w:rsidRPr="00E92CC6" w:rsidRDefault="00914100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First National Bank</w:t>
            </w:r>
          </w:p>
        </w:tc>
      </w:tr>
      <w:tr w:rsidR="00550DB3" w:rsidRPr="00ED35A1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Facilitator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Jacques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Littré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SWIFT</w:t>
            </w:r>
          </w:p>
        </w:tc>
      </w:tr>
      <w:bookmarkEnd w:id="2"/>
      <w:bookmarkEnd w:id="3"/>
    </w:tbl>
    <w:p w:rsidR="00550DB3" w:rsidRDefault="00550DB3" w:rsidP="003D56C9">
      <w:pPr>
        <w:rPr>
          <w:b/>
          <w:u w:val="single"/>
        </w:rPr>
      </w:pPr>
    </w:p>
    <w:p w:rsidR="003D56C9" w:rsidRPr="009119AB" w:rsidRDefault="003D56C9" w:rsidP="003D56C9">
      <w:pPr>
        <w:rPr>
          <w:lang w:val="en-GB"/>
        </w:rPr>
      </w:pPr>
      <w:r w:rsidRPr="009119AB">
        <w:rPr>
          <w:b/>
          <w:u w:val="single"/>
          <w:lang w:val="en-GB"/>
        </w:rPr>
        <w:t>Excused</w:t>
      </w:r>
      <w:r w:rsidR="00FC31CB" w:rsidRPr="009119AB">
        <w:rPr>
          <w:lang w:val="en-GB"/>
        </w:rPr>
        <w:t xml:space="preserve">: </w:t>
      </w:r>
      <w:proofErr w:type="spellStart"/>
      <w:r w:rsidR="009119AB" w:rsidRPr="009119AB">
        <w:rPr>
          <w:lang w:val="en-GB"/>
        </w:rPr>
        <w:t>Sonda</w:t>
      </w:r>
      <w:proofErr w:type="spellEnd"/>
      <w:r w:rsidR="009119AB" w:rsidRPr="009119AB">
        <w:rPr>
          <w:lang w:val="en-GB"/>
        </w:rPr>
        <w:t xml:space="preserve"> </w:t>
      </w:r>
      <w:proofErr w:type="spellStart"/>
      <w:r w:rsidR="009119AB" w:rsidRPr="009119AB">
        <w:rPr>
          <w:lang w:val="en-GB"/>
        </w:rPr>
        <w:t>Pimental</w:t>
      </w:r>
      <w:proofErr w:type="spellEnd"/>
      <w:r w:rsidR="009119AB" w:rsidRPr="009119AB">
        <w:rPr>
          <w:lang w:val="en-GB"/>
        </w:rPr>
        <w:t xml:space="preserve"> (US)</w:t>
      </w:r>
      <w:r w:rsidR="004861AE">
        <w:rPr>
          <w:lang w:val="en-GB"/>
        </w:rPr>
        <w:t xml:space="preserve">, </w:t>
      </w:r>
      <w:r w:rsidR="009119AB" w:rsidRPr="009119AB">
        <w:rPr>
          <w:lang w:val="en-GB"/>
        </w:rPr>
        <w:t xml:space="preserve">Matthew Middleton (UK), Karin </w:t>
      </w:r>
      <w:proofErr w:type="spellStart"/>
      <w:r w:rsidR="009119AB" w:rsidRPr="009119AB">
        <w:rPr>
          <w:lang w:val="en-GB"/>
        </w:rPr>
        <w:t>Wachter</w:t>
      </w:r>
      <w:proofErr w:type="spellEnd"/>
      <w:r w:rsidR="009119AB" w:rsidRPr="009119AB">
        <w:rPr>
          <w:lang w:val="en-GB"/>
        </w:rPr>
        <w:t xml:space="preserve"> </w:t>
      </w:r>
      <w:r w:rsidR="004861AE">
        <w:rPr>
          <w:lang w:val="en-GB"/>
        </w:rPr>
        <w:t xml:space="preserve">(AT), </w:t>
      </w:r>
      <w:proofErr w:type="spellStart"/>
      <w:proofErr w:type="gramStart"/>
      <w:r w:rsidR="004861AE">
        <w:rPr>
          <w:lang w:val="en-GB"/>
        </w:rPr>
        <w:t>Kimchi</w:t>
      </w:r>
      <w:proofErr w:type="spellEnd"/>
      <w:proofErr w:type="gramEnd"/>
      <w:r w:rsidR="004861AE">
        <w:rPr>
          <w:lang w:val="en-GB"/>
        </w:rPr>
        <w:t xml:space="preserve"> </w:t>
      </w:r>
      <w:proofErr w:type="spellStart"/>
      <w:r w:rsidR="004861AE">
        <w:rPr>
          <w:lang w:val="en-GB"/>
        </w:rPr>
        <w:t>Phungtran</w:t>
      </w:r>
      <w:proofErr w:type="spellEnd"/>
      <w:r w:rsidR="004861AE">
        <w:rPr>
          <w:lang w:val="en-GB"/>
        </w:rPr>
        <w:t xml:space="preserve"> (FR)</w:t>
      </w:r>
    </w:p>
    <w:p w:rsidR="004B2F86" w:rsidRDefault="004B2F86" w:rsidP="00651EB7">
      <w:pPr>
        <w:pStyle w:val="Heading1"/>
      </w:pPr>
      <w:bookmarkStart w:id="4" w:name="_Toc347397232"/>
      <w:bookmarkStart w:id="5" w:name="OLE_LINK5"/>
      <w:bookmarkStart w:id="6" w:name="OLE_LINK8"/>
      <w:r>
        <w:rPr>
          <w:lang w:eastAsia="en-GB"/>
        </w:rPr>
        <w:t xml:space="preserve">Approval of </w:t>
      </w:r>
      <w:r w:rsidR="00465D09">
        <w:rPr>
          <w:lang w:eastAsia="en-GB"/>
        </w:rPr>
        <w:t>December</w:t>
      </w:r>
      <w:r w:rsidR="00F81DB3">
        <w:rPr>
          <w:lang w:eastAsia="en-GB"/>
        </w:rPr>
        <w:t xml:space="preserve"> </w:t>
      </w:r>
      <w:r w:rsidR="00465D09">
        <w:rPr>
          <w:lang w:eastAsia="en-GB"/>
        </w:rPr>
        <w:t>Conf. Call</w:t>
      </w:r>
      <w:r>
        <w:rPr>
          <w:lang w:eastAsia="en-GB"/>
        </w:rPr>
        <w:t xml:space="preserve"> Minutes</w:t>
      </w:r>
      <w:bookmarkEnd w:id="4"/>
    </w:p>
    <w:p w:rsidR="00F81DB3" w:rsidRDefault="00F81DB3" w:rsidP="004B2F86">
      <w:r>
        <w:t>No comments provided at the conference call.</w:t>
      </w:r>
      <w:r w:rsidR="002D6EC7">
        <w:t xml:space="preserve"> </w:t>
      </w:r>
      <w:r w:rsidR="0041103C">
        <w:t>Minutes are approved</w:t>
      </w:r>
      <w:r w:rsidR="002D6EC7">
        <w:t xml:space="preserve"> and </w:t>
      </w:r>
      <w:r>
        <w:t>posted on the SMPG web site.</w:t>
      </w:r>
    </w:p>
    <w:p w:rsidR="00960675" w:rsidRDefault="00960675" w:rsidP="00960675"/>
    <w:p w:rsidR="00960675" w:rsidRPr="0009689B" w:rsidRDefault="0009689B" w:rsidP="00960675">
      <w:pPr>
        <w:rPr>
          <w:b/>
          <w:sz w:val="24"/>
          <w:szCs w:val="24"/>
          <w:u w:val="single"/>
        </w:rPr>
      </w:pPr>
      <w:r w:rsidRPr="0009689B">
        <w:rPr>
          <w:b/>
          <w:sz w:val="24"/>
          <w:szCs w:val="24"/>
          <w:u w:val="single"/>
        </w:rPr>
        <w:t>Conference call i</w:t>
      </w:r>
      <w:r w:rsidR="00960675" w:rsidRPr="0009689B">
        <w:rPr>
          <w:b/>
          <w:sz w:val="24"/>
          <w:szCs w:val="24"/>
          <w:u w:val="single"/>
        </w:rPr>
        <w:t>nput File distributed before the conference call:</w:t>
      </w:r>
    </w:p>
    <w:bookmarkStart w:id="7" w:name="_MON_1421071882"/>
    <w:bookmarkEnd w:id="7"/>
    <w:p w:rsidR="00960675" w:rsidRDefault="00960675" w:rsidP="00960675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2" o:title=""/>
          </v:shape>
          <o:OLEObject Type="Embed" ProgID="Word.Document.12" ShapeID="_x0000_i1025" DrawAspect="Icon" ObjectID="_1424262676" r:id="rId13">
            <o:FieldCodes>\s</o:FieldCodes>
          </o:OLEObject>
        </w:object>
      </w:r>
    </w:p>
    <w:p w:rsidR="008E171A" w:rsidRDefault="002F434C" w:rsidP="00651EB7">
      <w:pPr>
        <w:pStyle w:val="Heading1"/>
      </w:pPr>
      <w:bookmarkStart w:id="8" w:name="_Toc347397233"/>
      <w:r>
        <w:t xml:space="preserve">CA 203 </w:t>
      </w:r>
      <w:r w:rsidR="00C37305">
        <w:t>–</w:t>
      </w:r>
      <w:r>
        <w:t xml:space="preserve"> </w:t>
      </w:r>
      <w:r w:rsidR="00C37305">
        <w:t xml:space="preserve">SR2013 MP Updates </w:t>
      </w:r>
      <w:r w:rsidR="00F81DB3">
        <w:t>– Actions follow-up</w:t>
      </w:r>
      <w:bookmarkEnd w:id="8"/>
    </w:p>
    <w:p w:rsidR="00960675" w:rsidRPr="00C11047" w:rsidRDefault="00C37305" w:rsidP="00C11047">
      <w:pPr>
        <w:pStyle w:val="Heading2"/>
      </w:pPr>
      <w:r w:rsidRPr="00C11047">
        <w:t>Action 3:</w:t>
      </w:r>
      <w:r w:rsidR="00960675" w:rsidRPr="00C11047">
        <w:t xml:space="preserve"> Feedback on RDTE Bids VOLU</w:t>
      </w:r>
      <w:r w:rsidRPr="00C11047">
        <w:t xml:space="preserve"> </w:t>
      </w:r>
    </w:p>
    <w:p w:rsidR="00960675" w:rsidRDefault="00C37305" w:rsidP="00C37305">
      <w:r w:rsidRPr="00960675">
        <w:t xml:space="preserve">Is RDTE present in BIDS </w:t>
      </w:r>
      <w:proofErr w:type="gramStart"/>
      <w:r w:rsidRPr="00960675">
        <w:t>VOLU ?</w:t>
      </w:r>
      <w:proofErr w:type="gramEnd"/>
      <w:r w:rsidRPr="00960675">
        <w:t xml:space="preserve"> If it is, is it M or O? </w:t>
      </w:r>
    </w:p>
    <w:p w:rsidR="00C37305" w:rsidRDefault="00C37305" w:rsidP="00743759">
      <w:pPr>
        <w:pStyle w:val="Decisions"/>
      </w:pPr>
      <w:r w:rsidRPr="00960675">
        <w:rPr>
          <w:b/>
          <w:bCs/>
        </w:rPr>
        <w:t>Decision:</w:t>
      </w:r>
      <w:r w:rsidRPr="00960675">
        <w:t xml:space="preserve"> Keep RDTE in BIDS</w:t>
      </w:r>
      <w:r w:rsidR="00C11047">
        <w:t xml:space="preserve"> VOLU, but as optional and not mandatory. It will be up to each country to change eventually their country column to keep RDTE as [M].</w:t>
      </w:r>
    </w:p>
    <w:p w:rsidR="00743759" w:rsidRPr="00960675" w:rsidRDefault="00743759" w:rsidP="00743759">
      <w:pPr>
        <w:pStyle w:val="Actions"/>
      </w:pPr>
      <w:r w:rsidRPr="00743759">
        <w:rPr>
          <w:b/>
        </w:rPr>
        <w:t>Action</w:t>
      </w:r>
      <w:r>
        <w:t>: Jacques to update EIG+</w:t>
      </w:r>
    </w:p>
    <w:p w:rsidR="00C11047" w:rsidRDefault="00C37305" w:rsidP="00C11047">
      <w:pPr>
        <w:pStyle w:val="Heading2"/>
      </w:pPr>
      <w:r w:rsidRPr="00960675">
        <w:t xml:space="preserve">Action 9: </w:t>
      </w:r>
      <w:r w:rsidR="009C6D9B">
        <w:t>Comments on EIG+ GG</w:t>
      </w:r>
    </w:p>
    <w:p w:rsidR="00C37305" w:rsidRPr="00743759" w:rsidRDefault="00743759" w:rsidP="006341E8">
      <w:pPr>
        <w:pStyle w:val="ListParagraph"/>
        <w:numPr>
          <w:ilvl w:val="0"/>
          <w:numId w:val="9"/>
        </w:numPr>
        <w:rPr>
          <w:rFonts w:cs="Arial"/>
          <w:sz w:val="20"/>
        </w:rPr>
      </w:pPr>
      <w:r w:rsidRPr="00743759">
        <w:rPr>
          <w:sz w:val="20"/>
        </w:rPr>
        <w:t>Review comments received</w:t>
      </w:r>
      <w:r w:rsidR="00C37305" w:rsidRPr="00743759">
        <w:rPr>
          <w:rFonts w:cs="Arial"/>
          <w:sz w:val="20"/>
        </w:rPr>
        <w:t xml:space="preserve"> </w:t>
      </w:r>
      <w:r w:rsidRPr="00743759">
        <w:rPr>
          <w:sz w:val="20"/>
        </w:rPr>
        <w:t xml:space="preserve">from </w:t>
      </w:r>
      <w:r w:rsidR="00C37305" w:rsidRPr="00743759">
        <w:rPr>
          <w:rFonts w:cs="Arial"/>
          <w:sz w:val="20"/>
        </w:rPr>
        <w:t>Swedish NMPG:</w:t>
      </w:r>
    </w:p>
    <w:p w:rsidR="00AE6450" w:rsidRDefault="00C37305" w:rsidP="006341E8">
      <w:pPr>
        <w:numPr>
          <w:ilvl w:val="0"/>
          <w:numId w:val="10"/>
        </w:numPr>
        <w:tabs>
          <w:tab w:val="clear" w:pos="227"/>
        </w:tabs>
        <w:spacing w:after="0"/>
        <w:ind w:left="540" w:hanging="540"/>
      </w:pPr>
      <w:r w:rsidRPr="00960675">
        <w:t>Should LTRD be a generic date or should it be inc</w:t>
      </w:r>
      <w:r w:rsidR="00AE6450">
        <w:t xml:space="preserve">luded in all applicable events i.e. </w:t>
      </w:r>
      <w:r w:rsidRPr="00960675">
        <w:t>mandatory reorganisations where a publically trad</w:t>
      </w:r>
      <w:r w:rsidR="00AE6450">
        <w:t xml:space="preserve">ed security will cease to </w:t>
      </w:r>
      <w:proofErr w:type="gramStart"/>
      <w:r w:rsidR="00AE6450">
        <w:t>exist ?</w:t>
      </w:r>
      <w:proofErr w:type="gramEnd"/>
    </w:p>
    <w:p w:rsidR="00743759" w:rsidRDefault="00C37305" w:rsidP="00AE6450">
      <w:pPr>
        <w:spacing w:after="0"/>
        <w:ind w:left="540"/>
      </w:pPr>
      <w:r w:rsidRPr="00960675">
        <w:t xml:space="preserve"> </w:t>
      </w:r>
    </w:p>
    <w:p w:rsidR="00C37305" w:rsidRPr="00743759" w:rsidRDefault="00C37305" w:rsidP="00743759">
      <w:pPr>
        <w:pStyle w:val="Decisions"/>
      </w:pPr>
      <w:r w:rsidRPr="00743759">
        <w:rPr>
          <w:b/>
        </w:rPr>
        <w:lastRenderedPageBreak/>
        <w:t>Decision</w:t>
      </w:r>
      <w:r w:rsidRPr="00743759">
        <w:t>: Add LTRD as O in applicable events in the GG.</w:t>
      </w:r>
    </w:p>
    <w:p w:rsidR="00743759" w:rsidRPr="00743759" w:rsidRDefault="00743759" w:rsidP="00743759">
      <w:pPr>
        <w:pStyle w:val="Actions"/>
      </w:pPr>
      <w:r w:rsidRPr="00743759">
        <w:rPr>
          <w:b/>
        </w:rPr>
        <w:t>Action</w:t>
      </w:r>
      <w:r w:rsidRPr="00743759">
        <w:t>: Jacques to update the EIG + GG as follows: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>CHAN MAND SECU: LTRD [O] added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>CONV MAND SECU: LTRD [O] added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>DETI MAND SECU: LTRD [O] added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>EXOF MAND: LTRD [O] added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>EXTM MAND SECU: LTRD [O] added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>INCR MAND SECU: LTRD [O] added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>MRGR MAND: LTRD [O] added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 xml:space="preserve">MRGR CHOS: LTRD [O] added, XDTE [O] removed 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 xml:space="preserve">PARI MAND: LTRD [O] added 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 xml:space="preserve">PLAC MAND SECU: LTRD [O] added 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 xml:space="preserve">REDO MAND SECU: LTRD [O] added 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 xml:space="preserve">SPLF MAND: LTRD [O] added 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 xml:space="preserve">SPLR MAND: LTRD [O] added </w:t>
      </w:r>
    </w:p>
    <w:p w:rsidR="00743759" w:rsidRPr="00743759" w:rsidRDefault="00743759" w:rsidP="006341E8">
      <w:pPr>
        <w:pStyle w:val="PlainText"/>
        <w:numPr>
          <w:ilvl w:val="0"/>
          <w:numId w:val="11"/>
        </w:numPr>
        <w:spacing w:after="0"/>
        <w:rPr>
          <w:rFonts w:ascii="Arial" w:hAnsi="Arial"/>
          <w:color w:val="FF0000"/>
        </w:rPr>
      </w:pPr>
      <w:r w:rsidRPr="00743759">
        <w:rPr>
          <w:rFonts w:ascii="Arial" w:hAnsi="Arial"/>
          <w:color w:val="FF0000"/>
        </w:rPr>
        <w:t xml:space="preserve">REDM MAND: LTRD [O] to be added </w:t>
      </w:r>
    </w:p>
    <w:p w:rsidR="00743759" w:rsidRPr="00960675" w:rsidRDefault="00743759" w:rsidP="0009689B">
      <w:pPr>
        <w:spacing w:after="0"/>
      </w:pPr>
    </w:p>
    <w:p w:rsidR="00DA650C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CLSA VOLU: Should PAYD really be mandatory? </w:t>
      </w:r>
    </w:p>
    <w:p w:rsidR="00C37305" w:rsidRPr="00DA650C" w:rsidRDefault="00C37305" w:rsidP="00DA650C">
      <w:pPr>
        <w:pStyle w:val="Decisions"/>
      </w:pPr>
      <w:r w:rsidRPr="00CF758D">
        <w:rPr>
          <w:b/>
        </w:rPr>
        <w:t>Decision</w:t>
      </w:r>
      <w:r w:rsidRPr="00DA650C">
        <w:t xml:space="preserve">: Change to </w:t>
      </w:r>
      <w:r w:rsidR="00CF758D">
        <w:t>[</w:t>
      </w:r>
      <w:r w:rsidRPr="00DA650C">
        <w:t>O</w:t>
      </w:r>
      <w:r w:rsidR="00CF758D">
        <w:t>]</w:t>
      </w:r>
      <w:r w:rsidRPr="00DA650C">
        <w:t>.</w:t>
      </w:r>
    </w:p>
    <w:p w:rsidR="00DA650C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DECR MAND </w:t>
      </w:r>
      <w:smartTag w:uri="urn:schemas-microsoft-com:office:smarttags" w:element="stockticker">
        <w:r w:rsidRPr="00960675">
          <w:rPr>
            <w:rFonts w:ascii="Arial" w:hAnsi="Arial"/>
          </w:rPr>
          <w:t>CASH</w:t>
        </w:r>
      </w:smartTag>
      <w:r w:rsidRPr="00960675">
        <w:rPr>
          <w:rFonts w:ascii="Arial" w:hAnsi="Arial"/>
        </w:rPr>
        <w:t xml:space="preserve">: Is the ISIN changed? If so, should LTRD [O] be added?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>Decision:</w:t>
      </w:r>
      <w:r w:rsidRPr="00960675">
        <w:t xml:space="preserve">  The ISIN is not changed and therefore LTRD is not applicable.</w:t>
      </w:r>
    </w:p>
    <w:p w:rsidR="00DA650C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DETI VOLU: Should there not be a rate? </w:t>
      </w:r>
    </w:p>
    <w:p w:rsidR="00C37305" w:rsidRPr="00960675" w:rsidRDefault="00DA650C" w:rsidP="00CF758D">
      <w:pPr>
        <w:pStyle w:val="Decisions"/>
      </w:pPr>
      <w:r>
        <w:rPr>
          <w:b/>
          <w:bCs/>
        </w:rPr>
        <w:t>D</w:t>
      </w:r>
      <w:r w:rsidR="00C37305" w:rsidRPr="00960675">
        <w:rPr>
          <w:b/>
          <w:bCs/>
        </w:rPr>
        <w:t>ecision:</w:t>
      </w:r>
      <w:r w:rsidR="00C37305" w:rsidRPr="00960675">
        <w:t xml:space="preserve"> Add NEWO as </w:t>
      </w:r>
      <w:r w:rsidR="00CF758D">
        <w:t>[</w:t>
      </w:r>
      <w:r w:rsidR="00CF758D" w:rsidRPr="00DA650C">
        <w:t>O</w:t>
      </w:r>
      <w:r w:rsidR="00CF758D">
        <w:t>]</w:t>
      </w:r>
      <w:r w:rsidR="00CF758D" w:rsidRPr="00DA650C">
        <w:t>.</w:t>
      </w:r>
    </w:p>
    <w:p w:rsidR="00DA650C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DRIP CHOS: Why is NETT mandatory and not optional, as it is in DVCA CHOS?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>Decision:</w:t>
      </w:r>
      <w:r w:rsidRPr="00960675">
        <w:t xml:space="preserve"> Change NETT to </w:t>
      </w:r>
      <w:r w:rsidR="00CF758D">
        <w:t>[</w:t>
      </w:r>
      <w:r w:rsidR="00CF758D" w:rsidRPr="00DA650C">
        <w:t>O</w:t>
      </w:r>
      <w:r w:rsidR="00CF758D">
        <w:t>]</w:t>
      </w:r>
      <w:r w:rsidRPr="00960675">
        <w:t>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DSCL MAND: Should there not be any dates, such as RDTE or EFFD?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>Decision:</w:t>
      </w:r>
      <w:r w:rsidRPr="00960675">
        <w:t xml:space="preserve"> Add RDTE as </w:t>
      </w:r>
      <w:r w:rsidR="00CF758D">
        <w:t>[</w:t>
      </w:r>
      <w:r w:rsidR="00CF758D" w:rsidRPr="00DA650C">
        <w:t>O</w:t>
      </w:r>
      <w:r w:rsidR="00CF758D">
        <w:t>]</w:t>
      </w:r>
      <w:r w:rsidR="00CF758D" w:rsidRPr="00DA650C">
        <w:t>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DSCL VOLU: Should there not be a record date of some sort? If not, how can the recipient know which date to compile the data for?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 xml:space="preserve">Decision: </w:t>
      </w:r>
      <w:r w:rsidRPr="00960675">
        <w:t>No changes.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MRGR VOLU: Should this not be N/A in the GG?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>Decision:</w:t>
      </w:r>
      <w:r w:rsidRPr="00960675">
        <w:t xml:space="preserve"> Change to N/A.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PPMT CHOS: Should this not be N/A in the GG?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>Decision:</w:t>
      </w:r>
      <w:r w:rsidRPr="00960675">
        <w:t xml:space="preserve"> Change to N/A.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SMAL MAND SECU: It says N/A in the Date (G) column of the GG - should it not be the event combination that is N/A, i.e. N/A in column E?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 xml:space="preserve">Decision: </w:t>
      </w:r>
      <w:r w:rsidRPr="00960675">
        <w:t>Move N/A to column E.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SUSP MAND SECU: It says N/A in the Date (G) column of the GG - should it not be the event combination that is N/A, i.e. N/A in column E?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 xml:space="preserve">Decision: </w:t>
      </w:r>
      <w:r w:rsidRPr="00960675">
        <w:t>Move N/A to column E.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Should PWAL not always be O, the same as market and response deadline? It is listed as M in BPUT VOLU, CLSA VOLU and EXRI CHOS, but O in the other 103 lines it is included.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 xml:space="preserve">Decision: </w:t>
      </w:r>
      <w:r w:rsidRPr="00960675">
        <w:t xml:space="preserve">Change PWAL to </w:t>
      </w:r>
      <w:r w:rsidR="00CF758D">
        <w:t>[</w:t>
      </w:r>
      <w:r w:rsidR="00CF758D" w:rsidRPr="00DA650C">
        <w:t>O</w:t>
      </w:r>
      <w:r w:rsidR="00CF758D">
        <w:t>]</w:t>
      </w:r>
      <w:r w:rsidRPr="00960675">
        <w:t xml:space="preserve"> in events where it is M in the GG.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 xml:space="preserve">EXOF MAND: Why is XDTE included - it is not possible to trade the security ex since it will be replaced with cash and/or securities?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 xml:space="preserve">Decision: </w:t>
      </w:r>
      <w:r w:rsidRPr="00960675">
        <w:t>Remove XDTE in the GG.</w:t>
      </w:r>
    </w:p>
    <w:p w:rsidR="00CF758D" w:rsidRDefault="00C37305" w:rsidP="006341E8">
      <w:pPr>
        <w:pStyle w:val="PlainText"/>
        <w:numPr>
          <w:ilvl w:val="0"/>
          <w:numId w:val="10"/>
        </w:numPr>
        <w:tabs>
          <w:tab w:val="clear" w:pos="227"/>
        </w:tabs>
        <w:spacing w:after="0"/>
        <w:ind w:left="540" w:hanging="540"/>
        <w:rPr>
          <w:rFonts w:ascii="Arial" w:hAnsi="Arial"/>
        </w:rPr>
      </w:pPr>
      <w:r w:rsidRPr="00960675">
        <w:rPr>
          <w:rFonts w:ascii="Arial" w:hAnsi="Arial"/>
        </w:rPr>
        <w:t>REDM MAND, SECU&amp;</w:t>
      </w:r>
      <w:smartTag w:uri="urn:schemas-microsoft-com:office:smarttags" w:element="stockticker">
        <w:r w:rsidRPr="00960675">
          <w:rPr>
            <w:rFonts w:ascii="Arial" w:hAnsi="Arial"/>
          </w:rPr>
          <w:t>CASH</w:t>
        </w:r>
      </w:smartTag>
      <w:r w:rsidRPr="00960675">
        <w:rPr>
          <w:rFonts w:ascii="Arial" w:hAnsi="Arial"/>
        </w:rPr>
        <w:t xml:space="preserve">: Why </w:t>
      </w:r>
      <w:proofErr w:type="gramStart"/>
      <w:r w:rsidRPr="00960675">
        <w:rPr>
          <w:rFonts w:ascii="Arial" w:hAnsi="Arial"/>
        </w:rPr>
        <w:t>is</w:t>
      </w:r>
      <w:proofErr w:type="gramEnd"/>
      <w:r w:rsidRPr="00960675">
        <w:rPr>
          <w:rFonts w:ascii="Arial" w:hAnsi="Arial"/>
        </w:rPr>
        <w:t xml:space="preserve"> PRPP M, and OFFR not even included? </w:t>
      </w:r>
    </w:p>
    <w:p w:rsidR="00C37305" w:rsidRPr="00960675" w:rsidRDefault="00C37305" w:rsidP="00CF758D">
      <w:pPr>
        <w:pStyle w:val="Decisions"/>
      </w:pPr>
      <w:r w:rsidRPr="00960675">
        <w:rPr>
          <w:b/>
          <w:bCs/>
        </w:rPr>
        <w:t xml:space="preserve">Decision: </w:t>
      </w:r>
      <w:r w:rsidRPr="00960675">
        <w:t xml:space="preserve">Keep PRPP as is; add OFFR as </w:t>
      </w:r>
      <w:r w:rsidR="00612AEA">
        <w:t>[</w:t>
      </w:r>
      <w:r w:rsidRPr="00960675">
        <w:t>M</w:t>
      </w:r>
      <w:r w:rsidR="00612AEA">
        <w:t>]</w:t>
      </w:r>
      <w:r w:rsidRPr="00960675">
        <w:t>.</w:t>
      </w:r>
    </w:p>
    <w:p w:rsidR="00CD1AFF" w:rsidRPr="00CF758D" w:rsidRDefault="00CD1AFF" w:rsidP="00CD1AFF">
      <w:pPr>
        <w:pStyle w:val="Actions"/>
      </w:pPr>
      <w:r w:rsidRPr="00CD1AFF">
        <w:rPr>
          <w:b/>
        </w:rPr>
        <w:t>Action</w:t>
      </w:r>
      <w:r>
        <w:t>: Jacques to implement the above in EIG GG</w:t>
      </w:r>
    </w:p>
    <w:p w:rsidR="009C6D9B" w:rsidRDefault="00C37305" w:rsidP="00CD1AFF">
      <w:pPr>
        <w:pStyle w:val="Heading2"/>
      </w:pPr>
      <w:r w:rsidRPr="00960675">
        <w:rPr>
          <w:bCs/>
          <w:i/>
          <w:iCs/>
        </w:rPr>
        <w:t>Action 10:</w:t>
      </w:r>
      <w:r w:rsidRPr="00960675">
        <w:t xml:space="preserve"> </w:t>
      </w:r>
      <w:r w:rsidR="00CD1AFF">
        <w:t>EIG+ Country column update</w:t>
      </w:r>
    </w:p>
    <w:p w:rsidR="00D64A42" w:rsidRDefault="00D64A42" w:rsidP="00C37305">
      <w:r>
        <w:t xml:space="preserve">Only 5 countries provided CC input (SE, XS, JP, FI, </w:t>
      </w:r>
      <w:proofErr w:type="gramStart"/>
      <w:r>
        <w:t>LU</w:t>
      </w:r>
      <w:proofErr w:type="gramEnd"/>
      <w:r>
        <w:t>).</w:t>
      </w:r>
    </w:p>
    <w:p w:rsidR="00C37305" w:rsidRDefault="00C37305" w:rsidP="00D64A42">
      <w:pPr>
        <w:pStyle w:val="Decisions"/>
      </w:pPr>
      <w:r w:rsidRPr="00D64A42">
        <w:rPr>
          <w:b/>
        </w:rPr>
        <w:lastRenderedPageBreak/>
        <w:t>Decision</w:t>
      </w:r>
      <w:r w:rsidRPr="00D64A42">
        <w:t xml:space="preserve">: New deadline for feedback from NMPGs is February 14, for finalisation of </w:t>
      </w:r>
      <w:smartTag w:uri="urn:schemas-microsoft-com:office:smarttags" w:element="stockticker">
        <w:r w:rsidRPr="00D64A42">
          <w:t>GMP</w:t>
        </w:r>
      </w:smartTag>
      <w:r w:rsidRPr="00D64A42">
        <w:t>2 at the</w:t>
      </w:r>
      <w:r w:rsidRPr="00960675">
        <w:t xml:space="preserve"> conference call on February 21.</w:t>
      </w:r>
    </w:p>
    <w:p w:rsidR="00D64A42" w:rsidRPr="00960675" w:rsidRDefault="00D64A42" w:rsidP="00D64A42">
      <w:pPr>
        <w:pStyle w:val="Actions"/>
      </w:pPr>
      <w:r w:rsidRPr="00D64A42">
        <w:rPr>
          <w:b/>
        </w:rPr>
        <w:t>Action</w:t>
      </w:r>
      <w:r>
        <w:t xml:space="preserve">: All remaining NMPG’s to provide input by </w:t>
      </w:r>
      <w:r w:rsidRPr="00C825D0">
        <w:rPr>
          <w:b/>
          <w:u w:val="single"/>
        </w:rPr>
        <w:t>February 14</w:t>
      </w:r>
      <w:r>
        <w:t xml:space="preserve"> at the latest.</w:t>
      </w:r>
    </w:p>
    <w:p w:rsidR="00CD1AFF" w:rsidRDefault="00C37305" w:rsidP="00CD1AFF">
      <w:pPr>
        <w:pStyle w:val="Heading2"/>
      </w:pPr>
      <w:r w:rsidRPr="00960675">
        <w:rPr>
          <w:bCs/>
          <w:i/>
          <w:iCs/>
        </w:rPr>
        <w:t>Action 12:</w:t>
      </w:r>
      <w:r w:rsidRPr="00960675">
        <w:t xml:space="preserve"> </w:t>
      </w:r>
      <w:r w:rsidR="00CD1AFF">
        <w:t>Feedback on One-Pager</w:t>
      </w:r>
    </w:p>
    <w:p w:rsidR="00CD1AFF" w:rsidRDefault="00C37305" w:rsidP="00C37305">
      <w:r w:rsidRPr="00960675">
        <w:t xml:space="preserve">The WG agreed with the Finnish comment </w:t>
      </w:r>
      <w:r w:rsidR="0021532F">
        <w:t>that i</w:t>
      </w:r>
      <w:r w:rsidRPr="00960675">
        <w:t xml:space="preserve">t could be easier if the document includes the page or some identifier which would make it easier to track the change in </w:t>
      </w:r>
      <w:smartTag w:uri="urn:schemas-microsoft-com:office:smarttags" w:element="stockticker">
        <w:r w:rsidRPr="00960675">
          <w:t>GMP</w:t>
        </w:r>
      </w:smartTag>
      <w:r w:rsidR="0021532F">
        <w:t>1.</w:t>
      </w:r>
      <w:r w:rsidRPr="00960675">
        <w:t xml:space="preserve"> </w:t>
      </w:r>
    </w:p>
    <w:p w:rsidR="00C37305" w:rsidRPr="00960675" w:rsidRDefault="00C37305" w:rsidP="0021532F">
      <w:pPr>
        <w:pStyle w:val="Actions"/>
      </w:pPr>
      <w:r w:rsidRPr="00960675">
        <w:rPr>
          <w:b/>
          <w:bCs/>
        </w:rPr>
        <w:t>Action:</w:t>
      </w:r>
      <w:r w:rsidRPr="00960675">
        <w:t xml:space="preserve">  Christine to add references in t</w:t>
      </w:r>
      <w:r w:rsidR="00C825D0">
        <w:t>he final version of the summary and send for final review by NMPG’s together with GMP Part 1.</w:t>
      </w:r>
    </w:p>
    <w:p w:rsidR="0021532F" w:rsidRDefault="00C37305" w:rsidP="0021532F">
      <w:pPr>
        <w:pStyle w:val="Heading2"/>
      </w:pPr>
      <w:r w:rsidRPr="00960675">
        <w:rPr>
          <w:bCs/>
          <w:i/>
          <w:iCs/>
        </w:rPr>
        <w:t>Action 13:</w:t>
      </w:r>
      <w:r w:rsidRPr="00960675">
        <w:t xml:space="preserve"> </w:t>
      </w:r>
      <w:r w:rsidR="0021532F">
        <w:t>Templates Updates</w:t>
      </w:r>
    </w:p>
    <w:p w:rsidR="00C825D0" w:rsidRDefault="00C37305" w:rsidP="00C37305">
      <w:r w:rsidRPr="00960675">
        <w:t xml:space="preserve">Not all persons responsible have sent comments. </w:t>
      </w:r>
      <w:r w:rsidR="00D40245">
        <w:t>Jacques will take care of the RU comments regarding MyStandards templates input.</w:t>
      </w:r>
    </w:p>
    <w:p w:rsidR="0021532F" w:rsidRDefault="00C825D0" w:rsidP="00C825D0">
      <w:pPr>
        <w:pStyle w:val="Decisions"/>
      </w:pPr>
      <w:r w:rsidRPr="00960675">
        <w:rPr>
          <w:b/>
          <w:bCs/>
        </w:rPr>
        <w:t>Decision</w:t>
      </w:r>
      <w:r w:rsidRPr="00960675">
        <w:t xml:space="preserve"> </w:t>
      </w:r>
      <w:r w:rsidR="00C37305" w:rsidRPr="00960675">
        <w:t xml:space="preserve">The new date for input on templates is </w:t>
      </w:r>
      <w:r w:rsidR="00C37305" w:rsidRPr="00C825D0">
        <w:t>February 8</w:t>
      </w:r>
      <w:r w:rsidR="00C37305" w:rsidRPr="00960675">
        <w:t>.</w:t>
      </w:r>
      <w:r w:rsidR="00D40245">
        <w:t xml:space="preserve"> </w:t>
      </w:r>
    </w:p>
    <w:p w:rsidR="00C825D0" w:rsidRDefault="0021532F" w:rsidP="00C825D0">
      <w:pPr>
        <w:pStyle w:val="Actions"/>
      </w:pPr>
      <w:r w:rsidRPr="00C825D0">
        <w:rPr>
          <w:b/>
        </w:rPr>
        <w:t>Action</w:t>
      </w:r>
      <w:r w:rsidR="00C825D0">
        <w:rPr>
          <w:b/>
        </w:rPr>
        <w:t>s</w:t>
      </w:r>
      <w:r>
        <w:t xml:space="preserve">: </w:t>
      </w:r>
    </w:p>
    <w:p w:rsidR="00C825D0" w:rsidRDefault="00ED15B5" w:rsidP="006341E8">
      <w:pPr>
        <w:pStyle w:val="Actions"/>
        <w:numPr>
          <w:ilvl w:val="0"/>
          <w:numId w:val="12"/>
        </w:numPr>
      </w:pPr>
      <w:r>
        <w:rPr>
          <w:b/>
          <w:u w:val="single"/>
        </w:rPr>
        <w:t>Veronique, Alexander</w:t>
      </w:r>
      <w:r w:rsidR="0021532F" w:rsidRPr="00C825D0">
        <w:rPr>
          <w:b/>
          <w:u w:val="single"/>
        </w:rPr>
        <w:t xml:space="preserve">, </w:t>
      </w:r>
      <w:r>
        <w:rPr>
          <w:b/>
          <w:u w:val="single"/>
        </w:rPr>
        <w:t>Ben</w:t>
      </w:r>
      <w:r w:rsidR="0021532F" w:rsidRPr="00C825D0">
        <w:rPr>
          <w:b/>
          <w:u w:val="single"/>
        </w:rPr>
        <w:t xml:space="preserve">, </w:t>
      </w:r>
      <w:r>
        <w:rPr>
          <w:b/>
          <w:u w:val="single"/>
        </w:rPr>
        <w:t>Kim</w:t>
      </w:r>
      <w:r w:rsidR="0021532F" w:rsidRPr="00C825D0">
        <w:rPr>
          <w:b/>
          <w:u w:val="single"/>
        </w:rPr>
        <w:t xml:space="preserve">, </w:t>
      </w:r>
      <w:r w:rsidR="00B45637">
        <w:rPr>
          <w:b/>
          <w:u w:val="single"/>
        </w:rPr>
        <w:t>Thomas</w:t>
      </w:r>
      <w:r w:rsidR="0021532F" w:rsidRPr="00C825D0">
        <w:rPr>
          <w:b/>
          <w:u w:val="single"/>
        </w:rPr>
        <w:t xml:space="preserve">, </w:t>
      </w:r>
      <w:r w:rsidR="00B45637">
        <w:rPr>
          <w:b/>
          <w:u w:val="single"/>
        </w:rPr>
        <w:t>Mari/Matthew, Sonda</w:t>
      </w:r>
      <w:r>
        <w:rPr>
          <w:b/>
          <w:u w:val="single"/>
        </w:rPr>
        <w:t xml:space="preserve">, </w:t>
      </w:r>
      <w:r w:rsidR="00B45637">
        <w:rPr>
          <w:b/>
          <w:u w:val="single"/>
        </w:rPr>
        <w:t>Sanjeev</w:t>
      </w:r>
      <w:r w:rsidR="00C825D0">
        <w:t xml:space="preserve"> to provide for </w:t>
      </w:r>
      <w:r w:rsidR="00C825D0" w:rsidRPr="00C825D0">
        <w:rPr>
          <w:b/>
          <w:u w:val="single"/>
        </w:rPr>
        <w:t>February 8 at the latest</w:t>
      </w:r>
      <w:r w:rsidR="00C825D0">
        <w:t xml:space="preserve"> the t</w:t>
      </w:r>
      <w:r w:rsidR="0021532F">
        <w:t>emplate updates to Jacques</w:t>
      </w:r>
    </w:p>
    <w:p w:rsidR="00C37305" w:rsidRPr="00D40245" w:rsidRDefault="00C825D0" w:rsidP="006341E8">
      <w:pPr>
        <w:pStyle w:val="Actions"/>
        <w:numPr>
          <w:ilvl w:val="0"/>
          <w:numId w:val="12"/>
        </w:numPr>
      </w:pPr>
      <w:r w:rsidRPr="00C825D0">
        <w:rPr>
          <w:u w:val="single"/>
        </w:rPr>
        <w:t>Jacques</w:t>
      </w:r>
      <w:r>
        <w:t xml:space="preserve"> to send t</w:t>
      </w:r>
      <w:r w:rsidR="0021532F">
        <w:t xml:space="preserve">he consolidated document </w:t>
      </w:r>
      <w:r w:rsidR="00C37305" w:rsidRPr="00960675">
        <w:t>to the entire SMPG for review, with finalisation of the templates at the</w:t>
      </w:r>
      <w:r>
        <w:t xml:space="preserve"> conference call on </w:t>
      </w:r>
      <w:r w:rsidRPr="00C825D0">
        <w:rPr>
          <w:u w:val="single"/>
        </w:rPr>
        <w:t>February 21</w:t>
      </w:r>
    </w:p>
    <w:p w:rsidR="00D40245" w:rsidRDefault="00D40245" w:rsidP="006341E8">
      <w:pPr>
        <w:pStyle w:val="Actions"/>
        <w:numPr>
          <w:ilvl w:val="0"/>
          <w:numId w:val="12"/>
        </w:numPr>
      </w:pPr>
      <w:r w:rsidRPr="00345586">
        <w:rPr>
          <w:u w:val="single"/>
        </w:rPr>
        <w:t>Jacques</w:t>
      </w:r>
      <w:r>
        <w:t xml:space="preserve"> will take care of the RU comments regarding MyStandards templates input.</w:t>
      </w:r>
    </w:p>
    <w:p w:rsidR="008D778F" w:rsidRDefault="008D778F" w:rsidP="008D778F">
      <w:pPr>
        <w:pStyle w:val="Heading2"/>
      </w:pPr>
      <w:r>
        <w:t xml:space="preserve">Action 5 - </w:t>
      </w:r>
      <w:r w:rsidRPr="008D778F">
        <w:t xml:space="preserve">NMPGs (UK, CA, DE, FR) follow up actions for </w:t>
      </w:r>
      <w:r w:rsidR="001C7357">
        <w:t>SR2013</w:t>
      </w:r>
    </w:p>
    <w:p w:rsidR="004F21AC" w:rsidRDefault="004F21AC" w:rsidP="004F21AC">
      <w:r>
        <w:t xml:space="preserve">For instance Fractional Quantity Sought for Securities Proceeds Reporting in MT566 </w:t>
      </w:r>
      <w:proofErr w:type="gramStart"/>
      <w:r>
        <w:t>-  FR</w:t>
      </w:r>
      <w:proofErr w:type="gramEnd"/>
      <w:r>
        <w:t xml:space="preserve"> NMPG to create a draft MP for this in </w:t>
      </w:r>
      <w:smartTag w:uri="urn:schemas-microsoft-com:office:smarttags" w:element="stockticker">
        <w:r>
          <w:t>GMP</w:t>
        </w:r>
      </w:smartTag>
      <w:r>
        <w:t xml:space="preserve"> Part 1.</w:t>
      </w:r>
    </w:p>
    <w:p w:rsidR="008D778F" w:rsidRPr="001C7357" w:rsidRDefault="008D778F" w:rsidP="001C7357">
      <w:pPr>
        <w:pStyle w:val="Actions"/>
      </w:pPr>
      <w:r>
        <w:t xml:space="preserve">Action: Jacques to remind those </w:t>
      </w:r>
      <w:r w:rsidR="004F21AC">
        <w:t xml:space="preserve">4 </w:t>
      </w:r>
      <w:r>
        <w:t xml:space="preserve">countries </w:t>
      </w:r>
      <w:proofErr w:type="gramStart"/>
      <w:r>
        <w:t>that follow</w:t>
      </w:r>
      <w:r w:rsidR="001C7357">
        <w:t xml:space="preserve">-up </w:t>
      </w:r>
      <w:r>
        <w:t>actions</w:t>
      </w:r>
      <w:proofErr w:type="gramEnd"/>
      <w:r>
        <w:t xml:space="preserve"> in their local MPs are expected. </w:t>
      </w:r>
    </w:p>
    <w:p w:rsidR="008E171A" w:rsidRDefault="002F434C" w:rsidP="00651EB7">
      <w:pPr>
        <w:pStyle w:val="Heading1"/>
      </w:pPr>
      <w:bookmarkStart w:id="9" w:name="_Toc347397234"/>
      <w:r>
        <w:t xml:space="preserve">CA 239 </w:t>
      </w:r>
      <w:r w:rsidR="008D778F">
        <w:t>–</w:t>
      </w:r>
      <w:r>
        <w:t xml:space="preserve"> </w:t>
      </w:r>
      <w:r w:rsidR="008D778F">
        <w:t xml:space="preserve">GMP Part 1 - </w:t>
      </w:r>
      <w:r w:rsidR="008E171A">
        <w:t>SR2013 Maintenance WG follow up items</w:t>
      </w:r>
      <w:bookmarkEnd w:id="9"/>
    </w:p>
    <w:p w:rsidR="008D778F" w:rsidRDefault="00C37305" w:rsidP="008D778F">
      <w:pPr>
        <w:pStyle w:val="Decisions"/>
      </w:pPr>
      <w:r>
        <w:t xml:space="preserve">Decision: The revised </w:t>
      </w:r>
      <w:r w:rsidR="008D778F">
        <w:t xml:space="preserve">GMP Part 1 </w:t>
      </w:r>
      <w:r>
        <w:t xml:space="preserve">version has </w:t>
      </w:r>
      <w:r w:rsidR="008D778F">
        <w:t>to be sent before end of the week</w:t>
      </w:r>
      <w:r>
        <w:t xml:space="preserve">. </w:t>
      </w:r>
    </w:p>
    <w:p w:rsidR="008D778F" w:rsidRDefault="00C37305" w:rsidP="008D778F">
      <w:pPr>
        <w:pStyle w:val="Actions"/>
      </w:pPr>
      <w:r w:rsidRPr="008D778F">
        <w:rPr>
          <w:b/>
        </w:rPr>
        <w:t>Action</w:t>
      </w:r>
      <w:r>
        <w:t xml:space="preserve">: </w:t>
      </w:r>
    </w:p>
    <w:p w:rsidR="008D778F" w:rsidRDefault="00C37305" w:rsidP="006341E8">
      <w:pPr>
        <w:pStyle w:val="Actions"/>
        <w:numPr>
          <w:ilvl w:val="0"/>
          <w:numId w:val="13"/>
        </w:numPr>
      </w:pPr>
      <w:r w:rsidRPr="008D778F">
        <w:rPr>
          <w:u w:val="single"/>
        </w:rPr>
        <w:t>Christine</w:t>
      </w:r>
      <w:r>
        <w:t xml:space="preserve"> to make the two remaining changes and send the revised document to Jacques and Veronique. </w:t>
      </w:r>
    </w:p>
    <w:p w:rsidR="008D778F" w:rsidRDefault="00C37305" w:rsidP="006341E8">
      <w:pPr>
        <w:pStyle w:val="Actions"/>
        <w:numPr>
          <w:ilvl w:val="0"/>
          <w:numId w:val="13"/>
        </w:numPr>
      </w:pPr>
      <w:r w:rsidRPr="008D778F">
        <w:rPr>
          <w:u w:val="single"/>
        </w:rPr>
        <w:t>Jacques/Christine</w:t>
      </w:r>
      <w:r>
        <w:t xml:space="preserve"> to send the new version to all NMPGs for review </w:t>
      </w:r>
      <w:r w:rsidRPr="00345586">
        <w:rPr>
          <w:u w:val="single"/>
        </w:rPr>
        <w:t>b</w:t>
      </w:r>
      <w:r w:rsidR="004F21AC" w:rsidRPr="00345586">
        <w:rPr>
          <w:u w:val="single"/>
        </w:rPr>
        <w:t>efore end of Friday January 25</w:t>
      </w:r>
      <w:r>
        <w:t xml:space="preserve">. </w:t>
      </w:r>
    </w:p>
    <w:p w:rsidR="00C37305" w:rsidRDefault="00C37305" w:rsidP="006341E8">
      <w:pPr>
        <w:pStyle w:val="Actions"/>
        <w:numPr>
          <w:ilvl w:val="0"/>
          <w:numId w:val="13"/>
        </w:numPr>
      </w:pPr>
      <w:r w:rsidRPr="008D778F">
        <w:rPr>
          <w:u w:val="single"/>
        </w:rPr>
        <w:t>NMPGs</w:t>
      </w:r>
      <w:r>
        <w:t xml:space="preserve"> to review in order for </w:t>
      </w:r>
      <w:smartTag w:uri="urn:schemas-microsoft-com:office:smarttags" w:element="stockticker">
        <w:r>
          <w:t>GMP</w:t>
        </w:r>
      </w:smartTag>
      <w:r>
        <w:t xml:space="preserve">1 to be finalised at the conference call </w:t>
      </w:r>
      <w:r w:rsidRPr="00345586">
        <w:rPr>
          <w:u w:val="single"/>
        </w:rPr>
        <w:t>on February 21</w:t>
      </w:r>
      <w:r>
        <w:t>.</w:t>
      </w:r>
    </w:p>
    <w:p w:rsidR="00C37305" w:rsidRDefault="00C37305" w:rsidP="00651EB7">
      <w:pPr>
        <w:pStyle w:val="Heading1"/>
      </w:pPr>
      <w:bookmarkStart w:id="10" w:name="_Toc347397235"/>
      <w:r>
        <w:t>CA 167 - Consent Events /+ Schemes</w:t>
      </w:r>
      <w:bookmarkEnd w:id="10"/>
    </w:p>
    <w:p w:rsidR="00B62AFD" w:rsidRDefault="00345586" w:rsidP="00B62AFD">
      <w:r>
        <w:t>Bernard has</w:t>
      </w:r>
      <w:r w:rsidR="00C37305">
        <w:t xml:space="preserve"> not yet </w:t>
      </w:r>
      <w:r>
        <w:t xml:space="preserve">fully </w:t>
      </w:r>
      <w:r w:rsidR="00C37305">
        <w:t xml:space="preserve">completed the </w:t>
      </w:r>
      <w:r>
        <w:t xml:space="preserve">“Consent” </w:t>
      </w:r>
      <w:proofErr w:type="gramStart"/>
      <w:r w:rsidR="00C37305">
        <w:t>document,</w:t>
      </w:r>
      <w:proofErr w:type="gramEnd"/>
      <w:r w:rsidR="00C37305">
        <w:t xml:space="preserve"> </w:t>
      </w:r>
      <w:r>
        <w:t>This will be done and sent for review today</w:t>
      </w:r>
      <w:r w:rsidR="00C37305">
        <w:t xml:space="preserve">. </w:t>
      </w:r>
    </w:p>
    <w:p w:rsidR="00345586" w:rsidRDefault="00345586" w:rsidP="00B62AFD">
      <w:r>
        <w:t xml:space="preserve">The NMPG’s will be asked to review the document and send back their comments </w:t>
      </w:r>
      <w:proofErr w:type="gramStart"/>
      <w:r>
        <w:t>asap</w:t>
      </w:r>
      <w:proofErr w:type="gramEnd"/>
      <w:r>
        <w:t xml:space="preserve"> so as to finalis</w:t>
      </w:r>
      <w:r w:rsidR="006F06A6">
        <w:t>e it for next conference call on</w:t>
      </w:r>
      <w:r>
        <w:t xml:space="preserve"> February</w:t>
      </w:r>
      <w:r w:rsidR="006F06A6">
        <w:t xml:space="preserve"> 21</w:t>
      </w:r>
      <w:r w:rsidR="006F06A6" w:rsidRPr="006F06A6">
        <w:rPr>
          <w:vertAlign w:val="superscript"/>
        </w:rPr>
        <w:t>st</w:t>
      </w:r>
      <w:r>
        <w:t>.</w:t>
      </w:r>
    </w:p>
    <w:p w:rsidR="00B62AFD" w:rsidRDefault="00C37305" w:rsidP="00B62AFD">
      <w:pPr>
        <w:pStyle w:val="Actions"/>
      </w:pPr>
      <w:r w:rsidRPr="00B62AFD">
        <w:rPr>
          <w:b/>
          <w:u w:val="single"/>
        </w:rPr>
        <w:t>Action</w:t>
      </w:r>
      <w:r>
        <w:t xml:space="preserve">: </w:t>
      </w:r>
    </w:p>
    <w:p w:rsidR="00B62AFD" w:rsidRDefault="00C37305" w:rsidP="006341E8">
      <w:pPr>
        <w:pStyle w:val="Actions"/>
        <w:numPr>
          <w:ilvl w:val="0"/>
          <w:numId w:val="14"/>
        </w:numPr>
      </w:pPr>
      <w:r w:rsidRPr="00345586">
        <w:rPr>
          <w:u w:val="single"/>
        </w:rPr>
        <w:t>Bernard</w:t>
      </w:r>
      <w:r>
        <w:t xml:space="preserve"> to send </w:t>
      </w:r>
      <w:r w:rsidR="00B62AFD">
        <w:t xml:space="preserve">today </w:t>
      </w:r>
      <w:r>
        <w:t>t</w:t>
      </w:r>
      <w:r w:rsidR="00345586">
        <w:t>he revised document for review.</w:t>
      </w:r>
    </w:p>
    <w:p w:rsidR="00C37305" w:rsidRDefault="00C37305" w:rsidP="006341E8">
      <w:pPr>
        <w:pStyle w:val="Actions"/>
        <w:numPr>
          <w:ilvl w:val="0"/>
          <w:numId w:val="14"/>
        </w:numPr>
      </w:pPr>
      <w:r w:rsidRPr="00345586">
        <w:rPr>
          <w:u w:val="single"/>
        </w:rPr>
        <w:t>NMPG</w:t>
      </w:r>
      <w:r w:rsidR="00B62AFD" w:rsidRPr="00345586">
        <w:rPr>
          <w:u w:val="single"/>
        </w:rPr>
        <w:t>’</w:t>
      </w:r>
      <w:r w:rsidRPr="00345586">
        <w:rPr>
          <w:u w:val="single"/>
        </w:rPr>
        <w:t>s</w:t>
      </w:r>
      <w:r>
        <w:t xml:space="preserve"> to </w:t>
      </w:r>
      <w:r w:rsidR="006F06A6">
        <w:t xml:space="preserve">send their comments back to Bernard &amp; Jacques </w:t>
      </w:r>
      <w:r w:rsidR="006F06A6" w:rsidRPr="006F06A6">
        <w:rPr>
          <w:u w:val="single"/>
        </w:rPr>
        <w:t>before</w:t>
      </w:r>
      <w:r w:rsidR="006F06A6">
        <w:rPr>
          <w:u w:val="single"/>
        </w:rPr>
        <w:t xml:space="preserve"> or on</w:t>
      </w:r>
      <w:r w:rsidR="006F06A6" w:rsidRPr="006F06A6">
        <w:rPr>
          <w:u w:val="single"/>
        </w:rPr>
        <w:t xml:space="preserve"> </w:t>
      </w:r>
      <w:r w:rsidRPr="00B62AFD">
        <w:rPr>
          <w:u w:val="single"/>
        </w:rPr>
        <w:t>February 21</w:t>
      </w:r>
      <w:r w:rsidR="006F06A6">
        <w:rPr>
          <w:u w:val="single"/>
        </w:rPr>
        <w:t xml:space="preserve"> call</w:t>
      </w:r>
      <w:r>
        <w:t>.</w:t>
      </w:r>
    </w:p>
    <w:p w:rsidR="008E171A" w:rsidRDefault="00F81DB3" w:rsidP="00651EB7">
      <w:pPr>
        <w:pStyle w:val="Heading1"/>
      </w:pPr>
      <w:bookmarkStart w:id="11" w:name="_Toc347397236"/>
      <w:r>
        <w:lastRenderedPageBreak/>
        <w:t>CA 244</w:t>
      </w:r>
      <w:r w:rsidR="008646C4">
        <w:t xml:space="preserve"> </w:t>
      </w:r>
      <w:r w:rsidR="00057A3B">
        <w:t>–</w:t>
      </w:r>
      <w:r w:rsidR="008646C4">
        <w:t xml:space="preserve"> </w:t>
      </w:r>
      <w:r w:rsidR="00057A3B">
        <w:t xml:space="preserve">DVCA </w:t>
      </w:r>
      <w:r>
        <w:t>GRSS and NETT R</w:t>
      </w:r>
      <w:r w:rsidR="008E171A">
        <w:t xml:space="preserve">ates in </w:t>
      </w:r>
      <w:r>
        <w:t>P</w:t>
      </w:r>
      <w:r w:rsidR="008E171A">
        <w:t>ercentage</w:t>
      </w:r>
      <w:bookmarkEnd w:id="11"/>
    </w:p>
    <w:p w:rsidR="006F06A6" w:rsidRDefault="00C62B35" w:rsidP="006F06A6">
      <w:r>
        <w:t>The SMPG recommended in Osaka the usage of 92A</w:t>
      </w:r>
      <w:proofErr w:type="gramStart"/>
      <w:r>
        <w:t>:RATE</w:t>
      </w:r>
      <w:proofErr w:type="gramEnd"/>
      <w:r>
        <w:t xml:space="preserve"> for cash dividends provided in percentage. The question was still pending whether a NETT rate could be provided. </w:t>
      </w:r>
      <w:r w:rsidR="006F06A6">
        <w:t>The MDPUG has</w:t>
      </w:r>
      <w:r w:rsidR="00C37305">
        <w:t xml:space="preserve"> discussed and they only seem to pay gross, which means </w:t>
      </w:r>
      <w:r>
        <w:t>the recommendation to use</w:t>
      </w:r>
      <w:r w:rsidR="00C37305">
        <w:t xml:space="preserve"> </w:t>
      </w:r>
      <w:r>
        <w:t>92A</w:t>
      </w:r>
      <w:proofErr w:type="gramStart"/>
      <w:r>
        <w:t>:RATE</w:t>
      </w:r>
      <w:proofErr w:type="gramEnd"/>
      <w:r w:rsidR="00C37305">
        <w:t xml:space="preserve"> field works</w:t>
      </w:r>
      <w:r>
        <w:t>.</w:t>
      </w:r>
    </w:p>
    <w:p w:rsidR="00C37305" w:rsidRDefault="00C37305" w:rsidP="00DE1BB6">
      <w:pPr>
        <w:pStyle w:val="Actions"/>
      </w:pPr>
      <w:r>
        <w:rPr>
          <w:b/>
          <w:bCs/>
        </w:rPr>
        <w:t xml:space="preserve">Action: </w:t>
      </w:r>
      <w:r>
        <w:t>Close item.</w:t>
      </w:r>
    </w:p>
    <w:p w:rsidR="00DD1D07" w:rsidRDefault="00F81DB3" w:rsidP="00DD1D07">
      <w:pPr>
        <w:pStyle w:val="Heading1"/>
      </w:pPr>
      <w:bookmarkStart w:id="12" w:name="_Toc347397237"/>
      <w:r>
        <w:t>CA 245 – Capital Increase O</w:t>
      </w:r>
      <w:r w:rsidR="00DD1D07">
        <w:t xml:space="preserve">ffered to </w:t>
      </w:r>
      <w:r>
        <w:t>P</w:t>
      </w:r>
      <w:r w:rsidR="00DD1D07">
        <w:t>ublic</w:t>
      </w:r>
      <w:bookmarkEnd w:id="12"/>
      <w:r w:rsidR="00D60FA4">
        <w:t xml:space="preserve"> </w:t>
      </w:r>
    </w:p>
    <w:p w:rsidR="00DE1BB6" w:rsidRDefault="008323B6" w:rsidP="00DE1BB6">
      <w:r>
        <w:t xml:space="preserve">Matthew provided before the conference call 4 examples of capital increase event </w:t>
      </w:r>
      <w:r w:rsidRPr="008323B6">
        <w:t>with some form of priority for existing shareholders in case of over-subscription</w:t>
      </w:r>
      <w:r>
        <w:t>:</w:t>
      </w:r>
    </w:p>
    <w:p w:rsidR="008323B6" w:rsidRPr="00DE1BB6" w:rsidRDefault="008323B6" w:rsidP="00DE1BB6">
      <w:r>
        <w:object w:dxaOrig="1551" w:dyaOrig="991">
          <v:shape id="_x0000_i1026" type="#_x0000_t75" style="width:77.45pt;height:49.6pt" o:ole="">
            <v:imagedata r:id="rId14" o:title=""/>
          </v:shape>
          <o:OLEObject Type="Embed" ProgID="AcroExch.Document.11" ShapeID="_x0000_i1026" DrawAspect="Icon" ObjectID="_1424262677" r:id="rId15"/>
        </w:object>
      </w:r>
      <w:r>
        <w:object w:dxaOrig="1551" w:dyaOrig="991">
          <v:shape id="_x0000_i1027" type="#_x0000_t75" style="width:77.45pt;height:49.6pt" o:ole="">
            <v:imagedata r:id="rId16" o:title=""/>
          </v:shape>
          <o:OLEObject Type="Embed" ProgID="AcroExch.Document.11" ShapeID="_x0000_i1027" DrawAspect="Icon" ObjectID="_1424262678" r:id="rId17"/>
        </w:object>
      </w:r>
      <w:r>
        <w:object w:dxaOrig="1551" w:dyaOrig="991">
          <v:shape id="_x0000_i1028" type="#_x0000_t75" style="width:77.45pt;height:49.6pt" o:ole="">
            <v:imagedata r:id="rId18" o:title=""/>
          </v:shape>
          <o:OLEObject Type="Embed" ProgID="AcroExch.Document.11" ShapeID="_x0000_i1028" DrawAspect="Icon" ObjectID="_1424262679" r:id="rId19"/>
        </w:object>
      </w:r>
      <w:r>
        <w:object w:dxaOrig="1551" w:dyaOrig="991">
          <v:shape id="_x0000_i1029" type="#_x0000_t75" style="width:77.45pt;height:49.6pt" o:ole="">
            <v:imagedata r:id="rId20" o:title=""/>
          </v:shape>
          <o:OLEObject Type="Embed" ProgID="AcroExch.Document.11" ShapeID="_x0000_i1029" DrawAspect="Icon" ObjectID="_1424262680" r:id="rId21"/>
        </w:object>
      </w:r>
    </w:p>
    <w:p w:rsidR="00DE1BB6" w:rsidRDefault="00167ADC" w:rsidP="008323B6">
      <w:r>
        <w:t xml:space="preserve">Today LSE announced it as both PRIO and OTHR.  </w:t>
      </w:r>
      <w:r w:rsidR="008323B6">
        <w:t>However no feedback has been provided at the call</w:t>
      </w:r>
      <w:r>
        <w:t xml:space="preserve"> on how to best announce those events</w:t>
      </w:r>
      <w:r w:rsidR="008323B6">
        <w:t>.</w:t>
      </w:r>
    </w:p>
    <w:p w:rsidR="00C37305" w:rsidRPr="008323B6" w:rsidRDefault="00C37305" w:rsidP="008323B6">
      <w:pPr>
        <w:pStyle w:val="Actions"/>
      </w:pPr>
      <w:r w:rsidRPr="008323B6">
        <w:rPr>
          <w:b/>
        </w:rPr>
        <w:t>Action</w:t>
      </w:r>
      <w:r w:rsidRPr="008323B6">
        <w:t xml:space="preserve">: </w:t>
      </w:r>
      <w:r w:rsidRPr="008323B6">
        <w:rPr>
          <w:u w:val="single"/>
        </w:rPr>
        <w:t>NMPGs</w:t>
      </w:r>
      <w:r w:rsidRPr="008323B6">
        <w:t xml:space="preserve"> which have not yet responded to provide feedback by the conference call on February 21</w:t>
      </w:r>
      <w:r w:rsidR="008323B6">
        <w:t>st</w:t>
      </w:r>
      <w:r w:rsidRPr="008323B6">
        <w:t>.</w:t>
      </w:r>
    </w:p>
    <w:p w:rsidR="00C37305" w:rsidRDefault="00C37305" w:rsidP="00651EB7">
      <w:pPr>
        <w:pStyle w:val="Heading1"/>
      </w:pPr>
      <w:bookmarkStart w:id="13" w:name="_Toc347397238"/>
      <w:bookmarkEnd w:id="5"/>
      <w:bookmarkEnd w:id="6"/>
      <w:r w:rsidRPr="00C37305">
        <w:rPr>
          <w:lang w:val="en-GB"/>
        </w:rPr>
        <w:t xml:space="preserve">CA 246 - </w:t>
      </w:r>
      <w:r>
        <w:t>Processing Status INFO (25D:</w:t>
      </w:r>
      <w:proofErr w:type="gramStart"/>
      <w:r>
        <w:t>:PROC</w:t>
      </w:r>
      <w:proofErr w:type="gramEnd"/>
      <w:r>
        <w:t>//INFO)</w:t>
      </w:r>
      <w:bookmarkEnd w:id="13"/>
    </w:p>
    <w:p w:rsidR="007779B6" w:rsidRDefault="007779B6" w:rsidP="007779B6">
      <w:r>
        <w:t>Do we need to keep PROC//</w:t>
      </w:r>
      <w:proofErr w:type="gramStart"/>
      <w:r>
        <w:t>INFO ?</w:t>
      </w:r>
      <w:proofErr w:type="gramEnd"/>
      <w:r>
        <w:t xml:space="preserve"> </w:t>
      </w:r>
    </w:p>
    <w:p w:rsidR="007779B6" w:rsidRPr="002174F8" w:rsidRDefault="007779B6" w:rsidP="007779B6">
      <w:r w:rsidRPr="002174F8">
        <w:t>Feedback rec</w:t>
      </w:r>
      <w:r>
        <w:t>e</w:t>
      </w:r>
      <w:r w:rsidRPr="002174F8">
        <w:t>ived at the call:</w:t>
      </w:r>
    </w:p>
    <w:p w:rsidR="007779B6" w:rsidRPr="002174F8" w:rsidRDefault="007779B6" w:rsidP="007779B6">
      <w:r w:rsidRPr="002174F8">
        <w:t>UK&amp;IE: Not used.</w:t>
      </w:r>
    </w:p>
    <w:p w:rsidR="007779B6" w:rsidRPr="002174F8" w:rsidRDefault="007779B6" w:rsidP="007779B6">
      <w:r w:rsidRPr="002174F8">
        <w:t>CH: Not used</w:t>
      </w:r>
    </w:p>
    <w:p w:rsidR="007779B6" w:rsidRPr="002174F8" w:rsidRDefault="007779B6" w:rsidP="007779B6">
      <w:r w:rsidRPr="002174F8">
        <w:t>ZA: Not used.</w:t>
      </w:r>
    </w:p>
    <w:p w:rsidR="007779B6" w:rsidRPr="002174F8" w:rsidRDefault="007779B6" w:rsidP="007779B6">
      <w:pPr>
        <w:pStyle w:val="Decisions"/>
      </w:pPr>
      <w:r w:rsidRPr="002174F8">
        <w:rPr>
          <w:b/>
        </w:rPr>
        <w:t>Decision:</w:t>
      </w:r>
      <w:r w:rsidRPr="002174F8">
        <w:t xml:space="preserve"> Keep item as open, allowing more markets to provide feedback before we decide to create a CR to remove INFO as a PROC code.</w:t>
      </w:r>
    </w:p>
    <w:p w:rsidR="007779B6" w:rsidRPr="007779B6" w:rsidRDefault="007779B6" w:rsidP="007779B6">
      <w:pPr>
        <w:pStyle w:val="Actions"/>
      </w:pPr>
      <w:r w:rsidRPr="008323B6">
        <w:rPr>
          <w:b/>
        </w:rPr>
        <w:t>Action</w:t>
      </w:r>
      <w:r w:rsidRPr="008323B6">
        <w:t xml:space="preserve">: </w:t>
      </w:r>
      <w:r w:rsidRPr="008323B6">
        <w:rPr>
          <w:u w:val="single"/>
        </w:rPr>
        <w:t>NMPGs</w:t>
      </w:r>
      <w:r w:rsidRPr="008323B6">
        <w:t xml:space="preserve"> which have not yet responded to provide feedback by the conference call on February 21</w:t>
      </w:r>
      <w:r>
        <w:t>st</w:t>
      </w:r>
      <w:r w:rsidRPr="008323B6">
        <w:t>.</w:t>
      </w:r>
    </w:p>
    <w:p w:rsidR="00F81DB3" w:rsidRDefault="00F81DB3" w:rsidP="00651EB7">
      <w:pPr>
        <w:pStyle w:val="Heading1"/>
        <w:rPr>
          <w:lang w:val="fr-BE"/>
        </w:rPr>
      </w:pPr>
      <w:bookmarkStart w:id="14" w:name="_Toc347397239"/>
      <w:r>
        <w:rPr>
          <w:lang w:val="fr-BE"/>
        </w:rPr>
        <w:t xml:space="preserve">TA - </w:t>
      </w:r>
      <w:r w:rsidRPr="008E171A">
        <w:rPr>
          <w:lang w:val="fr-BE"/>
        </w:rPr>
        <w:t>Tax Subgroup</w:t>
      </w:r>
      <w:bookmarkEnd w:id="14"/>
    </w:p>
    <w:p w:rsidR="00C37305" w:rsidRDefault="00C37305" w:rsidP="007779B6">
      <w:r>
        <w:t xml:space="preserve">Bernard has contacted Jyi Chen and the situation looks favourable, but he has not yet </w:t>
      </w:r>
      <w:r w:rsidR="007779B6">
        <w:t xml:space="preserve">fully </w:t>
      </w:r>
      <w:r>
        <w:t>confirme</w:t>
      </w:r>
      <w:r w:rsidR="007779B6">
        <w:t>d his institution will allow it (</w:t>
      </w:r>
      <w:r w:rsidR="007779B6" w:rsidRPr="007779B6">
        <w:rPr>
          <w:i/>
        </w:rPr>
        <w:t>post meeting comment: participation confirmed on January 31</w:t>
      </w:r>
      <w:r w:rsidR="007779B6">
        <w:t>).</w:t>
      </w:r>
    </w:p>
    <w:p w:rsidR="00C37305" w:rsidRDefault="002907A7" w:rsidP="002907A7">
      <w:pPr>
        <w:pStyle w:val="Actions"/>
      </w:pPr>
      <w:r w:rsidRPr="002907A7">
        <w:rPr>
          <w:b/>
        </w:rPr>
        <w:t>Action</w:t>
      </w:r>
      <w:r>
        <w:t xml:space="preserve">: </w:t>
      </w:r>
      <w:r w:rsidR="00C37305" w:rsidRPr="002907A7">
        <w:rPr>
          <w:u w:val="single"/>
        </w:rPr>
        <w:t xml:space="preserve">Jean-Pierre </w:t>
      </w:r>
      <w:proofErr w:type="spellStart"/>
      <w:r w:rsidRPr="002907A7">
        <w:rPr>
          <w:u w:val="single"/>
        </w:rPr>
        <w:t>Kla</w:t>
      </w:r>
      <w:r w:rsidR="007779B6" w:rsidRPr="002907A7">
        <w:rPr>
          <w:u w:val="single"/>
        </w:rPr>
        <w:t>k</w:t>
      </w:r>
      <w:proofErr w:type="spellEnd"/>
      <w:r w:rsidR="007779B6">
        <w:t xml:space="preserve"> </w:t>
      </w:r>
      <w:r w:rsidR="00C37305">
        <w:t xml:space="preserve">will contact </w:t>
      </w:r>
      <w:proofErr w:type="spellStart"/>
      <w:r w:rsidR="00C37305">
        <w:t>Jyi</w:t>
      </w:r>
      <w:proofErr w:type="spellEnd"/>
      <w:r w:rsidR="00C37305">
        <w:t xml:space="preserve"> Chen </w:t>
      </w:r>
      <w:r w:rsidR="009C2EB3">
        <w:t xml:space="preserve">together with Bernard </w:t>
      </w:r>
      <w:r w:rsidR="00C37305">
        <w:t xml:space="preserve">and they will arrange </w:t>
      </w:r>
      <w:r w:rsidR="007779B6">
        <w:t>for a</w:t>
      </w:r>
      <w:r w:rsidR="00C37305">
        <w:t xml:space="preserve"> first </w:t>
      </w:r>
      <w:r w:rsidR="007779B6">
        <w:t xml:space="preserve">subgroup </w:t>
      </w:r>
      <w:r w:rsidR="00C37305">
        <w:t>call</w:t>
      </w:r>
      <w:r>
        <w:t xml:space="preserve"> likely</w:t>
      </w:r>
      <w:r w:rsidR="007779B6">
        <w:t xml:space="preserve"> </w:t>
      </w:r>
      <w:r>
        <w:t xml:space="preserve">around end of </w:t>
      </w:r>
      <w:r w:rsidR="007779B6">
        <w:t>February</w:t>
      </w:r>
      <w:r w:rsidR="00C37305">
        <w:t>.</w:t>
      </w:r>
    </w:p>
    <w:p w:rsidR="00F81DB3" w:rsidRDefault="00F81DB3" w:rsidP="007779B6">
      <w:pPr>
        <w:rPr>
          <w:b/>
        </w:rPr>
      </w:pPr>
      <w:r w:rsidRPr="00927C3C">
        <w:rPr>
          <w:b/>
        </w:rPr>
        <w:t xml:space="preserve">To participate to the Tax subgroup: please contact </w:t>
      </w:r>
      <w:hyperlink r:id="rId22" w:history="1">
        <w:r w:rsidRPr="00E61C15">
          <w:rPr>
            <w:rStyle w:val="Hyperlink"/>
            <w:b/>
          </w:rPr>
          <w:t>bernard.lenelle@clearstream.com</w:t>
        </w:r>
      </w:hyperlink>
    </w:p>
    <w:p w:rsidR="00F81DB3" w:rsidRDefault="00F81DB3" w:rsidP="00651EB7">
      <w:pPr>
        <w:pStyle w:val="Heading1"/>
        <w:rPr>
          <w:lang w:val="fr-BE"/>
        </w:rPr>
      </w:pPr>
      <w:bookmarkStart w:id="15" w:name="_Toc347397240"/>
      <w:r>
        <w:rPr>
          <w:lang w:val="fr-BE"/>
        </w:rPr>
        <w:t xml:space="preserve">PV - </w:t>
      </w:r>
      <w:r w:rsidRPr="008E171A">
        <w:rPr>
          <w:lang w:val="fr-BE"/>
        </w:rPr>
        <w:t>PV Subgroup</w:t>
      </w:r>
      <w:bookmarkEnd w:id="15"/>
    </w:p>
    <w:p w:rsidR="00C37305" w:rsidRDefault="00C37305" w:rsidP="007779B6">
      <w:r>
        <w:t>The subgroup had a call yesterday, with good attendance. We completed the review of all PV messages. No further conference calls were deemed necessary at this time. The agreed next steps are:</w:t>
      </w:r>
    </w:p>
    <w:p w:rsidR="00C37305" w:rsidRPr="007779B6" w:rsidRDefault="007779B6" w:rsidP="006341E8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c</w:t>
      </w:r>
      <w:r w:rsidR="00C37305" w:rsidRPr="007779B6">
        <w:rPr>
          <w:sz w:val="20"/>
        </w:rPr>
        <w:t>irculation of consolidated minutes of all the previous meetings to the group</w:t>
      </w:r>
      <w:r>
        <w:rPr>
          <w:sz w:val="20"/>
        </w:rPr>
        <w:t>,</w:t>
      </w:r>
    </w:p>
    <w:p w:rsidR="00C37305" w:rsidRDefault="007779B6" w:rsidP="006341E8">
      <w:pPr>
        <w:pStyle w:val="ListParagraph"/>
        <w:numPr>
          <w:ilvl w:val="0"/>
          <w:numId w:val="15"/>
        </w:numPr>
        <w:rPr>
          <w:sz w:val="20"/>
        </w:rPr>
      </w:pPr>
      <w:proofErr w:type="gramStart"/>
      <w:r>
        <w:rPr>
          <w:sz w:val="20"/>
        </w:rPr>
        <w:t>t</w:t>
      </w:r>
      <w:r w:rsidR="00C37305" w:rsidRPr="007779B6">
        <w:rPr>
          <w:sz w:val="20"/>
        </w:rPr>
        <w:t>he</w:t>
      </w:r>
      <w:proofErr w:type="gramEnd"/>
      <w:r w:rsidR="00C37305" w:rsidRPr="007779B6">
        <w:rPr>
          <w:sz w:val="20"/>
        </w:rPr>
        <w:t xml:space="preserve"> co-chairs will jointly draft the recommendation document which will be circulated to the larger PV sub-group to confirm all are in agreement</w:t>
      </w:r>
      <w:r>
        <w:rPr>
          <w:sz w:val="20"/>
        </w:rPr>
        <w:t>.</w:t>
      </w:r>
    </w:p>
    <w:p w:rsidR="00C37305" w:rsidRPr="00C37305" w:rsidRDefault="009C2EB3" w:rsidP="009C2EB3">
      <w:pPr>
        <w:pStyle w:val="Actions"/>
      </w:pPr>
      <w:r w:rsidRPr="009C2EB3">
        <w:rPr>
          <w:b/>
          <w:lang w:eastAsia="en-GB"/>
        </w:rPr>
        <w:t>Actions</w:t>
      </w:r>
      <w:r w:rsidRPr="009C2EB3">
        <w:rPr>
          <w:lang w:eastAsia="en-GB"/>
        </w:rPr>
        <w:t>:</w:t>
      </w:r>
      <w:r>
        <w:rPr>
          <w:lang w:eastAsia="en-GB"/>
        </w:rPr>
        <w:t xml:space="preserve"> </w:t>
      </w:r>
      <w:r w:rsidRPr="009C2EB3">
        <w:rPr>
          <w:lang w:eastAsia="en-GB"/>
        </w:rPr>
        <w:t>PV sub-group members to provide feedback on final recommendation</w:t>
      </w:r>
      <w:r>
        <w:rPr>
          <w:lang w:eastAsia="en-GB"/>
        </w:rPr>
        <w:t>s.</w:t>
      </w:r>
    </w:p>
    <w:p w:rsidR="00F81DB3" w:rsidRDefault="00F81DB3" w:rsidP="00712934">
      <w:pPr>
        <w:rPr>
          <w:b/>
        </w:rPr>
      </w:pPr>
      <w:r w:rsidRPr="00927C3C">
        <w:rPr>
          <w:b/>
        </w:rPr>
        <w:lastRenderedPageBreak/>
        <w:t>To participate to the PV subgroup: please contact Christine Strandberg (</w:t>
      </w:r>
      <w:hyperlink r:id="rId23" w:history="1">
        <w:r w:rsidRPr="00927C3C">
          <w:rPr>
            <w:rStyle w:val="Hyperlink"/>
            <w:b/>
          </w:rPr>
          <w:t>Christine.strandberg@seb.se</w:t>
        </w:r>
      </w:hyperlink>
      <w:r w:rsidRPr="00927C3C">
        <w:rPr>
          <w:b/>
        </w:rPr>
        <w:t xml:space="preserve">) or </w:t>
      </w:r>
      <w:hyperlink r:id="rId24" w:history="1">
        <w:r w:rsidRPr="00927C3C">
          <w:rPr>
            <w:rStyle w:val="Hyperlink"/>
            <w:b/>
          </w:rPr>
          <w:t>jacques.littre@swift.com</w:t>
        </w:r>
      </w:hyperlink>
      <w:r w:rsidRPr="00927C3C">
        <w:rPr>
          <w:b/>
        </w:rPr>
        <w:t>.</w:t>
      </w:r>
    </w:p>
    <w:p w:rsidR="00C37305" w:rsidRDefault="00C37305" w:rsidP="00C37305">
      <w:pPr>
        <w:pStyle w:val="Heading1"/>
      </w:pPr>
      <w:bookmarkStart w:id="16" w:name="_Toc347397241"/>
      <w:r>
        <w:t>AOB</w:t>
      </w:r>
      <w:bookmarkEnd w:id="16"/>
    </w:p>
    <w:p w:rsidR="00C37305" w:rsidRPr="007779B6" w:rsidRDefault="007779B6" w:rsidP="007779B6">
      <w:pPr>
        <w:rPr>
          <w:b/>
          <w:u w:val="single"/>
        </w:rPr>
      </w:pPr>
      <w:r w:rsidRPr="007779B6">
        <w:rPr>
          <w:b/>
          <w:u w:val="single"/>
        </w:rPr>
        <w:t xml:space="preserve">Question from </w:t>
      </w:r>
      <w:r w:rsidR="00C37305" w:rsidRPr="007779B6">
        <w:rPr>
          <w:b/>
          <w:u w:val="single"/>
        </w:rPr>
        <w:t>Laura/MDPUG</w:t>
      </w:r>
    </w:p>
    <w:p w:rsidR="00C37305" w:rsidRDefault="00C37305" w:rsidP="007779B6">
      <w:r>
        <w:t>There has recently been a SOFF CHOS event</w:t>
      </w:r>
      <w:r w:rsidR="002907A7">
        <w:t xml:space="preserve"> (which is </w:t>
      </w:r>
      <w:proofErr w:type="gramStart"/>
      <w:r w:rsidR="002907A7">
        <w:t>n/a</w:t>
      </w:r>
      <w:proofErr w:type="gramEnd"/>
      <w:r w:rsidR="002907A7">
        <w:t xml:space="preserve"> in the EIG+ GG column) </w:t>
      </w:r>
      <w:r>
        <w:t>w</w:t>
      </w:r>
      <w:r w:rsidR="002907A7">
        <w:t>ith securities and cash options</w:t>
      </w:r>
      <w:r>
        <w:t xml:space="preserve"> without any rights involved</w:t>
      </w:r>
      <w:r w:rsidR="002907A7">
        <w:t xml:space="preserve"> whilst for the other cases of SOFF CHOS in BE and in DE columns, rights seemed always involved</w:t>
      </w:r>
      <w:r>
        <w:t>.</w:t>
      </w:r>
      <w:r w:rsidR="002907A7">
        <w:t xml:space="preserve"> This was never seen before.</w:t>
      </w:r>
    </w:p>
    <w:p w:rsidR="002907A7" w:rsidRDefault="00C37305" w:rsidP="002907A7">
      <w:pPr>
        <w:pStyle w:val="Decisions"/>
        <w:rPr>
          <w:b/>
        </w:rPr>
      </w:pPr>
      <w:r>
        <w:rPr>
          <w:b/>
        </w:rPr>
        <w:t xml:space="preserve">Decision: </w:t>
      </w:r>
      <w:r>
        <w:t>Add this as an open item.</w:t>
      </w:r>
      <w:r>
        <w:rPr>
          <w:b/>
        </w:rPr>
        <w:t xml:space="preserve"> </w:t>
      </w:r>
    </w:p>
    <w:p w:rsidR="006341E8" w:rsidRDefault="00C37305" w:rsidP="002907A7">
      <w:pPr>
        <w:pStyle w:val="Actions"/>
        <w:rPr>
          <w:b/>
        </w:rPr>
      </w:pPr>
      <w:r>
        <w:rPr>
          <w:b/>
        </w:rPr>
        <w:t xml:space="preserve">Action: </w:t>
      </w:r>
    </w:p>
    <w:p w:rsidR="006341E8" w:rsidRPr="006341E8" w:rsidRDefault="006341E8" w:rsidP="006341E8">
      <w:pPr>
        <w:pStyle w:val="Actions"/>
        <w:numPr>
          <w:ilvl w:val="0"/>
          <w:numId w:val="16"/>
        </w:numPr>
      </w:pPr>
      <w:r w:rsidRPr="006341E8">
        <w:rPr>
          <w:u w:val="single"/>
        </w:rPr>
        <w:t>Jacques</w:t>
      </w:r>
      <w:r>
        <w:rPr>
          <w:u w:val="single"/>
        </w:rPr>
        <w:t xml:space="preserve"> </w:t>
      </w:r>
      <w:r w:rsidRPr="006341E8">
        <w:t>to add new open item</w:t>
      </w:r>
      <w:r>
        <w:t>.</w:t>
      </w:r>
    </w:p>
    <w:p w:rsidR="00C37305" w:rsidRDefault="00C37305" w:rsidP="006341E8">
      <w:pPr>
        <w:pStyle w:val="Actions"/>
        <w:numPr>
          <w:ilvl w:val="0"/>
          <w:numId w:val="16"/>
        </w:numPr>
      </w:pPr>
      <w:r w:rsidRPr="006341E8">
        <w:rPr>
          <w:u w:val="single"/>
        </w:rPr>
        <w:t>NMPGs</w:t>
      </w:r>
      <w:r>
        <w:t xml:space="preserve"> are requested to investigate if this type of event has occurred in their market (or another), and if they would like to add a new line to the </w:t>
      </w:r>
      <w:r w:rsidR="006341E8">
        <w:t xml:space="preserve">GG for SOFF CHOS without </w:t>
      </w:r>
      <w:proofErr w:type="gramStart"/>
      <w:r w:rsidR="006341E8">
        <w:t>rights ?</w:t>
      </w:r>
      <w:proofErr w:type="gramEnd"/>
    </w:p>
    <w:p w:rsidR="006341E8" w:rsidRDefault="006341E8" w:rsidP="007779B6"/>
    <w:p w:rsidR="00C37305" w:rsidRPr="006341E8" w:rsidRDefault="006341E8" w:rsidP="007779B6">
      <w:pPr>
        <w:rPr>
          <w:b/>
          <w:u w:val="single"/>
        </w:rPr>
      </w:pPr>
      <w:r w:rsidRPr="006341E8">
        <w:rPr>
          <w:b/>
          <w:u w:val="single"/>
        </w:rPr>
        <w:t>Remark from Bernard about MyStandards group membership</w:t>
      </w:r>
    </w:p>
    <w:p w:rsidR="00C37305" w:rsidRDefault="00C37305" w:rsidP="007779B6">
      <w:r>
        <w:t xml:space="preserve">Clearstream </w:t>
      </w:r>
      <w:r w:rsidR="006341E8">
        <w:t xml:space="preserve">(MyStandards MI Premium </w:t>
      </w:r>
      <w:r w:rsidR="0009689B">
        <w:t>license</w:t>
      </w:r>
      <w:r w:rsidR="006341E8">
        <w:t>) recently noticed that t</w:t>
      </w:r>
      <w:r>
        <w:t xml:space="preserve">he </w:t>
      </w:r>
      <w:r w:rsidR="006341E8">
        <w:t>MyStandards group membership function</w:t>
      </w:r>
      <w:r>
        <w:t xml:space="preserve"> should not be used to </w:t>
      </w:r>
      <w:r w:rsidR="006341E8">
        <w:t>provide</w:t>
      </w:r>
      <w:r>
        <w:t xml:space="preserve"> access </w:t>
      </w:r>
      <w:r w:rsidR="006341E8">
        <w:t>rights to users external to the company.</w:t>
      </w:r>
      <w:r>
        <w:t xml:space="preserve"> </w:t>
      </w:r>
    </w:p>
    <w:p w:rsidR="006341E8" w:rsidRDefault="006341E8" w:rsidP="007779B6"/>
    <w:p w:rsidR="00F81DB3" w:rsidRPr="00927C3C" w:rsidRDefault="00F81DB3" w:rsidP="00D21B7D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>
        <w:rPr>
          <w:b/>
        </w:rPr>
        <w:t>Meeting Minutes -----------------</w:t>
      </w:r>
    </w:p>
    <w:sectPr w:rsidR="00F81DB3" w:rsidRPr="00927C3C" w:rsidSect="002322DE">
      <w:headerReference w:type="even" r:id="rId25"/>
      <w:headerReference w:type="default" r:id="rId26"/>
      <w:headerReference w:type="first" r:id="rId27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9B" w:rsidRDefault="0009689B" w:rsidP="00592037">
      <w:r>
        <w:separator/>
      </w:r>
    </w:p>
    <w:p w:rsidR="0009689B" w:rsidRDefault="0009689B" w:rsidP="00592037"/>
  </w:endnote>
  <w:endnote w:type="continuationSeparator" w:id="0">
    <w:p w:rsidR="0009689B" w:rsidRDefault="0009689B" w:rsidP="00592037">
      <w:r>
        <w:continuationSeparator/>
      </w:r>
    </w:p>
    <w:p w:rsidR="0009689B" w:rsidRDefault="0009689B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Default="0009689B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689B" w:rsidRDefault="0009689B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Pr="00F23DA7" w:rsidRDefault="0009689B" w:rsidP="00592037">
    <w:pPr>
      <w:pStyle w:val="Footer"/>
      <w:rPr>
        <w:lang w:val="fr-BE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>
      <w:rPr>
        <w:noProof/>
        <w:sz w:val="16"/>
        <w:szCs w:val="16"/>
        <w:lang w:val="sv-SE"/>
      </w:rPr>
      <w:t>Draft mins SMPG CA telco_20130124_v0_1</w:t>
    </w:r>
    <w:r w:rsidRPr="008C30B6">
      <w:rPr>
        <w:sz w:val="16"/>
        <w:szCs w:val="16"/>
      </w:rPr>
      <w:fldChar w:fldCharType="end"/>
    </w:r>
    <w:r w:rsidRPr="00F23DA7">
      <w:rPr>
        <w:lang w:val="fr-BE"/>
      </w:rPr>
      <w:tab/>
      <w:t xml:space="preserve">Page </w:t>
    </w:r>
    <w:r w:rsidRPr="00D53847">
      <w:rPr>
        <w:lang w:val="fr-BE"/>
      </w:rPr>
      <w:fldChar w:fldCharType="begin"/>
    </w:r>
    <w:r w:rsidRPr="00D53847">
      <w:rPr>
        <w:lang w:val="fr-BE"/>
      </w:rPr>
      <w:instrText xml:space="preserve"> PAGE   \* MERGEFORMAT </w:instrText>
    </w:r>
    <w:r w:rsidRPr="00D53847">
      <w:rPr>
        <w:lang w:val="fr-BE"/>
      </w:rPr>
      <w:fldChar w:fldCharType="separate"/>
    </w:r>
    <w:r w:rsidR="00930DD6">
      <w:rPr>
        <w:noProof/>
        <w:lang w:val="fr-BE"/>
      </w:rPr>
      <w:t>1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9B" w:rsidRDefault="0009689B" w:rsidP="00592037">
      <w:r>
        <w:separator/>
      </w:r>
    </w:p>
    <w:p w:rsidR="0009689B" w:rsidRDefault="0009689B" w:rsidP="00592037"/>
  </w:footnote>
  <w:footnote w:type="continuationSeparator" w:id="0">
    <w:p w:rsidR="0009689B" w:rsidRDefault="0009689B" w:rsidP="00592037">
      <w:r>
        <w:continuationSeparator/>
      </w:r>
    </w:p>
    <w:p w:rsidR="0009689B" w:rsidRDefault="0009689B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Default="0009689B" w:rsidP="0059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Pr="00284B42" w:rsidRDefault="00930DD6" w:rsidP="00922CCC">
    <w:pPr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424262681" r:id="rId2"/>
      </w:pict>
    </w:r>
    <w:r w:rsidR="0009689B" w:rsidRPr="00284B42">
      <w:rPr>
        <w:b/>
      </w:rPr>
      <w:t xml:space="preserve">CA SMPG </w:t>
    </w:r>
    <w:r w:rsidR="0009689B">
      <w:rPr>
        <w:b/>
      </w:rPr>
      <w:t>– 24 January Conference Call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Default="0009689B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3F3B18"/>
    <w:multiLevelType w:val="multilevel"/>
    <w:tmpl w:val="8418FFD4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2">
    <w:nsid w:val="1B4D134D"/>
    <w:multiLevelType w:val="hybridMultilevel"/>
    <w:tmpl w:val="3BDA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42A"/>
    <w:multiLevelType w:val="hybridMultilevel"/>
    <w:tmpl w:val="43A4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75AD9"/>
    <w:multiLevelType w:val="hybridMultilevel"/>
    <w:tmpl w:val="F726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7136"/>
    <w:multiLevelType w:val="hybridMultilevel"/>
    <w:tmpl w:val="456E0BF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D94B86"/>
    <w:multiLevelType w:val="hybridMultilevel"/>
    <w:tmpl w:val="1A1C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F27D9"/>
    <w:multiLevelType w:val="hybridMultilevel"/>
    <w:tmpl w:val="B868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B0C66"/>
    <w:multiLevelType w:val="hybridMultilevel"/>
    <w:tmpl w:val="C17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821A9"/>
    <w:multiLevelType w:val="hybridMultilevel"/>
    <w:tmpl w:val="00DAEB38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>
      <o:colormenu v:ext="edit" fillcolor="none [130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241A"/>
    <w:rsid w:val="00002D65"/>
    <w:rsid w:val="000051B3"/>
    <w:rsid w:val="00005A1F"/>
    <w:rsid w:val="00005B96"/>
    <w:rsid w:val="0001004E"/>
    <w:rsid w:val="00010813"/>
    <w:rsid w:val="000152DC"/>
    <w:rsid w:val="000157C2"/>
    <w:rsid w:val="00015AA5"/>
    <w:rsid w:val="00015F15"/>
    <w:rsid w:val="00015FFC"/>
    <w:rsid w:val="00017532"/>
    <w:rsid w:val="0001783E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57FF"/>
    <w:rsid w:val="00037351"/>
    <w:rsid w:val="00043D75"/>
    <w:rsid w:val="00044AD0"/>
    <w:rsid w:val="00046B58"/>
    <w:rsid w:val="00046E03"/>
    <w:rsid w:val="00047EB2"/>
    <w:rsid w:val="00052FE4"/>
    <w:rsid w:val="0005309A"/>
    <w:rsid w:val="000530AA"/>
    <w:rsid w:val="00056990"/>
    <w:rsid w:val="00057A3B"/>
    <w:rsid w:val="00057AD3"/>
    <w:rsid w:val="00057B4E"/>
    <w:rsid w:val="000610F8"/>
    <w:rsid w:val="00063494"/>
    <w:rsid w:val="00063E96"/>
    <w:rsid w:val="00066415"/>
    <w:rsid w:val="0006676A"/>
    <w:rsid w:val="000669C7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6786"/>
    <w:rsid w:val="000768FB"/>
    <w:rsid w:val="00081263"/>
    <w:rsid w:val="00087328"/>
    <w:rsid w:val="0008767E"/>
    <w:rsid w:val="0009050D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7A2"/>
    <w:rsid w:val="000A0FAC"/>
    <w:rsid w:val="000A0FFC"/>
    <w:rsid w:val="000A198A"/>
    <w:rsid w:val="000A2DA8"/>
    <w:rsid w:val="000A3489"/>
    <w:rsid w:val="000A4E72"/>
    <w:rsid w:val="000A4F55"/>
    <w:rsid w:val="000A641E"/>
    <w:rsid w:val="000A785A"/>
    <w:rsid w:val="000A7B3B"/>
    <w:rsid w:val="000B1811"/>
    <w:rsid w:val="000B1929"/>
    <w:rsid w:val="000B4025"/>
    <w:rsid w:val="000B557A"/>
    <w:rsid w:val="000B5831"/>
    <w:rsid w:val="000B5DFD"/>
    <w:rsid w:val="000B7094"/>
    <w:rsid w:val="000B70C1"/>
    <w:rsid w:val="000C0868"/>
    <w:rsid w:val="000C103C"/>
    <w:rsid w:val="000C15E7"/>
    <w:rsid w:val="000C29FB"/>
    <w:rsid w:val="000C5A2C"/>
    <w:rsid w:val="000D0384"/>
    <w:rsid w:val="000D04FB"/>
    <w:rsid w:val="000D1EB3"/>
    <w:rsid w:val="000D3E94"/>
    <w:rsid w:val="000D46A6"/>
    <w:rsid w:val="000D493E"/>
    <w:rsid w:val="000D4C85"/>
    <w:rsid w:val="000D59FE"/>
    <w:rsid w:val="000D5B98"/>
    <w:rsid w:val="000D7A8E"/>
    <w:rsid w:val="000D7B6D"/>
    <w:rsid w:val="000D7D63"/>
    <w:rsid w:val="000E0ADE"/>
    <w:rsid w:val="000E20CE"/>
    <w:rsid w:val="000E2A55"/>
    <w:rsid w:val="000E2F7A"/>
    <w:rsid w:val="000E4C23"/>
    <w:rsid w:val="000E5503"/>
    <w:rsid w:val="000E5ACC"/>
    <w:rsid w:val="000E6687"/>
    <w:rsid w:val="000E7A30"/>
    <w:rsid w:val="000F07A5"/>
    <w:rsid w:val="000F4705"/>
    <w:rsid w:val="001006E9"/>
    <w:rsid w:val="0010148B"/>
    <w:rsid w:val="001021B7"/>
    <w:rsid w:val="00104342"/>
    <w:rsid w:val="00104E0B"/>
    <w:rsid w:val="00106021"/>
    <w:rsid w:val="00107248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B68"/>
    <w:rsid w:val="001210F0"/>
    <w:rsid w:val="001219C5"/>
    <w:rsid w:val="00123412"/>
    <w:rsid w:val="00124456"/>
    <w:rsid w:val="00125819"/>
    <w:rsid w:val="00125C14"/>
    <w:rsid w:val="001278D7"/>
    <w:rsid w:val="0013330E"/>
    <w:rsid w:val="00133F85"/>
    <w:rsid w:val="00134A8B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8E0"/>
    <w:rsid w:val="00143CD5"/>
    <w:rsid w:val="00144D89"/>
    <w:rsid w:val="0014506F"/>
    <w:rsid w:val="001470EA"/>
    <w:rsid w:val="00147C1D"/>
    <w:rsid w:val="00152168"/>
    <w:rsid w:val="00152AFF"/>
    <w:rsid w:val="00155A05"/>
    <w:rsid w:val="00155B4B"/>
    <w:rsid w:val="00156EF0"/>
    <w:rsid w:val="0015716F"/>
    <w:rsid w:val="00157457"/>
    <w:rsid w:val="001577B5"/>
    <w:rsid w:val="00160901"/>
    <w:rsid w:val="001661A6"/>
    <w:rsid w:val="001676C8"/>
    <w:rsid w:val="00167ADC"/>
    <w:rsid w:val="0017306F"/>
    <w:rsid w:val="001753F9"/>
    <w:rsid w:val="001803DE"/>
    <w:rsid w:val="0018324D"/>
    <w:rsid w:val="001865D5"/>
    <w:rsid w:val="001868D6"/>
    <w:rsid w:val="001869F3"/>
    <w:rsid w:val="00187EB0"/>
    <w:rsid w:val="00190D5F"/>
    <w:rsid w:val="00191E31"/>
    <w:rsid w:val="00193B1C"/>
    <w:rsid w:val="00193C6C"/>
    <w:rsid w:val="00196DC2"/>
    <w:rsid w:val="001A0FFD"/>
    <w:rsid w:val="001A13AA"/>
    <w:rsid w:val="001A2F9A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7F34"/>
    <w:rsid w:val="001E0FF9"/>
    <w:rsid w:val="001E3E8E"/>
    <w:rsid w:val="001E44C0"/>
    <w:rsid w:val="001E5AAA"/>
    <w:rsid w:val="001E774B"/>
    <w:rsid w:val="001E78CC"/>
    <w:rsid w:val="001F2C65"/>
    <w:rsid w:val="001F3F45"/>
    <w:rsid w:val="001F70B4"/>
    <w:rsid w:val="0020115E"/>
    <w:rsid w:val="00201BDB"/>
    <w:rsid w:val="00202058"/>
    <w:rsid w:val="0020323F"/>
    <w:rsid w:val="0020391C"/>
    <w:rsid w:val="00206DF5"/>
    <w:rsid w:val="00211C67"/>
    <w:rsid w:val="002127BA"/>
    <w:rsid w:val="00212BFF"/>
    <w:rsid w:val="002131AF"/>
    <w:rsid w:val="0021532F"/>
    <w:rsid w:val="00215780"/>
    <w:rsid w:val="00216A0C"/>
    <w:rsid w:val="00217002"/>
    <w:rsid w:val="002178B6"/>
    <w:rsid w:val="002200DE"/>
    <w:rsid w:val="002200F0"/>
    <w:rsid w:val="00220F3C"/>
    <w:rsid w:val="00221837"/>
    <w:rsid w:val="00222412"/>
    <w:rsid w:val="002251B0"/>
    <w:rsid w:val="00226A54"/>
    <w:rsid w:val="0022784C"/>
    <w:rsid w:val="00230996"/>
    <w:rsid w:val="00230BC8"/>
    <w:rsid w:val="0023157A"/>
    <w:rsid w:val="002321F8"/>
    <w:rsid w:val="002322DE"/>
    <w:rsid w:val="00232E54"/>
    <w:rsid w:val="00236BA7"/>
    <w:rsid w:val="00236F14"/>
    <w:rsid w:val="0023774C"/>
    <w:rsid w:val="00240BD1"/>
    <w:rsid w:val="00240FD7"/>
    <w:rsid w:val="00241C46"/>
    <w:rsid w:val="002454FF"/>
    <w:rsid w:val="002456C7"/>
    <w:rsid w:val="00245BAF"/>
    <w:rsid w:val="0024663A"/>
    <w:rsid w:val="00246A6A"/>
    <w:rsid w:val="00246C2F"/>
    <w:rsid w:val="002508BC"/>
    <w:rsid w:val="00251E0B"/>
    <w:rsid w:val="0025223A"/>
    <w:rsid w:val="002533BB"/>
    <w:rsid w:val="002549AE"/>
    <w:rsid w:val="00254E98"/>
    <w:rsid w:val="00257190"/>
    <w:rsid w:val="0025798E"/>
    <w:rsid w:val="00260B07"/>
    <w:rsid w:val="00262E44"/>
    <w:rsid w:val="00262F75"/>
    <w:rsid w:val="00265B60"/>
    <w:rsid w:val="00266341"/>
    <w:rsid w:val="00266950"/>
    <w:rsid w:val="00270080"/>
    <w:rsid w:val="00272B37"/>
    <w:rsid w:val="00273F18"/>
    <w:rsid w:val="00275165"/>
    <w:rsid w:val="00276C1F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907A7"/>
    <w:rsid w:val="0029301A"/>
    <w:rsid w:val="00293BD3"/>
    <w:rsid w:val="0029519D"/>
    <w:rsid w:val="00297D5D"/>
    <w:rsid w:val="002A0A67"/>
    <w:rsid w:val="002A1D00"/>
    <w:rsid w:val="002A22A1"/>
    <w:rsid w:val="002A4CC2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401C"/>
    <w:rsid w:val="002C666D"/>
    <w:rsid w:val="002D13AB"/>
    <w:rsid w:val="002D15BA"/>
    <w:rsid w:val="002D20A6"/>
    <w:rsid w:val="002D26F6"/>
    <w:rsid w:val="002D33B9"/>
    <w:rsid w:val="002D3ECD"/>
    <w:rsid w:val="002D4171"/>
    <w:rsid w:val="002D5579"/>
    <w:rsid w:val="002D5A70"/>
    <w:rsid w:val="002D666A"/>
    <w:rsid w:val="002D6EC7"/>
    <w:rsid w:val="002E08BB"/>
    <w:rsid w:val="002E39DA"/>
    <w:rsid w:val="002F0EA9"/>
    <w:rsid w:val="002F1879"/>
    <w:rsid w:val="002F18DE"/>
    <w:rsid w:val="002F3775"/>
    <w:rsid w:val="002F434C"/>
    <w:rsid w:val="002F7332"/>
    <w:rsid w:val="002F79AF"/>
    <w:rsid w:val="0030375D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BE1"/>
    <w:rsid w:val="00324805"/>
    <w:rsid w:val="0032483E"/>
    <w:rsid w:val="003261CF"/>
    <w:rsid w:val="00327C15"/>
    <w:rsid w:val="00330A55"/>
    <w:rsid w:val="00330C7E"/>
    <w:rsid w:val="00332F91"/>
    <w:rsid w:val="00333A87"/>
    <w:rsid w:val="003439BE"/>
    <w:rsid w:val="00345586"/>
    <w:rsid w:val="00346733"/>
    <w:rsid w:val="00346AA9"/>
    <w:rsid w:val="003524FD"/>
    <w:rsid w:val="003525AE"/>
    <w:rsid w:val="0035412E"/>
    <w:rsid w:val="003549AC"/>
    <w:rsid w:val="003559F3"/>
    <w:rsid w:val="003562A2"/>
    <w:rsid w:val="003569DA"/>
    <w:rsid w:val="003611AC"/>
    <w:rsid w:val="00361484"/>
    <w:rsid w:val="00363C0E"/>
    <w:rsid w:val="003656AB"/>
    <w:rsid w:val="003657AB"/>
    <w:rsid w:val="0037101D"/>
    <w:rsid w:val="00371B50"/>
    <w:rsid w:val="00371D8F"/>
    <w:rsid w:val="003750EA"/>
    <w:rsid w:val="00375D17"/>
    <w:rsid w:val="00376698"/>
    <w:rsid w:val="0037670C"/>
    <w:rsid w:val="00376A6D"/>
    <w:rsid w:val="00377295"/>
    <w:rsid w:val="003815C4"/>
    <w:rsid w:val="00381A23"/>
    <w:rsid w:val="00382B23"/>
    <w:rsid w:val="00383BD5"/>
    <w:rsid w:val="00384B04"/>
    <w:rsid w:val="00385E1E"/>
    <w:rsid w:val="0039065D"/>
    <w:rsid w:val="0039109C"/>
    <w:rsid w:val="00392112"/>
    <w:rsid w:val="00393230"/>
    <w:rsid w:val="003949C9"/>
    <w:rsid w:val="0039522C"/>
    <w:rsid w:val="0039626C"/>
    <w:rsid w:val="003979EC"/>
    <w:rsid w:val="003A0493"/>
    <w:rsid w:val="003A3863"/>
    <w:rsid w:val="003A4FB7"/>
    <w:rsid w:val="003A50DC"/>
    <w:rsid w:val="003A548A"/>
    <w:rsid w:val="003A630B"/>
    <w:rsid w:val="003A66B0"/>
    <w:rsid w:val="003A694B"/>
    <w:rsid w:val="003B0CD2"/>
    <w:rsid w:val="003B0CEF"/>
    <w:rsid w:val="003B1348"/>
    <w:rsid w:val="003B1C69"/>
    <w:rsid w:val="003B250E"/>
    <w:rsid w:val="003B28EF"/>
    <w:rsid w:val="003B43BF"/>
    <w:rsid w:val="003B46C6"/>
    <w:rsid w:val="003B4992"/>
    <w:rsid w:val="003B54B2"/>
    <w:rsid w:val="003B5D70"/>
    <w:rsid w:val="003B7A76"/>
    <w:rsid w:val="003C292A"/>
    <w:rsid w:val="003C3076"/>
    <w:rsid w:val="003C3419"/>
    <w:rsid w:val="003C44DF"/>
    <w:rsid w:val="003C4F1E"/>
    <w:rsid w:val="003C599B"/>
    <w:rsid w:val="003C762F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D3"/>
    <w:rsid w:val="003F79E6"/>
    <w:rsid w:val="0040048C"/>
    <w:rsid w:val="0040244E"/>
    <w:rsid w:val="00403047"/>
    <w:rsid w:val="00403D4A"/>
    <w:rsid w:val="00404C0C"/>
    <w:rsid w:val="00404FF3"/>
    <w:rsid w:val="004059D7"/>
    <w:rsid w:val="0040717B"/>
    <w:rsid w:val="0040750A"/>
    <w:rsid w:val="004078BD"/>
    <w:rsid w:val="00410935"/>
    <w:rsid w:val="00410D38"/>
    <w:rsid w:val="0041103C"/>
    <w:rsid w:val="0041398D"/>
    <w:rsid w:val="00413A6E"/>
    <w:rsid w:val="00413DCF"/>
    <w:rsid w:val="0041445A"/>
    <w:rsid w:val="0041468C"/>
    <w:rsid w:val="00415DB0"/>
    <w:rsid w:val="004168D8"/>
    <w:rsid w:val="004175A3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67E8"/>
    <w:rsid w:val="00436BB0"/>
    <w:rsid w:val="004378C7"/>
    <w:rsid w:val="0044105F"/>
    <w:rsid w:val="0044227C"/>
    <w:rsid w:val="0044610D"/>
    <w:rsid w:val="004466C3"/>
    <w:rsid w:val="00450EBE"/>
    <w:rsid w:val="00451AAA"/>
    <w:rsid w:val="00454A63"/>
    <w:rsid w:val="00456BBD"/>
    <w:rsid w:val="00456E82"/>
    <w:rsid w:val="00457BF4"/>
    <w:rsid w:val="00465D09"/>
    <w:rsid w:val="00465F68"/>
    <w:rsid w:val="0046643B"/>
    <w:rsid w:val="0046661C"/>
    <w:rsid w:val="004672F5"/>
    <w:rsid w:val="00467DC3"/>
    <w:rsid w:val="00467FE4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1AE"/>
    <w:rsid w:val="00486DD6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7FD4"/>
    <w:rsid w:val="004B070C"/>
    <w:rsid w:val="004B12EF"/>
    <w:rsid w:val="004B1735"/>
    <w:rsid w:val="004B1DE9"/>
    <w:rsid w:val="004B2026"/>
    <w:rsid w:val="004B2F86"/>
    <w:rsid w:val="004B376B"/>
    <w:rsid w:val="004B410C"/>
    <w:rsid w:val="004B449F"/>
    <w:rsid w:val="004B5DE4"/>
    <w:rsid w:val="004B68CC"/>
    <w:rsid w:val="004B69EF"/>
    <w:rsid w:val="004B7DFC"/>
    <w:rsid w:val="004B7E5A"/>
    <w:rsid w:val="004B7FE6"/>
    <w:rsid w:val="004C09AB"/>
    <w:rsid w:val="004C1D25"/>
    <w:rsid w:val="004C2196"/>
    <w:rsid w:val="004C2926"/>
    <w:rsid w:val="004C4A2E"/>
    <w:rsid w:val="004C4CE2"/>
    <w:rsid w:val="004C4DB3"/>
    <w:rsid w:val="004C4DFA"/>
    <w:rsid w:val="004C6BD1"/>
    <w:rsid w:val="004D04FF"/>
    <w:rsid w:val="004D0EDD"/>
    <w:rsid w:val="004D26FC"/>
    <w:rsid w:val="004D2C5C"/>
    <w:rsid w:val="004D2E16"/>
    <w:rsid w:val="004D4937"/>
    <w:rsid w:val="004E0F76"/>
    <w:rsid w:val="004E1DAE"/>
    <w:rsid w:val="004E210B"/>
    <w:rsid w:val="004E4BA3"/>
    <w:rsid w:val="004E62F4"/>
    <w:rsid w:val="004E646D"/>
    <w:rsid w:val="004E7310"/>
    <w:rsid w:val="004F0F26"/>
    <w:rsid w:val="004F1F1E"/>
    <w:rsid w:val="004F21AC"/>
    <w:rsid w:val="004F24AC"/>
    <w:rsid w:val="004F4B63"/>
    <w:rsid w:val="004F4DA3"/>
    <w:rsid w:val="004F506B"/>
    <w:rsid w:val="004F6152"/>
    <w:rsid w:val="004F76FA"/>
    <w:rsid w:val="005023A2"/>
    <w:rsid w:val="005028FD"/>
    <w:rsid w:val="00506869"/>
    <w:rsid w:val="00510058"/>
    <w:rsid w:val="00510BCA"/>
    <w:rsid w:val="00512424"/>
    <w:rsid w:val="00513624"/>
    <w:rsid w:val="00514138"/>
    <w:rsid w:val="00514C3A"/>
    <w:rsid w:val="00514E75"/>
    <w:rsid w:val="00515DFE"/>
    <w:rsid w:val="00515E18"/>
    <w:rsid w:val="00516819"/>
    <w:rsid w:val="00520473"/>
    <w:rsid w:val="0052413A"/>
    <w:rsid w:val="0052689B"/>
    <w:rsid w:val="0052715F"/>
    <w:rsid w:val="00534622"/>
    <w:rsid w:val="00534F9F"/>
    <w:rsid w:val="0053546A"/>
    <w:rsid w:val="00536C9B"/>
    <w:rsid w:val="0054022C"/>
    <w:rsid w:val="005405BF"/>
    <w:rsid w:val="0054102E"/>
    <w:rsid w:val="00543A08"/>
    <w:rsid w:val="00544027"/>
    <w:rsid w:val="005453F8"/>
    <w:rsid w:val="005467BF"/>
    <w:rsid w:val="00547137"/>
    <w:rsid w:val="00547E78"/>
    <w:rsid w:val="0055015B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61321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492E"/>
    <w:rsid w:val="00574E2C"/>
    <w:rsid w:val="0057519C"/>
    <w:rsid w:val="0057620D"/>
    <w:rsid w:val="005764E6"/>
    <w:rsid w:val="005764ED"/>
    <w:rsid w:val="00577A1B"/>
    <w:rsid w:val="00577DA2"/>
    <w:rsid w:val="00581D77"/>
    <w:rsid w:val="00583B21"/>
    <w:rsid w:val="005850FF"/>
    <w:rsid w:val="00585DE9"/>
    <w:rsid w:val="005900B9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5198"/>
    <w:rsid w:val="005B0264"/>
    <w:rsid w:val="005B4768"/>
    <w:rsid w:val="005C033A"/>
    <w:rsid w:val="005C066C"/>
    <w:rsid w:val="005C0760"/>
    <w:rsid w:val="005C2A8B"/>
    <w:rsid w:val="005C39DE"/>
    <w:rsid w:val="005C3E37"/>
    <w:rsid w:val="005C3FCB"/>
    <w:rsid w:val="005C410F"/>
    <w:rsid w:val="005C54C3"/>
    <w:rsid w:val="005C7169"/>
    <w:rsid w:val="005D082A"/>
    <w:rsid w:val="005D1D53"/>
    <w:rsid w:val="005D495D"/>
    <w:rsid w:val="005E0B6F"/>
    <w:rsid w:val="005E2A81"/>
    <w:rsid w:val="005E337F"/>
    <w:rsid w:val="005E4A0B"/>
    <w:rsid w:val="005E64E7"/>
    <w:rsid w:val="005E6846"/>
    <w:rsid w:val="005E6B80"/>
    <w:rsid w:val="005E74B2"/>
    <w:rsid w:val="005E7C94"/>
    <w:rsid w:val="005F1349"/>
    <w:rsid w:val="005F4089"/>
    <w:rsid w:val="005F4BB5"/>
    <w:rsid w:val="005F76A1"/>
    <w:rsid w:val="00601B63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750F"/>
    <w:rsid w:val="00622B75"/>
    <w:rsid w:val="00625958"/>
    <w:rsid w:val="00631595"/>
    <w:rsid w:val="006341E8"/>
    <w:rsid w:val="00634CFC"/>
    <w:rsid w:val="0063519F"/>
    <w:rsid w:val="00635ECA"/>
    <w:rsid w:val="006366E2"/>
    <w:rsid w:val="00636A0D"/>
    <w:rsid w:val="0064140F"/>
    <w:rsid w:val="00645061"/>
    <w:rsid w:val="00645735"/>
    <w:rsid w:val="006477E1"/>
    <w:rsid w:val="00650969"/>
    <w:rsid w:val="00650C44"/>
    <w:rsid w:val="00651E32"/>
    <w:rsid w:val="00651EB7"/>
    <w:rsid w:val="00652BDD"/>
    <w:rsid w:val="00653B37"/>
    <w:rsid w:val="006547EA"/>
    <w:rsid w:val="006559FF"/>
    <w:rsid w:val="00656EEB"/>
    <w:rsid w:val="0065719E"/>
    <w:rsid w:val="0065757D"/>
    <w:rsid w:val="00657EA2"/>
    <w:rsid w:val="006631D6"/>
    <w:rsid w:val="00663C8B"/>
    <w:rsid w:val="00665A6E"/>
    <w:rsid w:val="00665D03"/>
    <w:rsid w:val="00667717"/>
    <w:rsid w:val="0066790E"/>
    <w:rsid w:val="00667989"/>
    <w:rsid w:val="00671693"/>
    <w:rsid w:val="0067632B"/>
    <w:rsid w:val="00676435"/>
    <w:rsid w:val="00676523"/>
    <w:rsid w:val="00676727"/>
    <w:rsid w:val="00676EF9"/>
    <w:rsid w:val="00677719"/>
    <w:rsid w:val="00681363"/>
    <w:rsid w:val="006825E0"/>
    <w:rsid w:val="006830D0"/>
    <w:rsid w:val="006831EF"/>
    <w:rsid w:val="0068361F"/>
    <w:rsid w:val="0068464B"/>
    <w:rsid w:val="006846A1"/>
    <w:rsid w:val="006863FE"/>
    <w:rsid w:val="006877D0"/>
    <w:rsid w:val="006904E8"/>
    <w:rsid w:val="0069103E"/>
    <w:rsid w:val="0069126A"/>
    <w:rsid w:val="0069148C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B98"/>
    <w:rsid w:val="006A19D2"/>
    <w:rsid w:val="006A1E17"/>
    <w:rsid w:val="006A2185"/>
    <w:rsid w:val="006A442B"/>
    <w:rsid w:val="006A4887"/>
    <w:rsid w:val="006A73DE"/>
    <w:rsid w:val="006B13A7"/>
    <w:rsid w:val="006B2D15"/>
    <w:rsid w:val="006B5372"/>
    <w:rsid w:val="006B60FA"/>
    <w:rsid w:val="006C1A33"/>
    <w:rsid w:val="006C216A"/>
    <w:rsid w:val="006C2ADA"/>
    <w:rsid w:val="006C4331"/>
    <w:rsid w:val="006C5C86"/>
    <w:rsid w:val="006C7749"/>
    <w:rsid w:val="006D1C81"/>
    <w:rsid w:val="006D1DD6"/>
    <w:rsid w:val="006D1DE0"/>
    <w:rsid w:val="006D290F"/>
    <w:rsid w:val="006D3A23"/>
    <w:rsid w:val="006D4E80"/>
    <w:rsid w:val="006D7688"/>
    <w:rsid w:val="006E1767"/>
    <w:rsid w:val="006E1BB8"/>
    <w:rsid w:val="006E5FAB"/>
    <w:rsid w:val="006E6E56"/>
    <w:rsid w:val="006F06A6"/>
    <w:rsid w:val="006F1F52"/>
    <w:rsid w:val="006F1F8A"/>
    <w:rsid w:val="006F2337"/>
    <w:rsid w:val="006F3139"/>
    <w:rsid w:val="006F3B70"/>
    <w:rsid w:val="006F41C4"/>
    <w:rsid w:val="006F5EB8"/>
    <w:rsid w:val="006F680E"/>
    <w:rsid w:val="006F7DC5"/>
    <w:rsid w:val="00700C78"/>
    <w:rsid w:val="0070379B"/>
    <w:rsid w:val="0070770C"/>
    <w:rsid w:val="007107F2"/>
    <w:rsid w:val="007114CE"/>
    <w:rsid w:val="00712934"/>
    <w:rsid w:val="00713AC9"/>
    <w:rsid w:val="00715D9E"/>
    <w:rsid w:val="0071665F"/>
    <w:rsid w:val="007208B6"/>
    <w:rsid w:val="00722447"/>
    <w:rsid w:val="00724382"/>
    <w:rsid w:val="00725070"/>
    <w:rsid w:val="00725EDA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4DE6"/>
    <w:rsid w:val="007359F5"/>
    <w:rsid w:val="0073707E"/>
    <w:rsid w:val="0073772C"/>
    <w:rsid w:val="00737BF1"/>
    <w:rsid w:val="0074191F"/>
    <w:rsid w:val="00743759"/>
    <w:rsid w:val="007444CA"/>
    <w:rsid w:val="00746488"/>
    <w:rsid w:val="00746C2E"/>
    <w:rsid w:val="0075032C"/>
    <w:rsid w:val="0075046F"/>
    <w:rsid w:val="007530F5"/>
    <w:rsid w:val="00754448"/>
    <w:rsid w:val="00754DB9"/>
    <w:rsid w:val="0075589B"/>
    <w:rsid w:val="00756700"/>
    <w:rsid w:val="00756959"/>
    <w:rsid w:val="00757308"/>
    <w:rsid w:val="007647F8"/>
    <w:rsid w:val="00764C15"/>
    <w:rsid w:val="0076568D"/>
    <w:rsid w:val="00766046"/>
    <w:rsid w:val="0076639E"/>
    <w:rsid w:val="00766510"/>
    <w:rsid w:val="0077339B"/>
    <w:rsid w:val="00774BF3"/>
    <w:rsid w:val="00775A74"/>
    <w:rsid w:val="00776E2D"/>
    <w:rsid w:val="007779B6"/>
    <w:rsid w:val="0078177E"/>
    <w:rsid w:val="007817DB"/>
    <w:rsid w:val="0078318E"/>
    <w:rsid w:val="00783962"/>
    <w:rsid w:val="007862E3"/>
    <w:rsid w:val="00787ECD"/>
    <w:rsid w:val="00791DDD"/>
    <w:rsid w:val="00793A2D"/>
    <w:rsid w:val="007943BE"/>
    <w:rsid w:val="00795A51"/>
    <w:rsid w:val="00797286"/>
    <w:rsid w:val="007972D3"/>
    <w:rsid w:val="0079798E"/>
    <w:rsid w:val="00797D9A"/>
    <w:rsid w:val="00797FD5"/>
    <w:rsid w:val="007A08A5"/>
    <w:rsid w:val="007A26AC"/>
    <w:rsid w:val="007A3D8D"/>
    <w:rsid w:val="007A3E2D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4003"/>
    <w:rsid w:val="007B4336"/>
    <w:rsid w:val="007B5AB3"/>
    <w:rsid w:val="007B6EDE"/>
    <w:rsid w:val="007B7BBA"/>
    <w:rsid w:val="007C037E"/>
    <w:rsid w:val="007C0797"/>
    <w:rsid w:val="007C092F"/>
    <w:rsid w:val="007C2A2E"/>
    <w:rsid w:val="007C30D3"/>
    <w:rsid w:val="007C4752"/>
    <w:rsid w:val="007C5359"/>
    <w:rsid w:val="007D0957"/>
    <w:rsid w:val="007D1312"/>
    <w:rsid w:val="007D1415"/>
    <w:rsid w:val="007D1E41"/>
    <w:rsid w:val="007D31BF"/>
    <w:rsid w:val="007D3AE3"/>
    <w:rsid w:val="007D42AD"/>
    <w:rsid w:val="007D629A"/>
    <w:rsid w:val="007D63F1"/>
    <w:rsid w:val="007D7448"/>
    <w:rsid w:val="007E104F"/>
    <w:rsid w:val="007E15A6"/>
    <w:rsid w:val="007E1B7E"/>
    <w:rsid w:val="007E1EDC"/>
    <w:rsid w:val="007E1FD3"/>
    <w:rsid w:val="007E2082"/>
    <w:rsid w:val="007E2A46"/>
    <w:rsid w:val="007E3DD9"/>
    <w:rsid w:val="007E3F24"/>
    <w:rsid w:val="007E4DA1"/>
    <w:rsid w:val="007E7544"/>
    <w:rsid w:val="007F0338"/>
    <w:rsid w:val="007F0AA6"/>
    <w:rsid w:val="007F0C1D"/>
    <w:rsid w:val="007F328A"/>
    <w:rsid w:val="007F73FB"/>
    <w:rsid w:val="007F7D7A"/>
    <w:rsid w:val="008000C6"/>
    <w:rsid w:val="00800138"/>
    <w:rsid w:val="0080314A"/>
    <w:rsid w:val="008045BD"/>
    <w:rsid w:val="00804D45"/>
    <w:rsid w:val="008052DA"/>
    <w:rsid w:val="00805EC4"/>
    <w:rsid w:val="00806EB5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2653"/>
    <w:rsid w:val="0082601B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E6E"/>
    <w:rsid w:val="0084372E"/>
    <w:rsid w:val="008458A6"/>
    <w:rsid w:val="00845AB7"/>
    <w:rsid w:val="0085019F"/>
    <w:rsid w:val="00850250"/>
    <w:rsid w:val="0085065A"/>
    <w:rsid w:val="008527D7"/>
    <w:rsid w:val="00853B0A"/>
    <w:rsid w:val="008545D1"/>
    <w:rsid w:val="0085557C"/>
    <w:rsid w:val="00856069"/>
    <w:rsid w:val="008568A0"/>
    <w:rsid w:val="00857B69"/>
    <w:rsid w:val="008604BA"/>
    <w:rsid w:val="008646C4"/>
    <w:rsid w:val="0086538F"/>
    <w:rsid w:val="0086577B"/>
    <w:rsid w:val="00866279"/>
    <w:rsid w:val="008666D8"/>
    <w:rsid w:val="008676D0"/>
    <w:rsid w:val="008708D6"/>
    <w:rsid w:val="00870ACC"/>
    <w:rsid w:val="00870D88"/>
    <w:rsid w:val="00873E0F"/>
    <w:rsid w:val="00875C2E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60F3"/>
    <w:rsid w:val="00886677"/>
    <w:rsid w:val="00890F1B"/>
    <w:rsid w:val="00891F36"/>
    <w:rsid w:val="008932C0"/>
    <w:rsid w:val="008958B0"/>
    <w:rsid w:val="00895F7D"/>
    <w:rsid w:val="008A00D6"/>
    <w:rsid w:val="008A0E84"/>
    <w:rsid w:val="008A2391"/>
    <w:rsid w:val="008A2D39"/>
    <w:rsid w:val="008A355C"/>
    <w:rsid w:val="008A6521"/>
    <w:rsid w:val="008A6ACE"/>
    <w:rsid w:val="008B014F"/>
    <w:rsid w:val="008B0D0A"/>
    <w:rsid w:val="008B0FD7"/>
    <w:rsid w:val="008B1ADB"/>
    <w:rsid w:val="008B1C4C"/>
    <w:rsid w:val="008B2018"/>
    <w:rsid w:val="008B2480"/>
    <w:rsid w:val="008B526C"/>
    <w:rsid w:val="008B566B"/>
    <w:rsid w:val="008B5B2B"/>
    <w:rsid w:val="008B656D"/>
    <w:rsid w:val="008B7113"/>
    <w:rsid w:val="008C30B6"/>
    <w:rsid w:val="008C3632"/>
    <w:rsid w:val="008C5CD0"/>
    <w:rsid w:val="008C69F4"/>
    <w:rsid w:val="008C6AA1"/>
    <w:rsid w:val="008C6AEA"/>
    <w:rsid w:val="008C7D05"/>
    <w:rsid w:val="008D0E2B"/>
    <w:rsid w:val="008D2310"/>
    <w:rsid w:val="008D2E16"/>
    <w:rsid w:val="008D3B3E"/>
    <w:rsid w:val="008D3D9E"/>
    <w:rsid w:val="008D4920"/>
    <w:rsid w:val="008D53D2"/>
    <w:rsid w:val="008D5D5C"/>
    <w:rsid w:val="008D6973"/>
    <w:rsid w:val="008D778F"/>
    <w:rsid w:val="008D7983"/>
    <w:rsid w:val="008E0464"/>
    <w:rsid w:val="008E171A"/>
    <w:rsid w:val="008E19E4"/>
    <w:rsid w:val="008E28E4"/>
    <w:rsid w:val="008E56BD"/>
    <w:rsid w:val="008E75F5"/>
    <w:rsid w:val="008E7B70"/>
    <w:rsid w:val="008F2189"/>
    <w:rsid w:val="008F290C"/>
    <w:rsid w:val="008F36BC"/>
    <w:rsid w:val="008F3C1E"/>
    <w:rsid w:val="008F41D6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64AF"/>
    <w:rsid w:val="0091181A"/>
    <w:rsid w:val="009119AB"/>
    <w:rsid w:val="009122A6"/>
    <w:rsid w:val="00914100"/>
    <w:rsid w:val="009168ED"/>
    <w:rsid w:val="009214D7"/>
    <w:rsid w:val="009220AE"/>
    <w:rsid w:val="0092242F"/>
    <w:rsid w:val="00922496"/>
    <w:rsid w:val="009226E9"/>
    <w:rsid w:val="00922CCC"/>
    <w:rsid w:val="00922E14"/>
    <w:rsid w:val="009233A3"/>
    <w:rsid w:val="00923DAB"/>
    <w:rsid w:val="009241B1"/>
    <w:rsid w:val="00924B99"/>
    <w:rsid w:val="009250D6"/>
    <w:rsid w:val="009276D6"/>
    <w:rsid w:val="00927AB1"/>
    <w:rsid w:val="00927C3C"/>
    <w:rsid w:val="00930971"/>
    <w:rsid w:val="00930DD6"/>
    <w:rsid w:val="0093143C"/>
    <w:rsid w:val="00932DA3"/>
    <w:rsid w:val="0093345E"/>
    <w:rsid w:val="009370FE"/>
    <w:rsid w:val="00937498"/>
    <w:rsid w:val="00941E29"/>
    <w:rsid w:val="009427AE"/>
    <w:rsid w:val="009441F5"/>
    <w:rsid w:val="00945F80"/>
    <w:rsid w:val="009471C6"/>
    <w:rsid w:val="00951975"/>
    <w:rsid w:val="00951AE1"/>
    <w:rsid w:val="0095244B"/>
    <w:rsid w:val="00953943"/>
    <w:rsid w:val="0095397C"/>
    <w:rsid w:val="009552B5"/>
    <w:rsid w:val="00956E2E"/>
    <w:rsid w:val="00956FC1"/>
    <w:rsid w:val="00957449"/>
    <w:rsid w:val="00960675"/>
    <w:rsid w:val="00961CB4"/>
    <w:rsid w:val="0096213C"/>
    <w:rsid w:val="00964834"/>
    <w:rsid w:val="009660AE"/>
    <w:rsid w:val="00966710"/>
    <w:rsid w:val="00970323"/>
    <w:rsid w:val="00972373"/>
    <w:rsid w:val="00973196"/>
    <w:rsid w:val="00975399"/>
    <w:rsid w:val="009756BB"/>
    <w:rsid w:val="00976C40"/>
    <w:rsid w:val="009809A7"/>
    <w:rsid w:val="00980BD1"/>
    <w:rsid w:val="0098101C"/>
    <w:rsid w:val="009817E9"/>
    <w:rsid w:val="009834C7"/>
    <w:rsid w:val="00984A9D"/>
    <w:rsid w:val="0098511E"/>
    <w:rsid w:val="00985475"/>
    <w:rsid w:val="00985D1F"/>
    <w:rsid w:val="009877EF"/>
    <w:rsid w:val="00987877"/>
    <w:rsid w:val="00990EA3"/>
    <w:rsid w:val="009919CC"/>
    <w:rsid w:val="00991DD7"/>
    <w:rsid w:val="0099255F"/>
    <w:rsid w:val="00993839"/>
    <w:rsid w:val="00997182"/>
    <w:rsid w:val="0099768F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B05F4"/>
    <w:rsid w:val="009B34B5"/>
    <w:rsid w:val="009B38E8"/>
    <w:rsid w:val="009B54E3"/>
    <w:rsid w:val="009B552C"/>
    <w:rsid w:val="009B75D7"/>
    <w:rsid w:val="009B7AD7"/>
    <w:rsid w:val="009C056F"/>
    <w:rsid w:val="009C057D"/>
    <w:rsid w:val="009C08E7"/>
    <w:rsid w:val="009C1599"/>
    <w:rsid w:val="009C2EB3"/>
    <w:rsid w:val="009C61EE"/>
    <w:rsid w:val="009C6D9B"/>
    <w:rsid w:val="009D14D0"/>
    <w:rsid w:val="009D3AA0"/>
    <w:rsid w:val="009D3B68"/>
    <w:rsid w:val="009D4249"/>
    <w:rsid w:val="009D4BFD"/>
    <w:rsid w:val="009D55F5"/>
    <w:rsid w:val="009D5D20"/>
    <w:rsid w:val="009E074F"/>
    <w:rsid w:val="009E1F2B"/>
    <w:rsid w:val="009E4332"/>
    <w:rsid w:val="009E464C"/>
    <w:rsid w:val="009E7051"/>
    <w:rsid w:val="009E73E7"/>
    <w:rsid w:val="009E76A5"/>
    <w:rsid w:val="009E7703"/>
    <w:rsid w:val="009E786F"/>
    <w:rsid w:val="009E7B6E"/>
    <w:rsid w:val="009F156D"/>
    <w:rsid w:val="009F26B9"/>
    <w:rsid w:val="009F3B02"/>
    <w:rsid w:val="009F415C"/>
    <w:rsid w:val="009F5040"/>
    <w:rsid w:val="009F533D"/>
    <w:rsid w:val="009F68F2"/>
    <w:rsid w:val="009F6E7E"/>
    <w:rsid w:val="00A00A07"/>
    <w:rsid w:val="00A0635A"/>
    <w:rsid w:val="00A06939"/>
    <w:rsid w:val="00A06EE5"/>
    <w:rsid w:val="00A11D42"/>
    <w:rsid w:val="00A129A4"/>
    <w:rsid w:val="00A13549"/>
    <w:rsid w:val="00A2179F"/>
    <w:rsid w:val="00A22B3A"/>
    <w:rsid w:val="00A232E0"/>
    <w:rsid w:val="00A24AA4"/>
    <w:rsid w:val="00A25A07"/>
    <w:rsid w:val="00A2628E"/>
    <w:rsid w:val="00A26E9B"/>
    <w:rsid w:val="00A27D39"/>
    <w:rsid w:val="00A27D75"/>
    <w:rsid w:val="00A27E5E"/>
    <w:rsid w:val="00A31D13"/>
    <w:rsid w:val="00A32526"/>
    <w:rsid w:val="00A332BC"/>
    <w:rsid w:val="00A3342F"/>
    <w:rsid w:val="00A35DE2"/>
    <w:rsid w:val="00A37CFE"/>
    <w:rsid w:val="00A4048E"/>
    <w:rsid w:val="00A40575"/>
    <w:rsid w:val="00A42D4E"/>
    <w:rsid w:val="00A43511"/>
    <w:rsid w:val="00A444B1"/>
    <w:rsid w:val="00A44A41"/>
    <w:rsid w:val="00A46158"/>
    <w:rsid w:val="00A50D47"/>
    <w:rsid w:val="00A51A7F"/>
    <w:rsid w:val="00A54ED5"/>
    <w:rsid w:val="00A55A24"/>
    <w:rsid w:val="00A57665"/>
    <w:rsid w:val="00A6271E"/>
    <w:rsid w:val="00A62AFB"/>
    <w:rsid w:val="00A6356E"/>
    <w:rsid w:val="00A646EE"/>
    <w:rsid w:val="00A66A0F"/>
    <w:rsid w:val="00A66B44"/>
    <w:rsid w:val="00A710AA"/>
    <w:rsid w:val="00A718E5"/>
    <w:rsid w:val="00A71F9F"/>
    <w:rsid w:val="00A726EC"/>
    <w:rsid w:val="00A73404"/>
    <w:rsid w:val="00A738EA"/>
    <w:rsid w:val="00A74410"/>
    <w:rsid w:val="00A76B2B"/>
    <w:rsid w:val="00A84A31"/>
    <w:rsid w:val="00A861D2"/>
    <w:rsid w:val="00A876AD"/>
    <w:rsid w:val="00A90BE6"/>
    <w:rsid w:val="00A91CE4"/>
    <w:rsid w:val="00A91F68"/>
    <w:rsid w:val="00A96132"/>
    <w:rsid w:val="00A96743"/>
    <w:rsid w:val="00AA0529"/>
    <w:rsid w:val="00AA117C"/>
    <w:rsid w:val="00AA1C41"/>
    <w:rsid w:val="00AA2BF4"/>
    <w:rsid w:val="00AA53B9"/>
    <w:rsid w:val="00AA581D"/>
    <w:rsid w:val="00AA6CFD"/>
    <w:rsid w:val="00AB0264"/>
    <w:rsid w:val="00AB3C29"/>
    <w:rsid w:val="00AB5229"/>
    <w:rsid w:val="00AB5D12"/>
    <w:rsid w:val="00AB6103"/>
    <w:rsid w:val="00AB6283"/>
    <w:rsid w:val="00AB7794"/>
    <w:rsid w:val="00AC03B4"/>
    <w:rsid w:val="00AC0752"/>
    <w:rsid w:val="00AC1347"/>
    <w:rsid w:val="00AC1EC3"/>
    <w:rsid w:val="00AC27D4"/>
    <w:rsid w:val="00AC33D2"/>
    <w:rsid w:val="00AC3B87"/>
    <w:rsid w:val="00AC51B8"/>
    <w:rsid w:val="00AC564B"/>
    <w:rsid w:val="00AC639A"/>
    <w:rsid w:val="00AC74CF"/>
    <w:rsid w:val="00AD0A2E"/>
    <w:rsid w:val="00AD28BB"/>
    <w:rsid w:val="00AD4824"/>
    <w:rsid w:val="00AD6414"/>
    <w:rsid w:val="00AD7FAD"/>
    <w:rsid w:val="00AE045E"/>
    <w:rsid w:val="00AE053C"/>
    <w:rsid w:val="00AE295B"/>
    <w:rsid w:val="00AE414F"/>
    <w:rsid w:val="00AE5261"/>
    <w:rsid w:val="00AE6450"/>
    <w:rsid w:val="00AE679C"/>
    <w:rsid w:val="00AF0815"/>
    <w:rsid w:val="00AF2227"/>
    <w:rsid w:val="00AF4BD8"/>
    <w:rsid w:val="00AF4C0B"/>
    <w:rsid w:val="00AF5E71"/>
    <w:rsid w:val="00AF6404"/>
    <w:rsid w:val="00B0227F"/>
    <w:rsid w:val="00B02FFF"/>
    <w:rsid w:val="00B03B5C"/>
    <w:rsid w:val="00B04CD7"/>
    <w:rsid w:val="00B0526E"/>
    <w:rsid w:val="00B1091C"/>
    <w:rsid w:val="00B10A9C"/>
    <w:rsid w:val="00B11B60"/>
    <w:rsid w:val="00B125DF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719B"/>
    <w:rsid w:val="00B31430"/>
    <w:rsid w:val="00B322DA"/>
    <w:rsid w:val="00B3301A"/>
    <w:rsid w:val="00B3425D"/>
    <w:rsid w:val="00B34719"/>
    <w:rsid w:val="00B3578C"/>
    <w:rsid w:val="00B40C8B"/>
    <w:rsid w:val="00B41238"/>
    <w:rsid w:val="00B416F4"/>
    <w:rsid w:val="00B417B4"/>
    <w:rsid w:val="00B4281A"/>
    <w:rsid w:val="00B443EF"/>
    <w:rsid w:val="00B44667"/>
    <w:rsid w:val="00B45637"/>
    <w:rsid w:val="00B4667C"/>
    <w:rsid w:val="00B47358"/>
    <w:rsid w:val="00B50E51"/>
    <w:rsid w:val="00B51AF6"/>
    <w:rsid w:val="00B5246F"/>
    <w:rsid w:val="00B524CD"/>
    <w:rsid w:val="00B579A1"/>
    <w:rsid w:val="00B61679"/>
    <w:rsid w:val="00B61AA7"/>
    <w:rsid w:val="00B61F76"/>
    <w:rsid w:val="00B6248B"/>
    <w:rsid w:val="00B62AFD"/>
    <w:rsid w:val="00B62B81"/>
    <w:rsid w:val="00B64798"/>
    <w:rsid w:val="00B674D6"/>
    <w:rsid w:val="00B67AAF"/>
    <w:rsid w:val="00B7066F"/>
    <w:rsid w:val="00B70C91"/>
    <w:rsid w:val="00B72DBD"/>
    <w:rsid w:val="00B72FEB"/>
    <w:rsid w:val="00B73257"/>
    <w:rsid w:val="00B7493D"/>
    <w:rsid w:val="00B7498F"/>
    <w:rsid w:val="00B74A77"/>
    <w:rsid w:val="00B74BFA"/>
    <w:rsid w:val="00B7717D"/>
    <w:rsid w:val="00B8004E"/>
    <w:rsid w:val="00B80712"/>
    <w:rsid w:val="00B80D6D"/>
    <w:rsid w:val="00B819D8"/>
    <w:rsid w:val="00B833F1"/>
    <w:rsid w:val="00B83851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A2779"/>
    <w:rsid w:val="00BA4818"/>
    <w:rsid w:val="00BB1E11"/>
    <w:rsid w:val="00BB2BAF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7966"/>
    <w:rsid w:val="00BD7A1E"/>
    <w:rsid w:val="00BD7F20"/>
    <w:rsid w:val="00BE0210"/>
    <w:rsid w:val="00BE07EB"/>
    <w:rsid w:val="00BE199C"/>
    <w:rsid w:val="00BE28FF"/>
    <w:rsid w:val="00BE412F"/>
    <w:rsid w:val="00BE62CC"/>
    <w:rsid w:val="00BE6B8A"/>
    <w:rsid w:val="00BF0462"/>
    <w:rsid w:val="00BF0D72"/>
    <w:rsid w:val="00BF3939"/>
    <w:rsid w:val="00BF6C43"/>
    <w:rsid w:val="00C0057E"/>
    <w:rsid w:val="00C01FCF"/>
    <w:rsid w:val="00C02036"/>
    <w:rsid w:val="00C032FD"/>
    <w:rsid w:val="00C050EC"/>
    <w:rsid w:val="00C06B13"/>
    <w:rsid w:val="00C06EFA"/>
    <w:rsid w:val="00C10F02"/>
    <w:rsid w:val="00C11047"/>
    <w:rsid w:val="00C11FA9"/>
    <w:rsid w:val="00C17ED7"/>
    <w:rsid w:val="00C2132B"/>
    <w:rsid w:val="00C21F32"/>
    <w:rsid w:val="00C230F9"/>
    <w:rsid w:val="00C252BD"/>
    <w:rsid w:val="00C26716"/>
    <w:rsid w:val="00C26857"/>
    <w:rsid w:val="00C3024F"/>
    <w:rsid w:val="00C323B6"/>
    <w:rsid w:val="00C337C5"/>
    <w:rsid w:val="00C339D4"/>
    <w:rsid w:val="00C34956"/>
    <w:rsid w:val="00C34962"/>
    <w:rsid w:val="00C37305"/>
    <w:rsid w:val="00C40250"/>
    <w:rsid w:val="00C406D9"/>
    <w:rsid w:val="00C41889"/>
    <w:rsid w:val="00C43199"/>
    <w:rsid w:val="00C44808"/>
    <w:rsid w:val="00C46006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61167"/>
    <w:rsid w:val="00C615ED"/>
    <w:rsid w:val="00C62B35"/>
    <w:rsid w:val="00C667DC"/>
    <w:rsid w:val="00C6697D"/>
    <w:rsid w:val="00C675A5"/>
    <w:rsid w:val="00C67D2C"/>
    <w:rsid w:val="00C70CF3"/>
    <w:rsid w:val="00C72082"/>
    <w:rsid w:val="00C7276D"/>
    <w:rsid w:val="00C733E2"/>
    <w:rsid w:val="00C74054"/>
    <w:rsid w:val="00C75D8D"/>
    <w:rsid w:val="00C7630D"/>
    <w:rsid w:val="00C7660C"/>
    <w:rsid w:val="00C77060"/>
    <w:rsid w:val="00C80CB9"/>
    <w:rsid w:val="00C81103"/>
    <w:rsid w:val="00C825D0"/>
    <w:rsid w:val="00C825D5"/>
    <w:rsid w:val="00C825FB"/>
    <w:rsid w:val="00C8662D"/>
    <w:rsid w:val="00C92B71"/>
    <w:rsid w:val="00C956D5"/>
    <w:rsid w:val="00C958E1"/>
    <w:rsid w:val="00C961CB"/>
    <w:rsid w:val="00CA002C"/>
    <w:rsid w:val="00CA01D6"/>
    <w:rsid w:val="00CA0C4D"/>
    <w:rsid w:val="00CA182B"/>
    <w:rsid w:val="00CA1917"/>
    <w:rsid w:val="00CA1CF7"/>
    <w:rsid w:val="00CA3AD6"/>
    <w:rsid w:val="00CA43E2"/>
    <w:rsid w:val="00CA58A2"/>
    <w:rsid w:val="00CA58E8"/>
    <w:rsid w:val="00CA7E4F"/>
    <w:rsid w:val="00CB2316"/>
    <w:rsid w:val="00CB3613"/>
    <w:rsid w:val="00CB43B0"/>
    <w:rsid w:val="00CC01AE"/>
    <w:rsid w:val="00CC1238"/>
    <w:rsid w:val="00CC18E1"/>
    <w:rsid w:val="00CC231A"/>
    <w:rsid w:val="00CC2989"/>
    <w:rsid w:val="00CC363D"/>
    <w:rsid w:val="00CC41AF"/>
    <w:rsid w:val="00CC4866"/>
    <w:rsid w:val="00CC59EA"/>
    <w:rsid w:val="00CC60B6"/>
    <w:rsid w:val="00CC647E"/>
    <w:rsid w:val="00CC6678"/>
    <w:rsid w:val="00CC6ACE"/>
    <w:rsid w:val="00CC7B13"/>
    <w:rsid w:val="00CC7DDD"/>
    <w:rsid w:val="00CD1AFF"/>
    <w:rsid w:val="00CD4CAD"/>
    <w:rsid w:val="00CD5021"/>
    <w:rsid w:val="00CD6DF1"/>
    <w:rsid w:val="00CE078B"/>
    <w:rsid w:val="00CE2177"/>
    <w:rsid w:val="00CE2B3D"/>
    <w:rsid w:val="00CE3C8B"/>
    <w:rsid w:val="00CE4500"/>
    <w:rsid w:val="00CE7EFD"/>
    <w:rsid w:val="00CF08B4"/>
    <w:rsid w:val="00CF0A4F"/>
    <w:rsid w:val="00CF1B8D"/>
    <w:rsid w:val="00CF3D5E"/>
    <w:rsid w:val="00CF758D"/>
    <w:rsid w:val="00D0031E"/>
    <w:rsid w:val="00D021DA"/>
    <w:rsid w:val="00D02CE4"/>
    <w:rsid w:val="00D051DE"/>
    <w:rsid w:val="00D056D6"/>
    <w:rsid w:val="00D06046"/>
    <w:rsid w:val="00D07072"/>
    <w:rsid w:val="00D075AB"/>
    <w:rsid w:val="00D10871"/>
    <w:rsid w:val="00D10EC8"/>
    <w:rsid w:val="00D130A4"/>
    <w:rsid w:val="00D1455A"/>
    <w:rsid w:val="00D14680"/>
    <w:rsid w:val="00D14AB7"/>
    <w:rsid w:val="00D21B7D"/>
    <w:rsid w:val="00D223C8"/>
    <w:rsid w:val="00D225BD"/>
    <w:rsid w:val="00D25E7E"/>
    <w:rsid w:val="00D26521"/>
    <w:rsid w:val="00D269D1"/>
    <w:rsid w:val="00D26FEA"/>
    <w:rsid w:val="00D271A6"/>
    <w:rsid w:val="00D27410"/>
    <w:rsid w:val="00D27715"/>
    <w:rsid w:val="00D31BC8"/>
    <w:rsid w:val="00D32277"/>
    <w:rsid w:val="00D32471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4D0B"/>
    <w:rsid w:val="00D46E82"/>
    <w:rsid w:val="00D50AA7"/>
    <w:rsid w:val="00D52833"/>
    <w:rsid w:val="00D53847"/>
    <w:rsid w:val="00D5465F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62A8"/>
    <w:rsid w:val="00D6754E"/>
    <w:rsid w:val="00D7076A"/>
    <w:rsid w:val="00D72173"/>
    <w:rsid w:val="00D747F6"/>
    <w:rsid w:val="00D75CB5"/>
    <w:rsid w:val="00D76F5E"/>
    <w:rsid w:val="00D81E0E"/>
    <w:rsid w:val="00D83D31"/>
    <w:rsid w:val="00D86196"/>
    <w:rsid w:val="00D86B65"/>
    <w:rsid w:val="00D8725F"/>
    <w:rsid w:val="00D87979"/>
    <w:rsid w:val="00D87F0D"/>
    <w:rsid w:val="00D91336"/>
    <w:rsid w:val="00D938FC"/>
    <w:rsid w:val="00D940B0"/>
    <w:rsid w:val="00D94FAA"/>
    <w:rsid w:val="00D96FA6"/>
    <w:rsid w:val="00DA059A"/>
    <w:rsid w:val="00DA06B7"/>
    <w:rsid w:val="00DA1312"/>
    <w:rsid w:val="00DA1629"/>
    <w:rsid w:val="00DA206B"/>
    <w:rsid w:val="00DA3F50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2F6"/>
    <w:rsid w:val="00DB6416"/>
    <w:rsid w:val="00DB7FAD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36DE"/>
    <w:rsid w:val="00DD3DB9"/>
    <w:rsid w:val="00DD6244"/>
    <w:rsid w:val="00DE1BB6"/>
    <w:rsid w:val="00DE631F"/>
    <w:rsid w:val="00DE706A"/>
    <w:rsid w:val="00DF0644"/>
    <w:rsid w:val="00DF2E30"/>
    <w:rsid w:val="00DF3878"/>
    <w:rsid w:val="00DF3E97"/>
    <w:rsid w:val="00DF7A95"/>
    <w:rsid w:val="00E00C01"/>
    <w:rsid w:val="00E01386"/>
    <w:rsid w:val="00E01E13"/>
    <w:rsid w:val="00E01F24"/>
    <w:rsid w:val="00E047A1"/>
    <w:rsid w:val="00E05479"/>
    <w:rsid w:val="00E07780"/>
    <w:rsid w:val="00E07A86"/>
    <w:rsid w:val="00E07E9C"/>
    <w:rsid w:val="00E104E0"/>
    <w:rsid w:val="00E109D2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633D"/>
    <w:rsid w:val="00E26F96"/>
    <w:rsid w:val="00E30F1F"/>
    <w:rsid w:val="00E32023"/>
    <w:rsid w:val="00E33DAB"/>
    <w:rsid w:val="00E342D1"/>
    <w:rsid w:val="00E3672C"/>
    <w:rsid w:val="00E4042B"/>
    <w:rsid w:val="00E43EE6"/>
    <w:rsid w:val="00E4455A"/>
    <w:rsid w:val="00E472D9"/>
    <w:rsid w:val="00E478C3"/>
    <w:rsid w:val="00E47BFA"/>
    <w:rsid w:val="00E47EAE"/>
    <w:rsid w:val="00E51CF6"/>
    <w:rsid w:val="00E53F33"/>
    <w:rsid w:val="00E561B8"/>
    <w:rsid w:val="00E606F9"/>
    <w:rsid w:val="00E63496"/>
    <w:rsid w:val="00E6740D"/>
    <w:rsid w:val="00E80485"/>
    <w:rsid w:val="00E81D81"/>
    <w:rsid w:val="00E82007"/>
    <w:rsid w:val="00E82056"/>
    <w:rsid w:val="00E82181"/>
    <w:rsid w:val="00E83286"/>
    <w:rsid w:val="00E8461C"/>
    <w:rsid w:val="00E85094"/>
    <w:rsid w:val="00E85593"/>
    <w:rsid w:val="00E86556"/>
    <w:rsid w:val="00E878D9"/>
    <w:rsid w:val="00E901D4"/>
    <w:rsid w:val="00E91225"/>
    <w:rsid w:val="00E9136D"/>
    <w:rsid w:val="00E92AA9"/>
    <w:rsid w:val="00E92CC6"/>
    <w:rsid w:val="00E92F26"/>
    <w:rsid w:val="00E935C4"/>
    <w:rsid w:val="00E93ABC"/>
    <w:rsid w:val="00E9790D"/>
    <w:rsid w:val="00EA1A12"/>
    <w:rsid w:val="00EA20CA"/>
    <w:rsid w:val="00EA399D"/>
    <w:rsid w:val="00EA5AAA"/>
    <w:rsid w:val="00EA7601"/>
    <w:rsid w:val="00EA7C39"/>
    <w:rsid w:val="00EA7D8C"/>
    <w:rsid w:val="00EB34FD"/>
    <w:rsid w:val="00EB4378"/>
    <w:rsid w:val="00EB44E7"/>
    <w:rsid w:val="00EB4797"/>
    <w:rsid w:val="00EB51C4"/>
    <w:rsid w:val="00EB63D3"/>
    <w:rsid w:val="00EC15E6"/>
    <w:rsid w:val="00EC23D0"/>
    <w:rsid w:val="00EC2D10"/>
    <w:rsid w:val="00EC2F4A"/>
    <w:rsid w:val="00EC3DAA"/>
    <w:rsid w:val="00EC5E73"/>
    <w:rsid w:val="00EC6C1F"/>
    <w:rsid w:val="00EC7D34"/>
    <w:rsid w:val="00ED15B5"/>
    <w:rsid w:val="00ED3466"/>
    <w:rsid w:val="00ED35A1"/>
    <w:rsid w:val="00ED7C2B"/>
    <w:rsid w:val="00EE005E"/>
    <w:rsid w:val="00EE0AC8"/>
    <w:rsid w:val="00EE1123"/>
    <w:rsid w:val="00EE16B7"/>
    <w:rsid w:val="00EE2914"/>
    <w:rsid w:val="00EE3180"/>
    <w:rsid w:val="00EE7143"/>
    <w:rsid w:val="00EE78FB"/>
    <w:rsid w:val="00EE7D21"/>
    <w:rsid w:val="00EF0E1E"/>
    <w:rsid w:val="00EF214B"/>
    <w:rsid w:val="00EF3A2D"/>
    <w:rsid w:val="00EF5101"/>
    <w:rsid w:val="00EF5D5E"/>
    <w:rsid w:val="00EF627A"/>
    <w:rsid w:val="00EF7F4C"/>
    <w:rsid w:val="00F00515"/>
    <w:rsid w:val="00F01E63"/>
    <w:rsid w:val="00F042EE"/>
    <w:rsid w:val="00F048F8"/>
    <w:rsid w:val="00F055BA"/>
    <w:rsid w:val="00F066D1"/>
    <w:rsid w:val="00F067F4"/>
    <w:rsid w:val="00F06C5C"/>
    <w:rsid w:val="00F06D4A"/>
    <w:rsid w:val="00F07DCF"/>
    <w:rsid w:val="00F07E3C"/>
    <w:rsid w:val="00F109E9"/>
    <w:rsid w:val="00F135E1"/>
    <w:rsid w:val="00F14CB6"/>
    <w:rsid w:val="00F167E2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4133C"/>
    <w:rsid w:val="00F413AB"/>
    <w:rsid w:val="00F42AEB"/>
    <w:rsid w:val="00F42F2A"/>
    <w:rsid w:val="00F44F8D"/>
    <w:rsid w:val="00F46651"/>
    <w:rsid w:val="00F4793F"/>
    <w:rsid w:val="00F47BEC"/>
    <w:rsid w:val="00F47E59"/>
    <w:rsid w:val="00F50375"/>
    <w:rsid w:val="00F5056F"/>
    <w:rsid w:val="00F51E15"/>
    <w:rsid w:val="00F5219B"/>
    <w:rsid w:val="00F5301F"/>
    <w:rsid w:val="00F53971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6436"/>
    <w:rsid w:val="00F671DF"/>
    <w:rsid w:val="00F733D4"/>
    <w:rsid w:val="00F76537"/>
    <w:rsid w:val="00F76A92"/>
    <w:rsid w:val="00F80AA8"/>
    <w:rsid w:val="00F80FF6"/>
    <w:rsid w:val="00F81DB3"/>
    <w:rsid w:val="00F81EA1"/>
    <w:rsid w:val="00F822C3"/>
    <w:rsid w:val="00F84714"/>
    <w:rsid w:val="00F86477"/>
    <w:rsid w:val="00F86902"/>
    <w:rsid w:val="00F86CD8"/>
    <w:rsid w:val="00F87360"/>
    <w:rsid w:val="00F87C7D"/>
    <w:rsid w:val="00F87D49"/>
    <w:rsid w:val="00F91BF9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ABD"/>
    <w:rsid w:val="00FB2254"/>
    <w:rsid w:val="00FB5506"/>
    <w:rsid w:val="00FC03DC"/>
    <w:rsid w:val="00FC07A8"/>
    <w:rsid w:val="00FC1070"/>
    <w:rsid w:val="00FC2078"/>
    <w:rsid w:val="00FC31CB"/>
    <w:rsid w:val="00FC3358"/>
    <w:rsid w:val="00FC5AFB"/>
    <w:rsid w:val="00FC6E03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5B"/>
    <w:rsid w:val="00FD4673"/>
    <w:rsid w:val="00FE0ED0"/>
    <w:rsid w:val="00FE14AF"/>
    <w:rsid w:val="00FE2A44"/>
    <w:rsid w:val="00FE2CBE"/>
    <w:rsid w:val="00FE3AB7"/>
    <w:rsid w:val="00FE55CF"/>
    <w:rsid w:val="00FE5F32"/>
    <w:rsid w:val="00FE7BF6"/>
    <w:rsid w:val="00FF0069"/>
    <w:rsid w:val="00FF0B77"/>
    <w:rsid w:val="00FF1B6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7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99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99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2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jacques.littre@swift.com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mailto:Christine.strandberg@seb.se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hyperlink" Target="mailto:bernard.lenelle@clearstream.com" TargetMode="External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4126-2224-4733-AB63-23A7AFE6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10892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2</cp:revision>
  <cp:lastPrinted>2012-05-10T13:07:00Z</cp:lastPrinted>
  <dcterms:created xsi:type="dcterms:W3CDTF">2013-03-08T14:45:00Z</dcterms:created>
  <dcterms:modified xsi:type="dcterms:W3CDTF">2013-03-08T14:45:00Z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