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F3DEE" w:rsidP="00A738EA">
      <w:pPr>
        <w:pStyle w:val="Header"/>
        <w:rPr>
          <w:lang w:val="en-GB"/>
        </w:rPr>
      </w:pPr>
      <w:r>
        <w:rPr>
          <w:lang w:val="en-GB"/>
        </w:rPr>
        <w:t>SMPG - Corpo</w:t>
      </w:r>
      <w:r w:rsidR="00A738EA" w:rsidRPr="007A69C8">
        <w:rPr>
          <w:lang w:val="en-GB"/>
        </w:rPr>
        <w:t>rate Action</w:t>
      </w:r>
    </w:p>
    <w:p w:rsidR="00A738EA" w:rsidRPr="007A69C8" w:rsidRDefault="00A738EA" w:rsidP="00A738EA">
      <w:pPr>
        <w:pStyle w:val="Header"/>
        <w:rPr>
          <w:lang w:val="en-GB"/>
        </w:rPr>
      </w:pPr>
      <w:r>
        <w:rPr>
          <w:lang w:val="en-GB"/>
        </w:rPr>
        <w:t>Telephone Conference Minutes</w:t>
      </w:r>
    </w:p>
    <w:p w:rsidR="00A738EA" w:rsidRPr="007A69C8" w:rsidRDefault="0017231B" w:rsidP="00A738EA">
      <w:pPr>
        <w:pStyle w:val="Header"/>
        <w:rPr>
          <w:lang w:val="en-GB"/>
        </w:rPr>
      </w:pPr>
      <w:r>
        <w:rPr>
          <w:lang w:val="en-GB"/>
        </w:rPr>
        <w:t>29</w:t>
      </w:r>
      <w:r w:rsidR="00A738EA">
        <w:rPr>
          <w:lang w:val="en-GB"/>
        </w:rPr>
        <w:t xml:space="preserve"> </w:t>
      </w:r>
      <w:r>
        <w:rPr>
          <w:lang w:val="en-GB"/>
        </w:rPr>
        <w:t>January 2015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8B418B"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FF0B21">
        <w:rPr>
          <w:lang w:val="en-GB"/>
        </w:rPr>
        <w:t xml:space="preserve"> </w:t>
      </w:r>
      <w:proofErr w:type="gramStart"/>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proofErr w:type="gramEnd"/>
      <w:r w:rsidR="008179FB" w:rsidRPr="00C10F02">
        <w:rPr>
          <w:lang w:val="en-GB"/>
        </w:rPr>
        <w:t xml:space="preserve"> – </w:t>
      </w:r>
      <w:r w:rsidR="0017231B">
        <w:rPr>
          <w:lang w:val="en-GB"/>
        </w:rPr>
        <w:t>Feb</w:t>
      </w:r>
      <w:r w:rsidR="004073B1">
        <w:rPr>
          <w:lang w:val="en-GB"/>
        </w:rPr>
        <w:t>.</w:t>
      </w:r>
      <w:r w:rsidR="000E60EC">
        <w:rPr>
          <w:lang w:val="en-GB"/>
        </w:rPr>
        <w:t xml:space="preserve"> </w:t>
      </w:r>
      <w:r w:rsidR="00353595">
        <w:rPr>
          <w:lang w:val="en-GB"/>
        </w:rPr>
        <w:t>13</w:t>
      </w:r>
      <w:r w:rsidR="004073B1">
        <w:rPr>
          <w:lang w:val="en-GB"/>
        </w:rPr>
        <w:t>, 2015</w:t>
      </w:r>
      <w:bookmarkStart w:id="1" w:name="_GoBack"/>
      <w:bookmarkEnd w:id="1"/>
    </w:p>
    <w:p w:rsidR="00AB6103" w:rsidRDefault="00E81D81" w:rsidP="00106FD4">
      <w:pPr>
        <w:pStyle w:val="Title1"/>
        <w:jc w:val="center"/>
      </w:pPr>
      <w:r>
        <w:lastRenderedPageBreak/>
        <w:t>Table of Contents</w:t>
      </w:r>
    </w:p>
    <w:p w:rsidR="00353595" w:rsidRDefault="00AA52DB">
      <w:pPr>
        <w:pStyle w:val="TOC1"/>
        <w:rPr>
          <w:rFonts w:asciiTheme="minorHAnsi" w:eastAsiaTheme="minorEastAsia" w:hAnsiTheme="minorHAnsi" w:cstheme="minorBidi"/>
          <w:b w:val="0"/>
          <w:bCs w:val="0"/>
          <w:sz w:val="22"/>
          <w:szCs w:val="22"/>
          <w:lang w:val="en-GB" w:eastAsia="en-GB"/>
        </w:rPr>
      </w:pPr>
      <w:r>
        <w:rPr>
          <w:bCs w:val="0"/>
        </w:rPr>
        <w:fldChar w:fldCharType="begin"/>
      </w:r>
      <w:r>
        <w:rPr>
          <w:bCs w:val="0"/>
        </w:rPr>
        <w:instrText xml:space="preserve"> TOC \o "1-2" \h \z \u </w:instrText>
      </w:r>
      <w:r>
        <w:rPr>
          <w:bCs w:val="0"/>
        </w:rPr>
        <w:fldChar w:fldCharType="separate"/>
      </w:r>
      <w:hyperlink w:anchor="_Toc411607478" w:history="1">
        <w:r w:rsidR="00353595" w:rsidRPr="002260F0">
          <w:rPr>
            <w:rStyle w:val="Hyperlink"/>
            <w:lang w:val="en-GB"/>
          </w:rPr>
          <w:t>1.</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Approval of December 18 Meeting Minutes</w:t>
        </w:r>
        <w:r w:rsidR="00353595">
          <w:rPr>
            <w:webHidden/>
          </w:rPr>
          <w:tab/>
        </w:r>
        <w:r w:rsidR="00353595">
          <w:rPr>
            <w:webHidden/>
          </w:rPr>
          <w:fldChar w:fldCharType="begin"/>
        </w:r>
        <w:r w:rsidR="00353595">
          <w:rPr>
            <w:webHidden/>
          </w:rPr>
          <w:instrText xml:space="preserve"> PAGEREF _Toc411607478 \h </w:instrText>
        </w:r>
        <w:r w:rsidR="00353595">
          <w:rPr>
            <w:webHidden/>
          </w:rPr>
        </w:r>
        <w:r w:rsidR="00353595">
          <w:rPr>
            <w:webHidden/>
          </w:rPr>
          <w:fldChar w:fldCharType="separate"/>
        </w:r>
        <w:r w:rsidR="00353595">
          <w:rPr>
            <w:webHidden/>
          </w:rPr>
          <w:t>3</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79" w:history="1">
        <w:r w:rsidR="00353595" w:rsidRPr="002260F0">
          <w:rPr>
            <w:rStyle w:val="Hyperlink"/>
            <w:lang w:val="en-GB"/>
          </w:rPr>
          <w:t>2.</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May 12 or 21 Conf call – Confirm date</w:t>
        </w:r>
        <w:r w:rsidR="00353595">
          <w:rPr>
            <w:webHidden/>
          </w:rPr>
          <w:tab/>
        </w:r>
        <w:r w:rsidR="00353595">
          <w:rPr>
            <w:webHidden/>
          </w:rPr>
          <w:fldChar w:fldCharType="begin"/>
        </w:r>
        <w:r w:rsidR="00353595">
          <w:rPr>
            <w:webHidden/>
          </w:rPr>
          <w:instrText xml:space="preserve"> PAGEREF _Toc411607479 \h </w:instrText>
        </w:r>
        <w:r w:rsidR="00353595">
          <w:rPr>
            <w:webHidden/>
          </w:rPr>
        </w:r>
        <w:r w:rsidR="00353595">
          <w:rPr>
            <w:webHidden/>
          </w:rPr>
          <w:fldChar w:fldCharType="separate"/>
        </w:r>
        <w:r w:rsidR="00353595">
          <w:rPr>
            <w:webHidden/>
          </w:rPr>
          <w:t>3</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0" w:history="1">
        <w:r w:rsidR="00353595" w:rsidRPr="002260F0">
          <w:rPr>
            <w:rStyle w:val="Hyperlink"/>
            <w:lang w:val="en-GB"/>
          </w:rPr>
          <w:t>3.</w:t>
        </w:r>
        <w:r w:rsidR="00353595">
          <w:rPr>
            <w:rFonts w:asciiTheme="minorHAnsi" w:eastAsiaTheme="minorEastAsia" w:hAnsiTheme="minorHAnsi" w:cstheme="minorBidi"/>
            <w:b w:val="0"/>
            <w:bCs w:val="0"/>
            <w:sz w:val="22"/>
            <w:szCs w:val="22"/>
            <w:lang w:val="en-GB" w:eastAsia="en-GB"/>
          </w:rPr>
          <w:tab/>
        </w:r>
        <w:r w:rsidR="00353595" w:rsidRPr="002260F0">
          <w:rPr>
            <w:rStyle w:val="Hyperlink"/>
            <w:lang w:val="en-GB"/>
          </w:rPr>
          <w:t>CA203 – Yearly MP Updates (Christine/Jacques)</w:t>
        </w:r>
        <w:r w:rsidR="00353595">
          <w:rPr>
            <w:webHidden/>
          </w:rPr>
          <w:tab/>
        </w:r>
        <w:r w:rsidR="00353595">
          <w:rPr>
            <w:webHidden/>
          </w:rPr>
          <w:fldChar w:fldCharType="begin"/>
        </w:r>
        <w:r w:rsidR="00353595">
          <w:rPr>
            <w:webHidden/>
          </w:rPr>
          <w:instrText xml:space="preserve"> PAGEREF _Toc411607480 \h </w:instrText>
        </w:r>
        <w:r w:rsidR="00353595">
          <w:rPr>
            <w:webHidden/>
          </w:rPr>
        </w:r>
        <w:r w:rsidR="00353595">
          <w:rPr>
            <w:webHidden/>
          </w:rPr>
          <w:fldChar w:fldCharType="separate"/>
        </w:r>
        <w:r w:rsidR="00353595">
          <w:rPr>
            <w:webHidden/>
          </w:rPr>
          <w:t>4</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1" w:history="1">
        <w:r w:rsidR="00353595" w:rsidRPr="002260F0">
          <w:rPr>
            <w:rStyle w:val="Hyperlink"/>
            <w:lang w:val="en-GB"/>
          </w:rPr>
          <w:t>4.</w:t>
        </w:r>
        <w:r w:rsidR="00353595">
          <w:rPr>
            <w:rFonts w:asciiTheme="minorHAnsi" w:eastAsiaTheme="minorEastAsia" w:hAnsiTheme="minorHAnsi" w:cstheme="minorBidi"/>
            <w:b w:val="0"/>
            <w:bCs w:val="0"/>
            <w:sz w:val="22"/>
            <w:szCs w:val="22"/>
            <w:lang w:val="en-GB" w:eastAsia="en-GB"/>
          </w:rPr>
          <w:tab/>
        </w:r>
        <w:r w:rsidR="00353595" w:rsidRPr="002260F0">
          <w:rPr>
            <w:rStyle w:val="Hyperlink"/>
            <w:lang w:val="fr-BE"/>
          </w:rPr>
          <w:t>CA268 - Narratives scope/usage (Delphine/GMP1 SG)</w:t>
        </w:r>
        <w:r w:rsidR="00353595">
          <w:rPr>
            <w:webHidden/>
          </w:rPr>
          <w:tab/>
        </w:r>
        <w:r w:rsidR="00353595">
          <w:rPr>
            <w:webHidden/>
          </w:rPr>
          <w:fldChar w:fldCharType="begin"/>
        </w:r>
        <w:r w:rsidR="00353595">
          <w:rPr>
            <w:webHidden/>
          </w:rPr>
          <w:instrText xml:space="preserve"> PAGEREF _Toc411607481 \h </w:instrText>
        </w:r>
        <w:r w:rsidR="00353595">
          <w:rPr>
            <w:webHidden/>
          </w:rPr>
        </w:r>
        <w:r w:rsidR="00353595">
          <w:rPr>
            <w:webHidden/>
          </w:rPr>
          <w:fldChar w:fldCharType="separate"/>
        </w:r>
        <w:r w:rsidR="00353595">
          <w:rPr>
            <w:webHidden/>
          </w:rPr>
          <w:t>4</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2" w:history="1">
        <w:r w:rsidR="00353595" w:rsidRPr="002260F0">
          <w:rPr>
            <w:rStyle w:val="Hyperlink"/>
            <w:rFonts w:cs="Calibri"/>
            <w:lang w:val="en-GB"/>
          </w:rPr>
          <w:t>5.</w:t>
        </w:r>
        <w:r w:rsidR="00353595">
          <w:rPr>
            <w:rFonts w:asciiTheme="minorHAnsi" w:eastAsiaTheme="minorEastAsia" w:hAnsiTheme="minorHAnsi" w:cstheme="minorBidi"/>
            <w:b w:val="0"/>
            <w:bCs w:val="0"/>
            <w:sz w:val="22"/>
            <w:szCs w:val="22"/>
            <w:lang w:val="en-GB" w:eastAsia="en-GB"/>
          </w:rPr>
          <w:tab/>
        </w:r>
        <w:r w:rsidR="00353595" w:rsidRPr="002260F0">
          <w:rPr>
            <w:rStyle w:val="Hyperlink"/>
            <w:rFonts w:cs="Calibri"/>
          </w:rPr>
          <w:t>CA277 - COAF Assignment Body Registration &amp; Governance Questions (Christine)</w:t>
        </w:r>
        <w:r w:rsidR="00353595">
          <w:rPr>
            <w:webHidden/>
          </w:rPr>
          <w:tab/>
        </w:r>
        <w:r w:rsidR="00353595">
          <w:rPr>
            <w:webHidden/>
          </w:rPr>
          <w:fldChar w:fldCharType="begin"/>
        </w:r>
        <w:r w:rsidR="00353595">
          <w:rPr>
            <w:webHidden/>
          </w:rPr>
          <w:instrText xml:space="preserve"> PAGEREF _Toc411607482 \h </w:instrText>
        </w:r>
        <w:r w:rsidR="00353595">
          <w:rPr>
            <w:webHidden/>
          </w:rPr>
        </w:r>
        <w:r w:rsidR="00353595">
          <w:rPr>
            <w:webHidden/>
          </w:rPr>
          <w:fldChar w:fldCharType="separate"/>
        </w:r>
        <w:r w:rsidR="00353595">
          <w:rPr>
            <w:webHidden/>
          </w:rPr>
          <w:t>5</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3" w:history="1">
        <w:r w:rsidR="00353595" w:rsidRPr="002260F0">
          <w:rPr>
            <w:rStyle w:val="Hyperlink"/>
            <w:lang w:val="en-GB"/>
          </w:rPr>
          <w:t>6.</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CA279 - Market practice for Claims and Transformations  in the T2S context (GMP1 SG)</w:t>
        </w:r>
        <w:r w:rsidR="00353595">
          <w:rPr>
            <w:webHidden/>
          </w:rPr>
          <w:tab/>
        </w:r>
        <w:r w:rsidR="00353595">
          <w:rPr>
            <w:webHidden/>
          </w:rPr>
          <w:fldChar w:fldCharType="begin"/>
        </w:r>
        <w:r w:rsidR="00353595">
          <w:rPr>
            <w:webHidden/>
          </w:rPr>
          <w:instrText xml:space="preserve"> PAGEREF _Toc411607483 \h </w:instrText>
        </w:r>
        <w:r w:rsidR="00353595">
          <w:rPr>
            <w:webHidden/>
          </w:rPr>
        </w:r>
        <w:r w:rsidR="00353595">
          <w:rPr>
            <w:webHidden/>
          </w:rPr>
          <w:fldChar w:fldCharType="separate"/>
        </w:r>
        <w:r w:rsidR="00353595">
          <w:rPr>
            <w:webHidden/>
          </w:rPr>
          <w:t>5</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4" w:history="1">
        <w:r w:rsidR="00353595" w:rsidRPr="002260F0">
          <w:rPr>
            <w:rStyle w:val="Hyperlink"/>
            <w:lang w:val="en-GB"/>
          </w:rPr>
          <w:t>7.</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CA282 - Write-downs / write-ups on  Bonds (Delphine)</w:t>
        </w:r>
        <w:r w:rsidR="00353595">
          <w:rPr>
            <w:webHidden/>
          </w:rPr>
          <w:tab/>
        </w:r>
        <w:r w:rsidR="00353595">
          <w:rPr>
            <w:webHidden/>
          </w:rPr>
          <w:fldChar w:fldCharType="begin"/>
        </w:r>
        <w:r w:rsidR="00353595">
          <w:rPr>
            <w:webHidden/>
          </w:rPr>
          <w:instrText xml:space="preserve"> PAGEREF _Toc411607484 \h </w:instrText>
        </w:r>
        <w:r w:rsidR="00353595">
          <w:rPr>
            <w:webHidden/>
          </w:rPr>
        </w:r>
        <w:r w:rsidR="00353595">
          <w:rPr>
            <w:webHidden/>
          </w:rPr>
          <w:fldChar w:fldCharType="separate"/>
        </w:r>
        <w:r w:rsidR="00353595">
          <w:rPr>
            <w:webHidden/>
          </w:rPr>
          <w:t>5</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5" w:history="1">
        <w:r w:rsidR="00353595" w:rsidRPr="002260F0">
          <w:rPr>
            <w:rStyle w:val="Hyperlink"/>
            <w:lang w:val="en-GB"/>
          </w:rPr>
          <w:t>8.</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CA284 - MP for Amounts Larger than 15d (GMP1 SG)</w:t>
        </w:r>
        <w:r w:rsidR="00353595">
          <w:rPr>
            <w:webHidden/>
          </w:rPr>
          <w:tab/>
        </w:r>
        <w:r w:rsidR="00353595">
          <w:rPr>
            <w:webHidden/>
          </w:rPr>
          <w:fldChar w:fldCharType="begin"/>
        </w:r>
        <w:r w:rsidR="00353595">
          <w:rPr>
            <w:webHidden/>
          </w:rPr>
          <w:instrText xml:space="preserve"> PAGEREF _Toc411607485 \h </w:instrText>
        </w:r>
        <w:r w:rsidR="00353595">
          <w:rPr>
            <w:webHidden/>
          </w:rPr>
        </w:r>
        <w:r w:rsidR="00353595">
          <w:rPr>
            <w:webHidden/>
          </w:rPr>
          <w:fldChar w:fldCharType="separate"/>
        </w:r>
        <w:r w:rsidR="00353595">
          <w:rPr>
            <w:webHidden/>
          </w:rPr>
          <w:t>5</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6" w:history="1">
        <w:r w:rsidR="00353595" w:rsidRPr="002260F0">
          <w:rPr>
            <w:rStyle w:val="Hyperlink"/>
            <w:rFonts w:cs="Calibri"/>
            <w:lang w:val="en-GB"/>
          </w:rPr>
          <w:t>9.</w:t>
        </w:r>
        <w:r w:rsidR="00353595">
          <w:rPr>
            <w:rFonts w:asciiTheme="minorHAnsi" w:eastAsiaTheme="minorEastAsia" w:hAnsiTheme="minorHAnsi" w:cstheme="minorBidi"/>
            <w:b w:val="0"/>
            <w:bCs w:val="0"/>
            <w:sz w:val="22"/>
            <w:szCs w:val="22"/>
            <w:lang w:val="en-GB" w:eastAsia="en-GB"/>
          </w:rPr>
          <w:tab/>
        </w:r>
        <w:r w:rsidR="00353595" w:rsidRPr="002260F0">
          <w:rPr>
            <w:rStyle w:val="Hyperlink"/>
            <w:rFonts w:cs="Calibri"/>
            <w:lang w:val="fr-BE"/>
          </w:rPr>
          <w:t>CA285 - FDIV/PDIV usage (Jacques)</w:t>
        </w:r>
        <w:r w:rsidR="00353595">
          <w:rPr>
            <w:webHidden/>
          </w:rPr>
          <w:tab/>
        </w:r>
        <w:r w:rsidR="00353595">
          <w:rPr>
            <w:webHidden/>
          </w:rPr>
          <w:fldChar w:fldCharType="begin"/>
        </w:r>
        <w:r w:rsidR="00353595">
          <w:rPr>
            <w:webHidden/>
          </w:rPr>
          <w:instrText xml:space="preserve"> PAGEREF _Toc411607486 \h </w:instrText>
        </w:r>
        <w:r w:rsidR="00353595">
          <w:rPr>
            <w:webHidden/>
          </w:rPr>
        </w:r>
        <w:r w:rsidR="00353595">
          <w:rPr>
            <w:webHidden/>
          </w:rPr>
          <w:fldChar w:fldCharType="separate"/>
        </w:r>
        <w:r w:rsidR="00353595">
          <w:rPr>
            <w:webHidden/>
          </w:rPr>
          <w:t>6</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7" w:history="1">
        <w:r w:rsidR="00353595" w:rsidRPr="002260F0">
          <w:rPr>
            <w:rStyle w:val="Hyperlink"/>
            <w:lang w:val="en-GB"/>
          </w:rPr>
          <w:t>10.</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CA288 - Information (INFO) Event Types (Andreana, Daniel)</w:t>
        </w:r>
        <w:r w:rsidR="00353595">
          <w:rPr>
            <w:webHidden/>
          </w:rPr>
          <w:tab/>
        </w:r>
        <w:r w:rsidR="00353595">
          <w:rPr>
            <w:webHidden/>
          </w:rPr>
          <w:fldChar w:fldCharType="begin"/>
        </w:r>
        <w:r w:rsidR="00353595">
          <w:rPr>
            <w:webHidden/>
          </w:rPr>
          <w:instrText xml:space="preserve"> PAGEREF _Toc411607487 \h </w:instrText>
        </w:r>
        <w:r w:rsidR="00353595">
          <w:rPr>
            <w:webHidden/>
          </w:rPr>
        </w:r>
        <w:r w:rsidR="00353595">
          <w:rPr>
            <w:webHidden/>
          </w:rPr>
          <w:fldChar w:fldCharType="separate"/>
        </w:r>
        <w:r w:rsidR="00353595">
          <w:rPr>
            <w:webHidden/>
          </w:rPr>
          <w:t>6</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8" w:history="1">
        <w:r w:rsidR="00353595" w:rsidRPr="002260F0">
          <w:rPr>
            <w:rStyle w:val="Hyperlink"/>
            <w:lang w:val="en-GB"/>
          </w:rPr>
          <w:t>11.</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CA290 - New Date in MT567 for "Ongoing" / "Au fil de l'eau" events (Delphine)</w:t>
        </w:r>
        <w:r w:rsidR="00353595">
          <w:rPr>
            <w:webHidden/>
          </w:rPr>
          <w:tab/>
        </w:r>
        <w:r w:rsidR="00353595">
          <w:rPr>
            <w:webHidden/>
          </w:rPr>
          <w:fldChar w:fldCharType="begin"/>
        </w:r>
        <w:r w:rsidR="00353595">
          <w:rPr>
            <w:webHidden/>
          </w:rPr>
          <w:instrText xml:space="preserve"> PAGEREF _Toc411607488 \h </w:instrText>
        </w:r>
        <w:r w:rsidR="00353595">
          <w:rPr>
            <w:webHidden/>
          </w:rPr>
        </w:r>
        <w:r w:rsidR="00353595">
          <w:rPr>
            <w:webHidden/>
          </w:rPr>
          <w:fldChar w:fldCharType="separate"/>
        </w:r>
        <w:r w:rsidR="00353595">
          <w:rPr>
            <w:webHidden/>
          </w:rPr>
          <w:t>7</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89" w:history="1">
        <w:r w:rsidR="00353595" w:rsidRPr="002260F0">
          <w:rPr>
            <w:rStyle w:val="Hyperlink"/>
            <w:lang w:val="en-GB"/>
          </w:rPr>
          <w:t>12.</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CA294 - TAXE Format Option as a Percentage (Jacques)</w:t>
        </w:r>
        <w:r w:rsidR="00353595">
          <w:rPr>
            <w:webHidden/>
          </w:rPr>
          <w:tab/>
        </w:r>
        <w:r w:rsidR="00353595">
          <w:rPr>
            <w:webHidden/>
          </w:rPr>
          <w:fldChar w:fldCharType="begin"/>
        </w:r>
        <w:r w:rsidR="00353595">
          <w:rPr>
            <w:webHidden/>
          </w:rPr>
          <w:instrText xml:space="preserve"> PAGEREF _Toc411607489 \h </w:instrText>
        </w:r>
        <w:r w:rsidR="00353595">
          <w:rPr>
            <w:webHidden/>
          </w:rPr>
        </w:r>
        <w:r w:rsidR="00353595">
          <w:rPr>
            <w:webHidden/>
          </w:rPr>
          <w:fldChar w:fldCharType="separate"/>
        </w:r>
        <w:r w:rsidR="00353595">
          <w:rPr>
            <w:webHidden/>
          </w:rPr>
          <w:t>7</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90" w:history="1">
        <w:r w:rsidR="00353595" w:rsidRPr="002260F0">
          <w:rPr>
            <w:rStyle w:val="Hyperlink"/>
            <w:lang w:val="en-GB"/>
          </w:rPr>
          <w:t>13.</w:t>
        </w:r>
        <w:r w:rsidR="00353595">
          <w:rPr>
            <w:rFonts w:asciiTheme="minorHAnsi" w:eastAsiaTheme="minorEastAsia" w:hAnsiTheme="minorHAnsi" w:cstheme="minorBidi"/>
            <w:b w:val="0"/>
            <w:bCs w:val="0"/>
            <w:sz w:val="22"/>
            <w:szCs w:val="22"/>
            <w:lang w:val="en-GB" w:eastAsia="en-GB"/>
          </w:rPr>
          <w:tab/>
        </w:r>
        <w:r w:rsidR="00353595" w:rsidRPr="002260F0">
          <w:rPr>
            <w:rStyle w:val="Hyperlink"/>
          </w:rPr>
          <w:t>MyStandards SG - DVCA MAND UG (Jacques)</w:t>
        </w:r>
        <w:r w:rsidR="00353595">
          <w:rPr>
            <w:webHidden/>
          </w:rPr>
          <w:tab/>
        </w:r>
        <w:r w:rsidR="00353595">
          <w:rPr>
            <w:webHidden/>
          </w:rPr>
          <w:fldChar w:fldCharType="begin"/>
        </w:r>
        <w:r w:rsidR="00353595">
          <w:rPr>
            <w:webHidden/>
          </w:rPr>
          <w:instrText xml:space="preserve"> PAGEREF _Toc411607490 \h </w:instrText>
        </w:r>
        <w:r w:rsidR="00353595">
          <w:rPr>
            <w:webHidden/>
          </w:rPr>
        </w:r>
        <w:r w:rsidR="00353595">
          <w:rPr>
            <w:webHidden/>
          </w:rPr>
          <w:fldChar w:fldCharType="separate"/>
        </w:r>
        <w:r w:rsidR="00353595">
          <w:rPr>
            <w:webHidden/>
          </w:rPr>
          <w:t>7</w:t>
        </w:r>
        <w:r w:rsidR="00353595">
          <w:rPr>
            <w:webHidden/>
          </w:rPr>
          <w:fldChar w:fldCharType="end"/>
        </w:r>
      </w:hyperlink>
    </w:p>
    <w:p w:rsidR="00353595" w:rsidRDefault="008B418B">
      <w:pPr>
        <w:pStyle w:val="TOC1"/>
        <w:rPr>
          <w:rFonts w:asciiTheme="minorHAnsi" w:eastAsiaTheme="minorEastAsia" w:hAnsiTheme="minorHAnsi" w:cstheme="minorBidi"/>
          <w:b w:val="0"/>
          <w:bCs w:val="0"/>
          <w:sz w:val="22"/>
          <w:szCs w:val="22"/>
          <w:lang w:val="en-GB" w:eastAsia="en-GB"/>
        </w:rPr>
      </w:pPr>
      <w:hyperlink w:anchor="_Toc411607491" w:history="1">
        <w:r w:rsidR="00353595" w:rsidRPr="002260F0">
          <w:rPr>
            <w:rStyle w:val="Hyperlink"/>
            <w:lang w:val="en-GB"/>
          </w:rPr>
          <w:t>14.</w:t>
        </w:r>
        <w:r w:rsidR="00353595">
          <w:rPr>
            <w:rFonts w:asciiTheme="minorHAnsi" w:eastAsiaTheme="minorEastAsia" w:hAnsiTheme="minorHAnsi" w:cstheme="minorBidi"/>
            <w:b w:val="0"/>
            <w:bCs w:val="0"/>
            <w:sz w:val="22"/>
            <w:szCs w:val="22"/>
            <w:lang w:val="en-GB" w:eastAsia="en-GB"/>
          </w:rPr>
          <w:tab/>
        </w:r>
        <w:r w:rsidR="00353595" w:rsidRPr="002260F0">
          <w:rPr>
            <w:rStyle w:val="Hyperlink"/>
            <w:lang w:val="en-GB"/>
          </w:rPr>
          <w:t>Tax Subgroup Meeting progress Report (Jean-Pierre / Jyi-Chen / Bernard)</w:t>
        </w:r>
        <w:r w:rsidR="00353595">
          <w:rPr>
            <w:webHidden/>
          </w:rPr>
          <w:tab/>
        </w:r>
        <w:r w:rsidR="00353595">
          <w:rPr>
            <w:webHidden/>
          </w:rPr>
          <w:fldChar w:fldCharType="begin"/>
        </w:r>
        <w:r w:rsidR="00353595">
          <w:rPr>
            <w:webHidden/>
          </w:rPr>
          <w:instrText xml:space="preserve"> PAGEREF _Toc411607491 \h </w:instrText>
        </w:r>
        <w:r w:rsidR="00353595">
          <w:rPr>
            <w:webHidden/>
          </w:rPr>
        </w:r>
        <w:r w:rsidR="00353595">
          <w:rPr>
            <w:webHidden/>
          </w:rPr>
          <w:fldChar w:fldCharType="separate"/>
        </w:r>
        <w:r w:rsidR="00353595">
          <w:rPr>
            <w:webHidden/>
          </w:rPr>
          <w:t>8</w:t>
        </w:r>
        <w:r w:rsidR="00353595">
          <w:rPr>
            <w:webHidden/>
          </w:rPr>
          <w:fldChar w:fldCharType="end"/>
        </w:r>
      </w:hyperlink>
    </w:p>
    <w:p w:rsidR="00AA52DB" w:rsidRDefault="00AA52DB" w:rsidP="00A718E5">
      <w:pPr>
        <w:pStyle w:val="Title1"/>
        <w:tabs>
          <w:tab w:val="left" w:pos="540"/>
        </w:tabs>
        <w:ind w:left="540" w:hanging="540"/>
        <w:rPr>
          <w:rFonts w:ascii="Helvetica" w:hAnsi="Helvetica"/>
          <w:bCs/>
          <w:noProof/>
          <w:sz w:val="20"/>
          <w:szCs w:val="28"/>
          <w:u w:val="none"/>
          <w:lang w:val="en-US"/>
        </w:rPr>
      </w:pPr>
      <w:r>
        <w:rPr>
          <w:rFonts w:ascii="Helvetica" w:hAnsi="Helvetica"/>
          <w:bCs/>
          <w:noProof/>
          <w:sz w:val="20"/>
          <w:szCs w:val="28"/>
          <w:u w:val="none"/>
          <w:lang w:val="en-US"/>
        </w:rPr>
        <w:fldChar w:fldCharType="end"/>
      </w:r>
    </w:p>
    <w:p w:rsidR="00AB6103" w:rsidRDefault="00AB6103" w:rsidP="00A718E5">
      <w:pPr>
        <w:pStyle w:val="Title1"/>
        <w:tabs>
          <w:tab w:val="left" w:pos="540"/>
        </w:tabs>
        <w:ind w:left="540" w:hanging="540"/>
      </w:pPr>
      <w:r w:rsidRPr="007A69C8">
        <w:br w:type="page"/>
      </w:r>
      <w:bookmarkStart w:id="2" w:name="OLE_LINK1"/>
      <w:bookmarkStart w:id="3" w:name="OLE_LINK2"/>
      <w:r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BE</w:t>
            </w:r>
          </w:p>
        </w:tc>
        <w:tc>
          <w:tcPr>
            <w:tcW w:w="333"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Mrs.</w:t>
            </w:r>
          </w:p>
        </w:tc>
        <w:tc>
          <w:tcPr>
            <w:tcW w:w="715"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Veronique</w:t>
            </w:r>
          </w:p>
        </w:tc>
        <w:tc>
          <w:tcPr>
            <w:tcW w:w="666" w:type="pct"/>
            <w:shd w:val="clear" w:color="auto" w:fill="92D050"/>
            <w:vAlign w:val="bottom"/>
          </w:tcPr>
          <w:p w:rsidR="00761329" w:rsidRPr="00580199" w:rsidRDefault="00761329" w:rsidP="00687ACB">
            <w:pPr>
              <w:spacing w:before="100" w:beforeAutospacing="1" w:after="100" w:afterAutospacing="1"/>
              <w:jc w:val="both"/>
            </w:pPr>
            <w:r w:rsidRPr="00580199">
              <w:t>Peeters</w:t>
            </w:r>
          </w:p>
        </w:tc>
        <w:tc>
          <w:tcPr>
            <w:tcW w:w="1383"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BNY Mellon</w:t>
            </w:r>
          </w:p>
        </w:tc>
        <w:tc>
          <w:tcPr>
            <w:tcW w:w="760" w:type="pct"/>
            <w:shd w:val="clear" w:color="auto" w:fill="92D050"/>
          </w:tcPr>
          <w:p w:rsidR="00761329" w:rsidRPr="00580199" w:rsidRDefault="00580199"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33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666"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Blumer</w:t>
            </w:r>
          </w:p>
        </w:tc>
        <w:tc>
          <w:tcPr>
            <w:tcW w:w="138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760" w:type="pct"/>
            <w:shd w:val="clear" w:color="auto" w:fill="92D050"/>
          </w:tcPr>
          <w:p w:rsidR="00761329" w:rsidRPr="002E4F7B" w:rsidRDefault="002E4F7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Andreana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2E4F7B"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Nordea Bank Plc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E60EC" w:rsidRDefault="000E60EC" w:rsidP="00404B24">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EE045B"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Phungtran</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E60EC" w:rsidRDefault="000E60EC" w:rsidP="00D30222">
            <w:pPr>
              <w:spacing w:before="100" w:beforeAutospacing="1" w:after="100" w:afterAutospacing="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10595F"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10595F" w:rsidRPr="00EE045B" w:rsidRDefault="0010595F"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Karim</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Djenadi</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10595F" w:rsidRPr="002E4F7B" w:rsidRDefault="0010595F"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F004B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Yek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F004B1" w:rsidRDefault="00F004B1"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Deantoni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F02EAC">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F004B1"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004B1" w:rsidRPr="00EE045B" w:rsidRDefault="00F004B1"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Hisashi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Hotta</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F004B1" w:rsidRPr="006F74E5" w:rsidRDefault="00F004B1"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A525D0" w:rsidRPr="00A525D0" w:rsidTr="00F004B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auto"/>
            <w:vAlign w:val="bottom"/>
          </w:tcPr>
          <w:p w:rsidR="00761329" w:rsidRPr="00F004B1" w:rsidRDefault="00022A8A" w:rsidP="00550DB3">
            <w:pPr>
              <w:spacing w:before="100" w:beforeAutospacing="1" w:after="100" w:afterAutospacing="1"/>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LU</w:t>
            </w:r>
          </w:p>
        </w:tc>
        <w:tc>
          <w:tcPr>
            <w:tcW w:w="333" w:type="pct"/>
            <w:shd w:val="clear" w:color="auto" w:fill="auto"/>
            <w:vAlign w:val="bottom"/>
          </w:tcPr>
          <w:p w:rsidR="00761329" w:rsidRPr="00F004B1" w:rsidRDefault="00761329" w:rsidP="00550DB3">
            <w:pPr>
              <w:spacing w:before="100" w:beforeAutospacing="1" w:after="100" w:afterAutospacing="1"/>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Mr.</w:t>
            </w:r>
          </w:p>
        </w:tc>
        <w:tc>
          <w:tcPr>
            <w:tcW w:w="715" w:type="pct"/>
            <w:shd w:val="clear" w:color="auto" w:fill="auto"/>
            <w:vAlign w:val="bottom"/>
          </w:tcPr>
          <w:p w:rsidR="00761329" w:rsidRPr="00F004B1" w:rsidRDefault="00761329" w:rsidP="00550DB3">
            <w:pPr>
              <w:spacing w:before="100" w:beforeAutospacing="1" w:after="100" w:afterAutospacing="1"/>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Bernard</w:t>
            </w:r>
          </w:p>
        </w:tc>
        <w:tc>
          <w:tcPr>
            <w:tcW w:w="666" w:type="pct"/>
            <w:shd w:val="clear" w:color="auto" w:fill="auto"/>
            <w:vAlign w:val="bottom"/>
          </w:tcPr>
          <w:p w:rsidR="00761329" w:rsidRPr="00F004B1" w:rsidRDefault="00761329" w:rsidP="00550DB3">
            <w:pPr>
              <w:spacing w:before="100" w:beforeAutospacing="1" w:after="100" w:afterAutospacing="1"/>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Lenelle</w:t>
            </w:r>
          </w:p>
        </w:tc>
        <w:tc>
          <w:tcPr>
            <w:tcW w:w="1383" w:type="pct"/>
            <w:shd w:val="clear" w:color="auto" w:fill="auto"/>
            <w:vAlign w:val="bottom"/>
          </w:tcPr>
          <w:p w:rsidR="00761329" w:rsidRPr="00F004B1" w:rsidRDefault="00761329" w:rsidP="00550DB3">
            <w:pPr>
              <w:spacing w:before="100" w:beforeAutospacing="1" w:after="100" w:afterAutospacing="1"/>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Clearstream</w:t>
            </w:r>
          </w:p>
        </w:tc>
        <w:tc>
          <w:tcPr>
            <w:tcW w:w="760" w:type="pct"/>
            <w:shd w:val="clear" w:color="auto" w:fill="auto"/>
          </w:tcPr>
          <w:p w:rsidR="00761329" w:rsidRPr="00F004B1" w:rsidRDefault="00F004B1" w:rsidP="00D30222">
            <w:pPr>
              <w:spacing w:before="100" w:beforeAutospacing="1" w:after="100" w:afterAutospacing="1"/>
              <w:jc w:val="center"/>
              <w:rPr>
                <w:rFonts w:ascii="Calibri" w:hAnsi="Calibri" w:cs="Calibri"/>
                <w:color w:val="808080" w:themeColor="background1" w:themeShade="80"/>
                <w:sz w:val="22"/>
                <w:szCs w:val="22"/>
              </w:rPr>
            </w:pPr>
            <w:r w:rsidRPr="00F004B1">
              <w:rPr>
                <w:rFonts w:ascii="Calibri" w:hAnsi="Calibri" w:cs="Calibri"/>
                <w:color w:val="808080" w:themeColor="background1" w:themeShade="80"/>
                <w:sz w:val="22"/>
                <w:szCs w:val="22"/>
              </w:rPr>
              <w:t>Excused</w:t>
            </w:r>
          </w:p>
        </w:tc>
      </w:tr>
      <w:tr w:rsidR="00022A8A"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w:t>
            </w:r>
          </w:p>
        </w:tc>
        <w:tc>
          <w:tcPr>
            <w:tcW w:w="333"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Peter</w:t>
            </w:r>
          </w:p>
        </w:tc>
        <w:tc>
          <w:tcPr>
            <w:tcW w:w="666" w:type="pct"/>
            <w:shd w:val="clear" w:color="auto" w:fill="92D050"/>
            <w:vAlign w:val="bottom"/>
          </w:tcPr>
          <w:p w:rsidR="00022A8A" w:rsidRPr="00580199" w:rsidRDefault="00022A8A" w:rsidP="00975104">
            <w:pPr>
              <w:spacing w:before="100" w:beforeAutospacing="1" w:after="100" w:afterAutospacing="1"/>
              <w:rPr>
                <w:rFonts w:ascii="Calibri" w:hAnsi="Calibri" w:cs="Calibri"/>
                <w:sz w:val="22"/>
                <w:szCs w:val="22"/>
              </w:rPr>
            </w:pPr>
            <w:r w:rsidRPr="00580199">
              <w:rPr>
                <w:rFonts w:ascii="Calibri" w:hAnsi="Calibri" w:cs="Calibri"/>
                <w:sz w:val="22"/>
                <w:szCs w:val="22"/>
              </w:rPr>
              <w:t>Hinds</w:t>
            </w:r>
          </w:p>
        </w:tc>
        <w:tc>
          <w:tcPr>
            <w:tcW w:w="1383"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 / Interactive Data</w:t>
            </w:r>
          </w:p>
        </w:tc>
        <w:tc>
          <w:tcPr>
            <w:tcW w:w="760" w:type="pct"/>
            <w:shd w:val="clear" w:color="auto" w:fill="92D050"/>
          </w:tcPr>
          <w:p w:rsidR="00022A8A" w:rsidRPr="00580199" w:rsidRDefault="00580199" w:rsidP="00761329">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AB0ADA" w:rsidTr="00404B24">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404B24" w:rsidRDefault="00022A8A" w:rsidP="007E1B7E">
            <w:pPr>
              <w:spacing w:before="100" w:beforeAutospacing="1" w:after="100" w:afterAutospacing="1"/>
              <w:rPr>
                <w:rFonts w:ascii="Calibri" w:hAnsi="Calibri" w:cs="Calibri"/>
                <w:sz w:val="22"/>
                <w:szCs w:val="22"/>
              </w:rPr>
            </w:pPr>
            <w:r w:rsidRPr="00404B24">
              <w:rPr>
                <w:rFonts w:ascii="Calibri" w:hAnsi="Calibri" w:cs="Calibri"/>
                <w:sz w:val="22"/>
                <w:szCs w:val="22"/>
              </w:rPr>
              <w:t>MDPUG</w:t>
            </w:r>
          </w:p>
        </w:tc>
        <w:tc>
          <w:tcPr>
            <w:tcW w:w="333" w:type="pct"/>
            <w:shd w:val="clear" w:color="auto" w:fill="92D050"/>
            <w:vAlign w:val="bottom"/>
          </w:tcPr>
          <w:p w:rsidR="00022A8A" w:rsidRPr="00404B24" w:rsidRDefault="00022A8A" w:rsidP="00550DB3">
            <w:pPr>
              <w:spacing w:before="100" w:beforeAutospacing="1" w:after="100" w:afterAutospacing="1"/>
              <w:rPr>
                <w:rFonts w:ascii="Calibri" w:hAnsi="Calibri" w:cs="Calibri"/>
                <w:sz w:val="22"/>
                <w:szCs w:val="22"/>
              </w:rPr>
            </w:pPr>
            <w:r w:rsidRPr="00404B24">
              <w:rPr>
                <w:rFonts w:ascii="Calibri" w:hAnsi="Calibri" w:cs="Calibri"/>
                <w:sz w:val="22"/>
                <w:szCs w:val="22"/>
              </w:rPr>
              <w:t>Mrs.</w:t>
            </w:r>
          </w:p>
        </w:tc>
        <w:tc>
          <w:tcPr>
            <w:tcW w:w="715" w:type="pct"/>
            <w:shd w:val="clear" w:color="auto" w:fill="92D050"/>
            <w:vAlign w:val="bottom"/>
          </w:tcPr>
          <w:p w:rsidR="00022A8A" w:rsidRPr="00404B24" w:rsidRDefault="00022A8A" w:rsidP="00550DB3">
            <w:pPr>
              <w:spacing w:before="100" w:beforeAutospacing="1" w:after="100" w:afterAutospacing="1"/>
            </w:pPr>
            <w:r w:rsidRPr="00404B24">
              <w:t>Laura</w:t>
            </w:r>
          </w:p>
        </w:tc>
        <w:tc>
          <w:tcPr>
            <w:tcW w:w="666" w:type="pct"/>
            <w:shd w:val="clear" w:color="auto" w:fill="92D050"/>
            <w:vAlign w:val="bottom"/>
          </w:tcPr>
          <w:p w:rsidR="00022A8A" w:rsidRPr="00404B24" w:rsidRDefault="00022A8A" w:rsidP="00550DB3">
            <w:pPr>
              <w:spacing w:before="100" w:beforeAutospacing="1" w:after="100" w:afterAutospacing="1"/>
            </w:pPr>
            <w:r w:rsidRPr="00404B24">
              <w:t>Fuller</w:t>
            </w:r>
          </w:p>
        </w:tc>
        <w:tc>
          <w:tcPr>
            <w:tcW w:w="1383" w:type="pct"/>
            <w:shd w:val="clear" w:color="auto" w:fill="92D050"/>
            <w:vAlign w:val="bottom"/>
          </w:tcPr>
          <w:p w:rsidR="00022A8A" w:rsidRPr="00404B24" w:rsidRDefault="00022A8A" w:rsidP="00550DB3">
            <w:pPr>
              <w:spacing w:before="100" w:beforeAutospacing="1" w:after="100" w:afterAutospacing="1"/>
            </w:pPr>
            <w:r w:rsidRPr="00404B24">
              <w:t>Telekurs</w:t>
            </w:r>
          </w:p>
        </w:tc>
        <w:tc>
          <w:tcPr>
            <w:tcW w:w="760" w:type="pct"/>
            <w:shd w:val="clear" w:color="auto" w:fill="92D050"/>
          </w:tcPr>
          <w:p w:rsidR="00022A8A" w:rsidRPr="00404B24" w:rsidRDefault="00404B24"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van der Velpen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580199" w:rsidP="00580199">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022A8A" w:rsidRPr="00EE045B" w:rsidTr="009314A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333" w:type="pct"/>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715"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Hans Martin</w:t>
            </w:r>
          </w:p>
        </w:tc>
        <w:tc>
          <w:tcPr>
            <w:tcW w:w="666"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Aulie</w:t>
            </w:r>
          </w:p>
        </w:tc>
        <w:tc>
          <w:tcPr>
            <w:tcW w:w="1383"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DNB Bank</w:t>
            </w:r>
          </w:p>
        </w:tc>
        <w:tc>
          <w:tcPr>
            <w:tcW w:w="760" w:type="pct"/>
            <w:shd w:val="clear" w:color="auto" w:fill="FFFFFF" w:themeFill="background1"/>
            <w:vAlign w:val="center"/>
          </w:tcPr>
          <w:p w:rsidR="00022A8A" w:rsidRPr="009314AB" w:rsidRDefault="009314AB" w:rsidP="00034226">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580199">
        <w:tblPrEx>
          <w:tblCellMar>
            <w:left w:w="108" w:type="dxa"/>
            <w:right w:w="108" w:type="dxa"/>
          </w:tblCellMar>
        </w:tblPrEx>
        <w:trPr>
          <w:trHeight w:val="296"/>
        </w:trPr>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F004B1" w:rsidRDefault="00022A8A" w:rsidP="00550DB3">
            <w:pPr>
              <w:spacing w:before="100" w:beforeAutospacing="1" w:after="100" w:afterAutospacing="1"/>
              <w:rPr>
                <w:rFonts w:ascii="Calibri" w:hAnsi="Calibri" w:cs="Calibri"/>
                <w:sz w:val="22"/>
                <w:szCs w:val="22"/>
              </w:rPr>
            </w:pPr>
            <w:r w:rsidRPr="00F004B1">
              <w:rPr>
                <w:rFonts w:ascii="Calibri" w:hAnsi="Calibri" w:cs="Calibri"/>
                <w:sz w:val="22"/>
                <w:szCs w:val="22"/>
              </w:rPr>
              <w:t>NO</w:t>
            </w:r>
          </w:p>
        </w:tc>
        <w:tc>
          <w:tcPr>
            <w:tcW w:w="333" w:type="pct"/>
            <w:shd w:val="clear" w:color="auto" w:fill="92D050"/>
            <w:vAlign w:val="bottom"/>
          </w:tcPr>
          <w:p w:rsidR="00022A8A" w:rsidRPr="00F004B1" w:rsidRDefault="00022A8A" w:rsidP="00550DB3">
            <w:pPr>
              <w:spacing w:before="100" w:beforeAutospacing="1" w:after="100" w:afterAutospacing="1"/>
              <w:rPr>
                <w:rFonts w:ascii="Calibri" w:hAnsi="Calibri" w:cs="Calibri"/>
                <w:sz w:val="22"/>
                <w:szCs w:val="22"/>
              </w:rPr>
            </w:pPr>
            <w:r w:rsidRPr="00F004B1">
              <w:rPr>
                <w:rFonts w:ascii="Calibri" w:hAnsi="Calibri" w:cs="Calibri"/>
                <w:sz w:val="22"/>
                <w:szCs w:val="22"/>
              </w:rPr>
              <w:t xml:space="preserve">Mr. </w:t>
            </w:r>
          </w:p>
        </w:tc>
        <w:tc>
          <w:tcPr>
            <w:tcW w:w="715" w:type="pct"/>
            <w:shd w:val="clear" w:color="auto" w:fill="92D050"/>
            <w:vAlign w:val="bottom"/>
          </w:tcPr>
          <w:p w:rsidR="00022A8A" w:rsidRPr="00F004B1" w:rsidRDefault="00022A8A" w:rsidP="00550DB3">
            <w:pPr>
              <w:spacing w:before="100" w:beforeAutospacing="1" w:after="100" w:afterAutospacing="1"/>
            </w:pPr>
            <w:r w:rsidRPr="00F004B1">
              <w:t>Alexander</w:t>
            </w:r>
          </w:p>
        </w:tc>
        <w:tc>
          <w:tcPr>
            <w:tcW w:w="666" w:type="pct"/>
            <w:shd w:val="clear" w:color="auto" w:fill="92D050"/>
            <w:vAlign w:val="bottom"/>
          </w:tcPr>
          <w:p w:rsidR="00022A8A" w:rsidRPr="00F004B1" w:rsidRDefault="00022A8A" w:rsidP="00550DB3">
            <w:pPr>
              <w:spacing w:before="100" w:beforeAutospacing="1" w:after="100" w:afterAutospacing="1"/>
            </w:pPr>
            <w:r w:rsidRPr="00F004B1">
              <w:t>Wathne</w:t>
            </w:r>
          </w:p>
        </w:tc>
        <w:tc>
          <w:tcPr>
            <w:tcW w:w="1383" w:type="pct"/>
            <w:shd w:val="clear" w:color="auto" w:fill="92D050"/>
            <w:vAlign w:val="bottom"/>
          </w:tcPr>
          <w:p w:rsidR="00022A8A" w:rsidRPr="00F004B1" w:rsidRDefault="00022A8A" w:rsidP="00550DB3">
            <w:pPr>
              <w:spacing w:before="100" w:beforeAutospacing="1" w:after="100" w:afterAutospacing="1"/>
            </w:pPr>
            <w:r w:rsidRPr="00F004B1">
              <w:t>Nordea</w:t>
            </w:r>
          </w:p>
        </w:tc>
        <w:tc>
          <w:tcPr>
            <w:tcW w:w="760" w:type="pct"/>
            <w:shd w:val="clear" w:color="auto" w:fill="92D050"/>
          </w:tcPr>
          <w:p w:rsidR="00022A8A" w:rsidRPr="00F004B1" w:rsidRDefault="00F004B1" w:rsidP="00761329">
            <w:pPr>
              <w:spacing w:before="100" w:beforeAutospacing="1" w:after="100" w:afterAutospacing="1"/>
              <w:jc w:val="center"/>
            </w:pPr>
            <w:r w:rsidRPr="006F74E5">
              <w:rPr>
                <w:rFonts w:ascii="Calibri" w:hAnsi="Calibri" w:cs="Calibri"/>
                <w:sz w:val="22"/>
                <w:szCs w:val="22"/>
              </w:rPr>
              <w:sym w:font="Wingdings 2" w:char="F050"/>
            </w:r>
          </w:p>
        </w:tc>
      </w:tr>
      <w:tr w:rsidR="006F74E5"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333"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Mrs</w:t>
            </w:r>
          </w:p>
        </w:tc>
        <w:tc>
          <w:tcPr>
            <w:tcW w:w="715"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666"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1383" w:type="pct"/>
            <w:shd w:val="clear" w:color="auto" w:fill="92D050"/>
            <w:vAlign w:val="bottom"/>
          </w:tcPr>
          <w:p w:rsidR="006F74E5" w:rsidRPr="00580199" w:rsidRDefault="00580199" w:rsidP="00550DB3">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760" w:type="pct"/>
            <w:shd w:val="clear" w:color="auto" w:fill="92D050"/>
          </w:tcPr>
          <w:p w:rsidR="006F74E5" w:rsidRPr="00580199" w:rsidRDefault="00580199" w:rsidP="00580199">
            <w:pPr>
              <w:spacing w:before="100" w:beforeAutospacing="1" w:after="100" w:afterAutospacing="1"/>
              <w:jc w:val="center"/>
            </w:pPr>
            <w:r w:rsidRPr="00580199">
              <w:rPr>
                <w:rFonts w:ascii="Calibri" w:hAnsi="Calibri" w:cs="Calibri"/>
                <w:sz w:val="22"/>
                <w:szCs w:val="22"/>
              </w:rPr>
              <w:sym w:font="Wingdings 2" w:char="F050"/>
            </w:r>
          </w:p>
        </w:tc>
      </w:tr>
      <w:tr w:rsidR="00022A8A"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333"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Mrs</w:t>
            </w:r>
          </w:p>
        </w:tc>
        <w:tc>
          <w:tcPr>
            <w:tcW w:w="715"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666" w:type="pct"/>
            <w:shd w:val="clear" w:color="auto" w:fill="FFFFFF" w:themeFill="background1"/>
            <w:vAlign w:val="bottom"/>
          </w:tcPr>
          <w:p w:rsidR="00022A8A" w:rsidRPr="0037282A" w:rsidRDefault="00022A8A" w:rsidP="00550DB3">
            <w:pPr>
              <w:spacing w:before="100" w:beforeAutospacing="1" w:after="100" w:afterAutospacing="1"/>
              <w:rPr>
                <w:rFonts w:asciiTheme="minorHAnsi" w:hAnsiTheme="minorHAnsi" w:cstheme="minorHAnsi"/>
                <w:color w:val="808080" w:themeColor="background1" w:themeShade="80"/>
                <w:sz w:val="22"/>
                <w:szCs w:val="22"/>
              </w:rPr>
            </w:pPr>
            <w:r w:rsidRPr="0037282A">
              <w:rPr>
                <w:rFonts w:asciiTheme="minorHAnsi" w:hAnsiTheme="minorHAnsi" w:cstheme="minorHAnsi"/>
                <w:snapToGrid w:val="0"/>
                <w:color w:val="808080" w:themeColor="background1" w:themeShade="80"/>
                <w:sz w:val="22"/>
                <w:lang w:val="en-GB"/>
              </w:rPr>
              <w:t>Prokofeva</w:t>
            </w:r>
          </w:p>
        </w:tc>
        <w:tc>
          <w:tcPr>
            <w:tcW w:w="1383"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Rosbank</w:t>
            </w:r>
          </w:p>
        </w:tc>
        <w:tc>
          <w:tcPr>
            <w:tcW w:w="760" w:type="pct"/>
            <w:shd w:val="clear" w:color="auto" w:fill="FFFFFF" w:themeFill="background1"/>
          </w:tcPr>
          <w:p w:rsidR="00022A8A" w:rsidRPr="0037282A"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F004B1">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33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Mrs.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Strandberg</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760" w:type="pct"/>
            <w:shd w:val="clear" w:color="auto" w:fill="92D050"/>
          </w:tcPr>
          <w:p w:rsidR="00022A8A" w:rsidRPr="002E4F7B" w:rsidRDefault="002E4F7B" w:rsidP="002D481C">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SG</w:t>
            </w:r>
          </w:p>
        </w:tc>
        <w:tc>
          <w:tcPr>
            <w:tcW w:w="33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Jyi-Chen</w:t>
            </w:r>
          </w:p>
        </w:tc>
        <w:tc>
          <w:tcPr>
            <w:tcW w:w="666"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Chueh</w:t>
            </w:r>
          </w:p>
        </w:tc>
        <w:tc>
          <w:tcPr>
            <w:tcW w:w="138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SC</w:t>
            </w:r>
          </w:p>
        </w:tc>
        <w:tc>
          <w:tcPr>
            <w:tcW w:w="760" w:type="pct"/>
            <w:shd w:val="clear" w:color="auto" w:fill="FFFFFF" w:themeFill="background1"/>
          </w:tcPr>
          <w:p w:rsidR="00022A8A" w:rsidRPr="002E4F7B" w:rsidRDefault="00022A8A" w:rsidP="004E063D">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UK &amp; IE</w:t>
            </w:r>
          </w:p>
        </w:tc>
        <w:tc>
          <w:tcPr>
            <w:tcW w:w="33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Mrs.</w:t>
            </w:r>
          </w:p>
        </w:tc>
        <w:tc>
          <w:tcPr>
            <w:tcW w:w="715"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Mariangela</w:t>
            </w:r>
          </w:p>
        </w:tc>
        <w:tc>
          <w:tcPr>
            <w:tcW w:w="666"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Fumagalli</w:t>
            </w:r>
          </w:p>
        </w:tc>
        <w:tc>
          <w:tcPr>
            <w:tcW w:w="138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BNP Paribas</w:t>
            </w:r>
          </w:p>
        </w:tc>
        <w:tc>
          <w:tcPr>
            <w:tcW w:w="760" w:type="pct"/>
            <w:shd w:val="clear" w:color="auto" w:fill="92D050"/>
          </w:tcPr>
          <w:p w:rsidR="00022A8A" w:rsidRPr="0010595F" w:rsidRDefault="0010595F" w:rsidP="00EE045B">
            <w:pPr>
              <w:spacing w:before="100" w:beforeAutospacing="1" w:after="100" w:afterAutospacing="1"/>
              <w:jc w:val="center"/>
              <w:rPr>
                <w:rFonts w:ascii="Calibri" w:hAnsi="Calibri" w:cs="Calibri"/>
                <w:sz w:val="22"/>
                <w:szCs w:val="22"/>
              </w:rPr>
            </w:pPr>
            <w:r w:rsidRPr="0010595F">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2E4F7B" w:rsidRDefault="00022A8A" w:rsidP="00D30222">
            <w:pPr>
              <w:spacing w:before="100" w:beforeAutospacing="1" w:after="100" w:afterAutospacing="1"/>
              <w:rPr>
                <w:rFonts w:ascii="Calibri" w:hAnsi="Calibri" w:cs="Calibri"/>
                <w:sz w:val="22"/>
                <w:szCs w:val="22"/>
              </w:rPr>
            </w:pPr>
            <w:r w:rsidRPr="002E4F7B">
              <w:rPr>
                <w:rFonts w:ascii="Calibri" w:hAnsi="Calibri" w:cs="Calibri"/>
                <w:sz w:val="22"/>
                <w:szCs w:val="22"/>
              </w:rPr>
              <w:t>UK &amp; IE</w:t>
            </w:r>
          </w:p>
        </w:tc>
        <w:tc>
          <w:tcPr>
            <w:tcW w:w="333" w:type="pct"/>
            <w:shd w:val="clear" w:color="auto" w:fill="92D050"/>
            <w:vAlign w:val="bottom"/>
          </w:tcPr>
          <w:p w:rsidR="00022A8A" w:rsidRPr="002E4F7B" w:rsidRDefault="00022A8A" w:rsidP="009220AE">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Matthew</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Middleton</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LSE</w:t>
            </w:r>
          </w:p>
        </w:tc>
        <w:tc>
          <w:tcPr>
            <w:tcW w:w="760" w:type="pct"/>
            <w:shd w:val="clear" w:color="auto" w:fill="92D050"/>
          </w:tcPr>
          <w:p w:rsidR="00022A8A" w:rsidRPr="002E4F7B" w:rsidRDefault="002E4F7B" w:rsidP="00F9377E">
            <w:pPr>
              <w:spacing w:before="100" w:beforeAutospacing="1" w:after="100" w:afterAutospacing="1"/>
              <w:jc w:val="center"/>
              <w:rPr>
                <w:rFonts w:ascii="Calibri" w:hAnsi="Calibri" w:cs="Calibri"/>
                <w:sz w:val="22"/>
                <w:szCs w:val="22"/>
              </w:rPr>
            </w:pPr>
            <w:r w:rsidRPr="002E4F7B">
              <w:rPr>
                <w:rFonts w:ascii="Calibri" w:hAnsi="Calibri" w:cs="Calibri"/>
                <w:sz w:val="22"/>
                <w:szCs w:val="22"/>
              </w:rPr>
              <w:sym w:font="Wingdings 2" w:char="F050"/>
            </w:r>
          </w:p>
        </w:tc>
      </w:tr>
      <w:tr w:rsidR="00022A8A" w:rsidRPr="00EE045B" w:rsidTr="005919B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US ISITC</w:t>
            </w:r>
          </w:p>
        </w:tc>
        <w:tc>
          <w:tcPr>
            <w:tcW w:w="333" w:type="pct"/>
            <w:shd w:val="clear" w:color="auto" w:fill="92D050"/>
            <w:vAlign w:val="bottom"/>
          </w:tcPr>
          <w:p w:rsidR="00022A8A" w:rsidRPr="005919BB" w:rsidRDefault="00022A8A" w:rsidP="009220AE">
            <w:pPr>
              <w:spacing w:before="100" w:beforeAutospacing="1" w:after="100" w:afterAutospacing="1"/>
              <w:rPr>
                <w:rFonts w:ascii="Calibri" w:hAnsi="Calibri" w:cs="Calibri"/>
                <w:sz w:val="22"/>
                <w:szCs w:val="22"/>
              </w:rPr>
            </w:pPr>
            <w:r w:rsidRPr="005919BB">
              <w:rPr>
                <w:rFonts w:ascii="Calibri" w:hAnsi="Calibri" w:cs="Calibri"/>
                <w:sz w:val="22"/>
                <w:szCs w:val="22"/>
              </w:rPr>
              <w:t>Mrs.</w:t>
            </w:r>
          </w:p>
        </w:tc>
        <w:tc>
          <w:tcPr>
            <w:tcW w:w="715" w:type="pct"/>
            <w:shd w:val="clear" w:color="auto" w:fill="92D050"/>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Sonda</w:t>
            </w:r>
          </w:p>
        </w:tc>
        <w:tc>
          <w:tcPr>
            <w:tcW w:w="666" w:type="pct"/>
            <w:shd w:val="clear" w:color="auto" w:fill="92D050"/>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Pimental</w:t>
            </w:r>
          </w:p>
        </w:tc>
        <w:tc>
          <w:tcPr>
            <w:tcW w:w="1383" w:type="pct"/>
            <w:shd w:val="clear" w:color="auto" w:fill="92D050"/>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BBH</w:t>
            </w:r>
          </w:p>
        </w:tc>
        <w:tc>
          <w:tcPr>
            <w:tcW w:w="760" w:type="pct"/>
            <w:shd w:val="clear" w:color="auto" w:fill="92D050"/>
          </w:tcPr>
          <w:p w:rsidR="00022A8A" w:rsidRPr="005919BB" w:rsidRDefault="00F004B1" w:rsidP="00F004B1">
            <w:pPr>
              <w:spacing w:before="100" w:beforeAutospacing="1" w:after="100" w:afterAutospacing="1"/>
              <w:jc w:val="center"/>
              <w:rPr>
                <w:rFonts w:ascii="Calibri" w:hAnsi="Calibri" w:cs="Calibri"/>
                <w:sz w:val="22"/>
                <w:szCs w:val="22"/>
              </w:rPr>
            </w:pPr>
            <w:r w:rsidRPr="005919BB">
              <w:rPr>
                <w:rFonts w:ascii="Calibri" w:hAnsi="Calibri" w:cs="Calibri"/>
                <w:sz w:val="22"/>
                <w:szCs w:val="22"/>
              </w:rPr>
              <w:sym w:font="Wingdings 2" w:char="F050"/>
            </w:r>
          </w:p>
        </w:tc>
      </w:tr>
      <w:tr w:rsidR="00022A8A"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Haillez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022A8A" w:rsidRPr="0037282A" w:rsidRDefault="0037282A" w:rsidP="007E0392">
            <w:pPr>
              <w:spacing w:before="100" w:beforeAutospacing="1" w:after="100" w:afterAutospacing="1"/>
              <w:jc w:val="center"/>
              <w:rPr>
                <w:rFonts w:ascii="Calibri" w:hAnsi="Calibri" w:cs="Calibri"/>
                <w:sz w:val="22"/>
                <w:szCs w:val="22"/>
              </w:rPr>
            </w:pPr>
            <w:r w:rsidRPr="0037282A">
              <w:rPr>
                <w:rFonts w:ascii="Calibri" w:hAnsi="Calibri" w:cs="Calibri"/>
                <w:sz w:val="22"/>
                <w:szCs w:val="22"/>
              </w:rPr>
              <w:sym w:font="Wingdings 2" w:char="F050"/>
            </w:r>
          </w:p>
        </w:tc>
      </w:tr>
      <w:tr w:rsidR="00022A8A"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33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666"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Jayram</w:t>
            </w:r>
          </w:p>
        </w:tc>
        <w:tc>
          <w:tcPr>
            <w:tcW w:w="138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760" w:type="pct"/>
            <w:shd w:val="clear" w:color="auto" w:fill="92D050"/>
          </w:tcPr>
          <w:p w:rsidR="00022A8A" w:rsidRPr="00580199" w:rsidRDefault="00580199" w:rsidP="00286F0F">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Strate</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A525D0">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ZA</w:t>
            </w:r>
          </w:p>
        </w:tc>
        <w:tc>
          <w:tcPr>
            <w:tcW w:w="33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Kumaran</w:t>
            </w:r>
          </w:p>
        </w:tc>
        <w:tc>
          <w:tcPr>
            <w:tcW w:w="666"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Pillay</w:t>
            </w:r>
          </w:p>
        </w:tc>
        <w:tc>
          <w:tcPr>
            <w:tcW w:w="138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Strate</w:t>
            </w:r>
          </w:p>
        </w:tc>
        <w:tc>
          <w:tcPr>
            <w:tcW w:w="760" w:type="pct"/>
            <w:shd w:val="clear" w:color="auto" w:fill="FFFFFF" w:themeFill="background1"/>
          </w:tcPr>
          <w:p w:rsidR="00616FBA" w:rsidRPr="00A525D0" w:rsidRDefault="00616FBA" w:rsidP="00D30222">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5919BB" w:rsidRPr="005919BB" w:rsidRDefault="0047160D" w:rsidP="005919BB">
      <w:pPr>
        <w:pStyle w:val="Heading1"/>
      </w:pPr>
      <w:bookmarkStart w:id="4" w:name="_Toc411607478"/>
      <w:bookmarkStart w:id="5" w:name="OLE_LINK5"/>
      <w:bookmarkStart w:id="6" w:name="OLE_LINK8"/>
      <w:r>
        <w:t xml:space="preserve">Approval of </w:t>
      </w:r>
      <w:r w:rsidR="005E45CF">
        <w:t>December 18</w:t>
      </w:r>
      <w:r w:rsidR="00C0641A">
        <w:t xml:space="preserve"> </w:t>
      </w:r>
      <w:r w:rsidR="005C655D">
        <w:t>Meeting M</w:t>
      </w:r>
      <w:r w:rsidR="00C7053E">
        <w:t>inutes</w:t>
      </w:r>
      <w:bookmarkEnd w:id="4"/>
      <w:r w:rsidR="00C7053E">
        <w:t xml:space="preserve"> </w:t>
      </w:r>
    </w:p>
    <w:p w:rsidR="0037282A" w:rsidRDefault="005919BB" w:rsidP="0037282A">
      <w:r>
        <w:t>The minutes are approved without any changes</w:t>
      </w:r>
      <w:r w:rsidR="00580199">
        <w:t xml:space="preserve"> or comments</w:t>
      </w:r>
      <w:r>
        <w:t>.</w:t>
      </w:r>
    </w:p>
    <w:p w:rsidR="005E45CF" w:rsidRDefault="005E45CF" w:rsidP="005C655D">
      <w:pPr>
        <w:pStyle w:val="Heading1"/>
      </w:pPr>
      <w:bookmarkStart w:id="7" w:name="_Toc411607479"/>
      <w:r>
        <w:t xml:space="preserve">May </w:t>
      </w:r>
      <w:r w:rsidR="00A62ABD">
        <w:t>12 or 21 Conf call – Confirm date</w:t>
      </w:r>
      <w:bookmarkEnd w:id="7"/>
    </w:p>
    <w:p w:rsidR="00A62ABD" w:rsidRDefault="00A62ABD" w:rsidP="00A62ABD">
      <w:pPr>
        <w:rPr>
          <w:bCs/>
        </w:rPr>
      </w:pPr>
      <w:r>
        <w:rPr>
          <w:bCs/>
        </w:rPr>
        <w:t>Everyone is requested to keep both dates (May 12 or 21) free in their</w:t>
      </w:r>
      <w:r w:rsidR="00353595">
        <w:rPr>
          <w:bCs/>
        </w:rPr>
        <w:t xml:space="preserve"> calendars for the moment until</w:t>
      </w:r>
      <w:r>
        <w:rPr>
          <w:bCs/>
        </w:rPr>
        <w:t xml:space="preserve"> Bernard confirms his availability for May 12 (since Christine is on a business trip on May 12).</w:t>
      </w:r>
    </w:p>
    <w:p w:rsidR="00A62ABD" w:rsidRDefault="00A62ABD" w:rsidP="00A62ABD">
      <w:r>
        <w:t>If Bernard is unavailable on May 12, the call will be on May 21.</w:t>
      </w:r>
    </w:p>
    <w:p w:rsidR="00353595" w:rsidRPr="00353595" w:rsidRDefault="00353595" w:rsidP="00353595">
      <w:pPr>
        <w:pStyle w:val="Actions"/>
      </w:pPr>
      <w:r w:rsidRPr="00353595">
        <w:rPr>
          <w:b/>
          <w:u w:val="single"/>
        </w:rPr>
        <w:t>Action</w:t>
      </w:r>
      <w:r w:rsidRPr="00353595">
        <w:t xml:space="preserve">: </w:t>
      </w:r>
      <w:r w:rsidRPr="00353595">
        <w:rPr>
          <w:u w:val="single"/>
        </w:rPr>
        <w:t>Bernard</w:t>
      </w:r>
      <w:r w:rsidRPr="00353595">
        <w:t xml:space="preserve"> to confirm</w:t>
      </w:r>
    </w:p>
    <w:p w:rsidR="004C0D91" w:rsidRPr="006B6596" w:rsidRDefault="004C0D91" w:rsidP="005C655D">
      <w:pPr>
        <w:pStyle w:val="Heading1"/>
        <w:rPr>
          <w:lang w:val="en-GB"/>
        </w:rPr>
      </w:pPr>
      <w:bookmarkStart w:id="8" w:name="_Toc411607480"/>
      <w:r w:rsidRPr="006B6596">
        <w:rPr>
          <w:lang w:val="en-GB"/>
        </w:rPr>
        <w:lastRenderedPageBreak/>
        <w:t>CA203 – Yearly MP Updates (Christine/Jacques)</w:t>
      </w:r>
      <w:bookmarkEnd w:id="8"/>
    </w:p>
    <w:p w:rsidR="001E2D4F" w:rsidRDefault="001E2D4F" w:rsidP="00FC13BA">
      <w:pPr>
        <w:pStyle w:val="Decisions"/>
        <w:rPr>
          <w:color w:val="auto"/>
          <w:u w:val="single"/>
        </w:rPr>
      </w:pPr>
      <w:r w:rsidRPr="003E6F8C">
        <w:rPr>
          <w:b/>
          <w:color w:val="auto"/>
          <w:u w:val="single"/>
        </w:rPr>
        <w:t>Review of on-going actions</w:t>
      </w:r>
      <w:r w:rsidRPr="001E2D4F">
        <w:rPr>
          <w:color w:val="auto"/>
          <w:u w:val="single"/>
        </w:rPr>
        <w:t>:</w:t>
      </w:r>
    </w:p>
    <w:p w:rsidR="00A62ABD" w:rsidRDefault="00A62ABD" w:rsidP="003E6F8C">
      <w:pPr>
        <w:pStyle w:val="Decisions"/>
        <w:spacing w:before="120" w:after="120"/>
        <w:rPr>
          <w:color w:val="auto"/>
        </w:rPr>
      </w:pPr>
      <w:r>
        <w:rPr>
          <w:color w:val="auto"/>
          <w:u w:val="single"/>
        </w:rPr>
        <w:t>Action 1</w:t>
      </w:r>
      <w:r w:rsidR="003E6F8C">
        <w:rPr>
          <w:color w:val="auto"/>
          <w:u w:val="single"/>
        </w:rPr>
        <w:t xml:space="preserve"> (GMP 1 updates to be sent to Jacques)</w:t>
      </w:r>
      <w:r>
        <w:rPr>
          <w:color w:val="auto"/>
          <w:u w:val="single"/>
        </w:rPr>
        <w:t xml:space="preserve">: </w:t>
      </w:r>
      <w:r w:rsidRPr="00A62ABD">
        <w:rPr>
          <w:color w:val="auto"/>
        </w:rPr>
        <w:t xml:space="preserve">Done </w:t>
      </w:r>
    </w:p>
    <w:p w:rsidR="00A62ABD" w:rsidRDefault="00A62ABD" w:rsidP="003E6F8C">
      <w:pPr>
        <w:spacing w:before="120"/>
        <w:rPr>
          <w:bCs/>
        </w:rPr>
      </w:pPr>
      <w:r w:rsidRPr="003E6F8C">
        <w:rPr>
          <w:bCs/>
          <w:u w:val="single"/>
        </w:rPr>
        <w:t>Action 2</w:t>
      </w:r>
      <w:r w:rsidR="003E6F8C" w:rsidRPr="003E6F8C">
        <w:rPr>
          <w:bCs/>
          <w:u w:val="single"/>
        </w:rPr>
        <w:t xml:space="preserve"> (EIG+ updates)</w:t>
      </w:r>
      <w:r w:rsidRPr="003E6F8C">
        <w:rPr>
          <w:bCs/>
          <w:u w:val="single"/>
        </w:rPr>
        <w:t>:</w:t>
      </w:r>
      <w:r>
        <w:rPr>
          <w:bCs/>
        </w:rPr>
        <w:t xml:space="preserve"> Jacques has received input from CH, </w:t>
      </w:r>
      <w:r w:rsidR="003E6F8C">
        <w:rPr>
          <w:bCs/>
        </w:rPr>
        <w:t xml:space="preserve">FI, </w:t>
      </w:r>
      <w:r>
        <w:rPr>
          <w:bCs/>
        </w:rPr>
        <w:t>SE, XS, UK&amp;IE, US, IN (new!), SG (new!). NO will send their input in February, ZA may do the same.</w:t>
      </w:r>
      <w:r w:rsidR="00353595">
        <w:rPr>
          <w:bCs/>
        </w:rPr>
        <w:t xml:space="preserve"> </w:t>
      </w:r>
      <w:proofErr w:type="gramStart"/>
      <w:r w:rsidR="00353595">
        <w:rPr>
          <w:bCs/>
        </w:rPr>
        <w:t>(</w:t>
      </w:r>
      <w:r w:rsidR="003927A7">
        <w:rPr>
          <w:bCs/>
        </w:rPr>
        <w:t>ZA done in Feb.)</w:t>
      </w:r>
      <w:proofErr w:type="gramEnd"/>
      <w:r w:rsidR="003927A7">
        <w:rPr>
          <w:bCs/>
        </w:rPr>
        <w:t xml:space="preserve"> </w:t>
      </w:r>
      <w:r w:rsidR="00353595">
        <w:rPr>
          <w:bCs/>
        </w:rPr>
        <w:t xml:space="preserve"> </w:t>
      </w:r>
    </w:p>
    <w:p w:rsidR="00A62ABD" w:rsidRPr="00581CF6" w:rsidRDefault="00A62ABD" w:rsidP="003E6F8C">
      <w:pPr>
        <w:spacing w:before="120"/>
        <w:rPr>
          <w:bCs/>
          <w:u w:val="single"/>
        </w:rPr>
      </w:pPr>
      <w:r w:rsidRPr="00581CF6">
        <w:rPr>
          <w:bCs/>
          <w:u w:val="single"/>
        </w:rPr>
        <w:t>The CH NMPG also provided some comments</w:t>
      </w:r>
      <w:r w:rsidR="003E6F8C" w:rsidRPr="00581CF6">
        <w:rPr>
          <w:bCs/>
          <w:u w:val="single"/>
        </w:rPr>
        <w:t>/questions</w:t>
      </w:r>
      <w:r w:rsidRPr="00581CF6">
        <w:rPr>
          <w:bCs/>
          <w:u w:val="single"/>
        </w:rPr>
        <w:t xml:space="preserve"> to the GG:</w:t>
      </w:r>
    </w:p>
    <w:p w:rsidR="003E6F8C" w:rsidRDefault="00581CF6" w:rsidP="003E6F8C">
      <w:pPr>
        <w:numPr>
          <w:ilvl w:val="0"/>
          <w:numId w:val="31"/>
        </w:numPr>
        <w:spacing w:before="120"/>
        <w:rPr>
          <w:bCs/>
        </w:rPr>
      </w:pPr>
      <w:r>
        <w:rPr>
          <w:bCs/>
        </w:rPr>
        <w:t>BONU CHOS and DRIP CHOS</w:t>
      </w:r>
      <w:r w:rsidR="00A62ABD">
        <w:rPr>
          <w:bCs/>
        </w:rPr>
        <w:t xml:space="preserve"> using interim securities: Why is the option SECU and not EXER? </w:t>
      </w:r>
    </w:p>
    <w:p w:rsidR="00A62ABD" w:rsidRPr="003E6F8C" w:rsidRDefault="00581CF6" w:rsidP="003E6F8C">
      <w:pPr>
        <w:spacing w:before="120"/>
        <w:rPr>
          <w:bCs/>
          <w:color w:val="FF0000"/>
        </w:rPr>
      </w:pPr>
      <w:r>
        <w:rPr>
          <w:b/>
          <w:bCs/>
          <w:color w:val="FF0000"/>
        </w:rPr>
        <w:t>A</w:t>
      </w:r>
      <w:r w:rsidR="00A62ABD" w:rsidRPr="003E6F8C">
        <w:rPr>
          <w:b/>
          <w:bCs/>
          <w:color w:val="FF0000"/>
        </w:rPr>
        <w:t>ction:</w:t>
      </w:r>
      <w:r w:rsidR="00A62ABD" w:rsidRPr="003E6F8C">
        <w:rPr>
          <w:bCs/>
          <w:color w:val="FF0000"/>
        </w:rPr>
        <w:t xml:space="preserve"> </w:t>
      </w:r>
      <w:r w:rsidRPr="00581CF6">
        <w:rPr>
          <w:b/>
          <w:bCs/>
          <w:color w:val="FF0000"/>
          <w:u w:val="single"/>
        </w:rPr>
        <w:t xml:space="preserve">All </w:t>
      </w:r>
      <w:r w:rsidR="00A62ABD" w:rsidRPr="00581CF6">
        <w:rPr>
          <w:b/>
          <w:bCs/>
          <w:color w:val="FF0000"/>
          <w:u w:val="single"/>
        </w:rPr>
        <w:t>NMPGs</w:t>
      </w:r>
      <w:r w:rsidR="00A62ABD" w:rsidRPr="003E6F8C">
        <w:rPr>
          <w:bCs/>
          <w:color w:val="FF0000"/>
        </w:rPr>
        <w:t xml:space="preserve"> are requested to provide feedback.</w:t>
      </w:r>
    </w:p>
    <w:p w:rsidR="003E6F8C" w:rsidRDefault="00A62ABD" w:rsidP="003E6F8C">
      <w:pPr>
        <w:numPr>
          <w:ilvl w:val="0"/>
          <w:numId w:val="31"/>
        </w:numPr>
        <w:spacing w:before="120"/>
        <w:rPr>
          <w:bCs/>
        </w:rPr>
      </w:pPr>
      <w:r>
        <w:rPr>
          <w:bCs/>
        </w:rPr>
        <w:t xml:space="preserve">CONS VOLU: INCE is used, but it should be SOFE. </w:t>
      </w:r>
    </w:p>
    <w:p w:rsidR="00A62ABD" w:rsidRPr="00581CF6" w:rsidRDefault="00581CF6" w:rsidP="00581CF6">
      <w:pPr>
        <w:spacing w:before="120"/>
        <w:rPr>
          <w:b/>
          <w:bCs/>
          <w:color w:val="FF0000"/>
        </w:rPr>
      </w:pPr>
      <w:r w:rsidRPr="00581CF6">
        <w:rPr>
          <w:b/>
          <w:bCs/>
          <w:color w:val="FF0000"/>
        </w:rPr>
        <w:t>A</w:t>
      </w:r>
      <w:r w:rsidR="00A62ABD" w:rsidRPr="00581CF6">
        <w:rPr>
          <w:b/>
          <w:bCs/>
          <w:color w:val="FF0000"/>
        </w:rPr>
        <w:t xml:space="preserve">ction: </w:t>
      </w:r>
      <w:r w:rsidR="00A62ABD" w:rsidRPr="00581CF6">
        <w:rPr>
          <w:b/>
          <w:bCs/>
          <w:color w:val="FF0000"/>
          <w:u w:val="single"/>
        </w:rPr>
        <w:t>Jacques</w:t>
      </w:r>
      <w:r w:rsidR="00A62ABD" w:rsidRPr="00581CF6">
        <w:rPr>
          <w:b/>
          <w:bCs/>
          <w:color w:val="FF0000"/>
        </w:rPr>
        <w:t xml:space="preserve"> </w:t>
      </w:r>
      <w:r w:rsidR="00A62ABD" w:rsidRPr="00581CF6">
        <w:rPr>
          <w:bCs/>
          <w:color w:val="FF0000"/>
        </w:rPr>
        <w:t>to correct the EIG+ and update the template</w:t>
      </w:r>
      <w:r w:rsidR="00A62ABD" w:rsidRPr="00581CF6">
        <w:rPr>
          <w:b/>
          <w:bCs/>
          <w:color w:val="FF0000"/>
        </w:rPr>
        <w:t>.</w:t>
      </w:r>
    </w:p>
    <w:p w:rsidR="003E6F8C" w:rsidRDefault="00A62ABD" w:rsidP="003E6F8C">
      <w:pPr>
        <w:numPr>
          <w:ilvl w:val="0"/>
          <w:numId w:val="31"/>
        </w:numPr>
        <w:spacing w:before="120"/>
        <w:rPr>
          <w:bCs/>
        </w:rPr>
      </w:pPr>
      <w:r>
        <w:rPr>
          <w:bCs/>
        </w:rPr>
        <w:t xml:space="preserve">DECR MAND: How is RATE to be used? </w:t>
      </w:r>
    </w:p>
    <w:p w:rsidR="00581CF6" w:rsidRPr="00581CF6" w:rsidRDefault="00581CF6" w:rsidP="00581CF6">
      <w:pPr>
        <w:spacing w:before="120"/>
        <w:rPr>
          <w:bCs/>
          <w:color w:val="FF0000"/>
        </w:rPr>
      </w:pPr>
      <w:r w:rsidRPr="00581CF6">
        <w:rPr>
          <w:b/>
          <w:bCs/>
          <w:color w:val="FF0000"/>
        </w:rPr>
        <w:t>Action:</w:t>
      </w:r>
      <w:r w:rsidRPr="00581CF6">
        <w:rPr>
          <w:bCs/>
          <w:color w:val="FF0000"/>
        </w:rPr>
        <w:t xml:space="preserve"> </w:t>
      </w:r>
      <w:r w:rsidRPr="00581CF6">
        <w:rPr>
          <w:b/>
          <w:bCs/>
          <w:color w:val="FF0000"/>
          <w:u w:val="single"/>
        </w:rPr>
        <w:t>All NMPGs</w:t>
      </w:r>
      <w:r w:rsidRPr="00581CF6">
        <w:rPr>
          <w:bCs/>
          <w:color w:val="FF0000"/>
        </w:rPr>
        <w:t xml:space="preserve"> are requested to provide feedback.</w:t>
      </w:r>
    </w:p>
    <w:p w:rsidR="003E6F8C" w:rsidRDefault="00A62ABD" w:rsidP="003E6F8C">
      <w:pPr>
        <w:numPr>
          <w:ilvl w:val="0"/>
          <w:numId w:val="31"/>
        </w:numPr>
        <w:spacing w:before="120"/>
        <w:rPr>
          <w:bCs/>
        </w:rPr>
      </w:pPr>
      <w:r>
        <w:rPr>
          <w:bCs/>
        </w:rPr>
        <w:t xml:space="preserve">PCAL: An error in the definition in the EIG+ (not in the standard) was found – </w:t>
      </w:r>
      <w:r w:rsidR="00581CF6">
        <w:rPr>
          <w:bCs/>
        </w:rPr>
        <w:t>replace “</w:t>
      </w:r>
      <w:r>
        <w:rPr>
          <w:bCs/>
        </w:rPr>
        <w:t>shares</w:t>
      </w:r>
      <w:r w:rsidR="00581CF6">
        <w:rPr>
          <w:bCs/>
        </w:rPr>
        <w:t>”</w:t>
      </w:r>
      <w:r>
        <w:rPr>
          <w:bCs/>
        </w:rPr>
        <w:t xml:space="preserve"> </w:t>
      </w:r>
      <w:r w:rsidR="00581CF6">
        <w:rPr>
          <w:bCs/>
        </w:rPr>
        <w:t>by</w:t>
      </w:r>
      <w:r>
        <w:rPr>
          <w:bCs/>
        </w:rPr>
        <w:t xml:space="preserve"> </w:t>
      </w:r>
      <w:r w:rsidR="00581CF6">
        <w:rPr>
          <w:bCs/>
        </w:rPr>
        <w:t>“</w:t>
      </w:r>
      <w:r>
        <w:rPr>
          <w:bCs/>
        </w:rPr>
        <w:t>securities</w:t>
      </w:r>
      <w:r w:rsidR="00581CF6">
        <w:rPr>
          <w:bCs/>
        </w:rPr>
        <w:t>” as in the UHB</w:t>
      </w:r>
      <w:r>
        <w:rPr>
          <w:bCs/>
        </w:rPr>
        <w:t xml:space="preserve">. </w:t>
      </w:r>
    </w:p>
    <w:p w:rsidR="00581CF6" w:rsidRPr="00581CF6" w:rsidRDefault="00581CF6" w:rsidP="00581CF6">
      <w:pPr>
        <w:spacing w:before="120"/>
        <w:rPr>
          <w:b/>
          <w:bCs/>
          <w:color w:val="FF0000"/>
        </w:rPr>
      </w:pPr>
      <w:r w:rsidRPr="00581CF6">
        <w:rPr>
          <w:b/>
          <w:bCs/>
          <w:color w:val="FF0000"/>
        </w:rPr>
        <w:t xml:space="preserve">Action: </w:t>
      </w:r>
      <w:r w:rsidRPr="00581CF6">
        <w:rPr>
          <w:b/>
          <w:bCs/>
          <w:color w:val="FF0000"/>
          <w:u w:val="single"/>
        </w:rPr>
        <w:t>Jacques</w:t>
      </w:r>
      <w:r w:rsidRPr="00581CF6">
        <w:rPr>
          <w:b/>
          <w:bCs/>
          <w:color w:val="FF0000"/>
        </w:rPr>
        <w:t xml:space="preserve"> </w:t>
      </w:r>
      <w:r w:rsidRPr="00581CF6">
        <w:rPr>
          <w:bCs/>
          <w:color w:val="FF0000"/>
        </w:rPr>
        <w:t>to correct the EIG+ and update the template</w:t>
      </w:r>
      <w:r w:rsidRPr="00581CF6">
        <w:rPr>
          <w:b/>
          <w:bCs/>
          <w:color w:val="FF0000"/>
        </w:rPr>
        <w:t>.</w:t>
      </w:r>
    </w:p>
    <w:p w:rsidR="003E6F8C" w:rsidRDefault="00A62ABD" w:rsidP="003E6F8C">
      <w:pPr>
        <w:spacing w:before="120"/>
        <w:rPr>
          <w:bCs/>
        </w:rPr>
      </w:pPr>
      <w:r w:rsidRPr="003E6F8C">
        <w:rPr>
          <w:bCs/>
          <w:u w:val="single"/>
        </w:rPr>
        <w:t>Action 4</w:t>
      </w:r>
      <w:r w:rsidR="003E6F8C" w:rsidRPr="003E6F8C">
        <w:rPr>
          <w:bCs/>
          <w:u w:val="single"/>
        </w:rPr>
        <w:t xml:space="preserve"> (Sample Updates)</w:t>
      </w:r>
      <w:r>
        <w:rPr>
          <w:bCs/>
        </w:rPr>
        <w:t xml:space="preserve">: </w:t>
      </w:r>
      <w:r w:rsidR="003E6F8C">
        <w:rPr>
          <w:bCs/>
        </w:rPr>
        <w:t>Feedback still missing from LU, ZA, DE on their respective samples to review (see “Open Items” file in “CA Event Template list” tab</w:t>
      </w:r>
      <w:r w:rsidR="003927A7">
        <w:rPr>
          <w:bCs/>
        </w:rPr>
        <w:t>)</w:t>
      </w:r>
      <w:r w:rsidR="003E6F8C">
        <w:rPr>
          <w:bCs/>
        </w:rPr>
        <w:t>.</w:t>
      </w:r>
    </w:p>
    <w:p w:rsidR="00E843B9" w:rsidRPr="00E843B9" w:rsidRDefault="00E843B9" w:rsidP="003E6F8C">
      <w:pPr>
        <w:spacing w:before="120"/>
        <w:rPr>
          <w:b/>
          <w:bCs/>
          <w:color w:val="FF0000"/>
        </w:rPr>
      </w:pPr>
      <w:r w:rsidRPr="00E843B9">
        <w:rPr>
          <w:b/>
          <w:bCs/>
          <w:color w:val="FF0000"/>
        </w:rPr>
        <w:t xml:space="preserve">Action: </w:t>
      </w:r>
      <w:r w:rsidRPr="00E843B9">
        <w:rPr>
          <w:b/>
          <w:bCs/>
          <w:color w:val="FF0000"/>
          <w:u w:val="single"/>
        </w:rPr>
        <w:t>LU, ZA, DE</w:t>
      </w:r>
      <w:r w:rsidRPr="00E843B9">
        <w:rPr>
          <w:b/>
          <w:bCs/>
          <w:color w:val="FF0000"/>
        </w:rPr>
        <w:t xml:space="preserve"> </w:t>
      </w:r>
      <w:r w:rsidRPr="00E843B9">
        <w:rPr>
          <w:bCs/>
          <w:color w:val="FF0000"/>
        </w:rPr>
        <w:t>to send feedback ASAP</w:t>
      </w:r>
    </w:p>
    <w:p w:rsidR="00BA62D6" w:rsidRDefault="00A62ABD" w:rsidP="003E6F8C">
      <w:pPr>
        <w:spacing w:before="120"/>
        <w:rPr>
          <w:bCs/>
        </w:rPr>
      </w:pPr>
      <w:r w:rsidRPr="003E6F8C">
        <w:rPr>
          <w:bCs/>
          <w:u w:val="single"/>
        </w:rPr>
        <w:t>Action 6</w:t>
      </w:r>
      <w:r w:rsidR="003E6F8C" w:rsidRPr="003E6F8C">
        <w:rPr>
          <w:bCs/>
          <w:u w:val="single"/>
        </w:rPr>
        <w:t xml:space="preserve"> (MP Change Summary)</w:t>
      </w:r>
      <w:r w:rsidRPr="003E6F8C">
        <w:rPr>
          <w:bCs/>
          <w:u w:val="single"/>
        </w:rPr>
        <w:t>:</w:t>
      </w:r>
      <w:r>
        <w:rPr>
          <w:bCs/>
        </w:rPr>
        <w:t xml:space="preserve"> </w:t>
      </w:r>
    </w:p>
    <w:p w:rsidR="00524137" w:rsidRDefault="00524137" w:rsidP="003E6F8C">
      <w:pPr>
        <w:spacing w:before="120"/>
        <w:rPr>
          <w:bCs/>
        </w:rPr>
      </w:pPr>
      <w:r>
        <w:rPr>
          <w:bCs/>
        </w:rPr>
        <w:t>Here attached below the SR2015 MP Changes document drafted by Christine:</w:t>
      </w:r>
    </w:p>
    <w:bookmarkStart w:id="9" w:name="_MON_1485327407"/>
    <w:bookmarkEnd w:id="9"/>
    <w:p w:rsidR="00524137" w:rsidRDefault="00524137" w:rsidP="003E6F8C">
      <w:pPr>
        <w:spacing w:before="120"/>
        <w:rPr>
          <w:bCs/>
        </w:rPr>
      </w:pPr>
      <w:r>
        <w:rPr>
          <w:bC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87488424" r:id="rId17">
            <o:FieldCodes>\s</o:FieldCodes>
          </o:OLEObject>
        </w:object>
      </w:r>
      <w:r>
        <w:rPr>
          <w:bCs/>
        </w:rPr>
        <w:t xml:space="preserve"> </w:t>
      </w:r>
    </w:p>
    <w:p w:rsidR="00524137" w:rsidRPr="00524137" w:rsidRDefault="00BA62D6" w:rsidP="00524137">
      <w:pPr>
        <w:spacing w:before="120"/>
        <w:rPr>
          <w:bCs/>
          <w:color w:val="FF0000"/>
        </w:rPr>
      </w:pPr>
      <w:r w:rsidRPr="00BA62D6">
        <w:rPr>
          <w:b/>
          <w:bCs/>
          <w:color w:val="FF0000"/>
        </w:rPr>
        <w:t>Action</w:t>
      </w:r>
      <w:r w:rsidR="00524137">
        <w:rPr>
          <w:b/>
          <w:bCs/>
          <w:color w:val="FF0000"/>
        </w:rPr>
        <w:t>s</w:t>
      </w:r>
      <w:r w:rsidRPr="00BA62D6">
        <w:rPr>
          <w:bCs/>
          <w:color w:val="FF0000"/>
        </w:rPr>
        <w:t xml:space="preserve">: </w:t>
      </w:r>
      <w:r w:rsidR="00524137" w:rsidRPr="00524137">
        <w:rPr>
          <w:bCs/>
          <w:color w:val="FF0000"/>
          <w:u w:val="single"/>
        </w:rPr>
        <w:t>All NMPG</w:t>
      </w:r>
      <w:r w:rsidR="00524137" w:rsidRPr="00524137">
        <w:rPr>
          <w:bCs/>
          <w:color w:val="FF0000"/>
        </w:rPr>
        <w:t>s to review the draft document</w:t>
      </w:r>
    </w:p>
    <w:p w:rsidR="005C655D" w:rsidRDefault="005C655D" w:rsidP="005C655D">
      <w:pPr>
        <w:pStyle w:val="Heading1"/>
        <w:rPr>
          <w:lang w:val="fr-BE"/>
        </w:rPr>
      </w:pPr>
      <w:bookmarkStart w:id="10" w:name="_Toc411607481"/>
      <w:r w:rsidRPr="005B53BE">
        <w:rPr>
          <w:lang w:val="fr-BE"/>
        </w:rPr>
        <w:t>CA268 - Narratives scope/usage (</w:t>
      </w:r>
      <w:r w:rsidR="00A132A2">
        <w:rPr>
          <w:lang w:val="fr-BE"/>
        </w:rPr>
        <w:t>Delphine/</w:t>
      </w:r>
      <w:r w:rsidR="00541F76">
        <w:rPr>
          <w:lang w:val="fr-BE"/>
        </w:rPr>
        <w:t>GMP1 SG</w:t>
      </w:r>
      <w:r w:rsidR="00504B73">
        <w:rPr>
          <w:lang w:val="fr-BE"/>
        </w:rPr>
        <w:t>)</w:t>
      </w:r>
      <w:bookmarkEnd w:id="10"/>
    </w:p>
    <w:p w:rsidR="0011018D" w:rsidRDefault="00691E28" w:rsidP="00691E28">
      <w:pPr>
        <w:rPr>
          <w:b/>
          <w:u w:val="single"/>
        </w:rPr>
      </w:pPr>
      <w:r w:rsidRPr="00011E20">
        <w:rPr>
          <w:b/>
          <w:u w:val="single"/>
        </w:rPr>
        <w:t>Action 1</w:t>
      </w:r>
      <w:r w:rsidR="0011018D" w:rsidRPr="00011E20">
        <w:rPr>
          <w:b/>
          <w:u w:val="single"/>
        </w:rPr>
        <w:t xml:space="preserve"> review – Narrative MPs on MT 565/566/567: </w:t>
      </w:r>
    </w:p>
    <w:p w:rsidR="00E87202" w:rsidRPr="00E87202" w:rsidRDefault="00E87202" w:rsidP="00691E28">
      <w:r w:rsidRPr="00E87202">
        <w:t xml:space="preserve">The </w:t>
      </w:r>
      <w:r w:rsidR="00944976">
        <w:t xml:space="preserve">draft </w:t>
      </w:r>
      <w:r>
        <w:t xml:space="preserve">MP </w:t>
      </w:r>
      <w:r w:rsidR="00524137">
        <w:t xml:space="preserve">document </w:t>
      </w:r>
      <w:r>
        <w:t>produced by GMP1 SG still needs to be consolidated before being sent out</w:t>
      </w:r>
      <w:r w:rsidR="00944976">
        <w:t xml:space="preserve"> for review</w:t>
      </w:r>
      <w:r>
        <w:t>.</w:t>
      </w:r>
    </w:p>
    <w:p w:rsidR="00E87202" w:rsidRPr="00E87202" w:rsidRDefault="00E87202" w:rsidP="00691E28">
      <w:pPr>
        <w:rPr>
          <w:b/>
          <w:color w:val="FF0000"/>
        </w:rPr>
      </w:pPr>
      <w:proofErr w:type="gramStart"/>
      <w:r w:rsidRPr="00E87202">
        <w:rPr>
          <w:b/>
          <w:color w:val="FF0000"/>
          <w:u w:val="single"/>
        </w:rPr>
        <w:t>Action</w:t>
      </w:r>
      <w:r w:rsidRPr="00E87202">
        <w:rPr>
          <w:b/>
          <w:color w:val="FF0000"/>
        </w:rPr>
        <w:t xml:space="preserve"> :</w:t>
      </w:r>
      <w:proofErr w:type="gramEnd"/>
      <w:r w:rsidRPr="00E87202">
        <w:rPr>
          <w:b/>
          <w:color w:val="FF0000"/>
        </w:rPr>
        <w:t xml:space="preserve"> </w:t>
      </w:r>
      <w:r w:rsidR="00944976" w:rsidRPr="0032242A">
        <w:rPr>
          <w:color w:val="FF0000"/>
          <w:u w:val="single"/>
        </w:rPr>
        <w:t>GMP1 SG &amp;</w:t>
      </w:r>
      <w:r w:rsidR="00944976" w:rsidRPr="0032242A">
        <w:rPr>
          <w:color w:val="FF0000"/>
        </w:rPr>
        <w:t xml:space="preserve"> </w:t>
      </w:r>
      <w:r w:rsidRPr="0032242A">
        <w:rPr>
          <w:color w:val="FF0000"/>
          <w:u w:val="single"/>
        </w:rPr>
        <w:t>Jacques</w:t>
      </w:r>
      <w:r w:rsidRPr="0032242A">
        <w:rPr>
          <w:color w:val="FF0000"/>
        </w:rPr>
        <w:t xml:space="preserve"> to do</w:t>
      </w:r>
    </w:p>
    <w:p w:rsidR="00691E28" w:rsidRPr="00011E20" w:rsidRDefault="0011018D" w:rsidP="00691E28">
      <w:pPr>
        <w:rPr>
          <w:b/>
          <w:u w:val="single"/>
        </w:rPr>
      </w:pPr>
      <w:r w:rsidRPr="00011E20">
        <w:rPr>
          <w:b/>
          <w:u w:val="single"/>
        </w:rPr>
        <w:t xml:space="preserve">Action 2 </w:t>
      </w:r>
      <w:r w:rsidR="00011E20" w:rsidRPr="00011E20">
        <w:rPr>
          <w:b/>
          <w:u w:val="single"/>
        </w:rPr>
        <w:t xml:space="preserve">review – CETI / DECL questions </w:t>
      </w:r>
      <w:r w:rsidR="0079448D">
        <w:rPr>
          <w:b/>
          <w:u w:val="single"/>
        </w:rPr>
        <w:t>(</w:t>
      </w:r>
      <w:r w:rsidR="00011E20" w:rsidRPr="00011E20">
        <w:rPr>
          <w:b/>
          <w:u w:val="single"/>
        </w:rPr>
        <w:t>NMPGs feedback</w:t>
      </w:r>
      <w:r w:rsidR="0079448D">
        <w:rPr>
          <w:b/>
          <w:u w:val="single"/>
        </w:rPr>
        <w:t>)</w:t>
      </w:r>
    </w:p>
    <w:p w:rsidR="00011E20" w:rsidRDefault="00011E20" w:rsidP="00691E28">
      <w:pPr>
        <w:rPr>
          <w:u w:val="single"/>
        </w:rPr>
      </w:pPr>
      <w:r>
        <w:rPr>
          <w:u w:val="single"/>
        </w:rPr>
        <w:t>Can CETI also cover DECL narratives?</w:t>
      </w:r>
      <w:r w:rsidR="00E87202">
        <w:rPr>
          <w:u w:val="single"/>
        </w:rPr>
        <w:t xml:space="preserve"> </w:t>
      </w:r>
    </w:p>
    <w:p w:rsidR="00E87202" w:rsidRDefault="00E87202" w:rsidP="00E87202">
      <w:pPr>
        <w:rPr>
          <w:b/>
        </w:rPr>
      </w:pPr>
      <w:r>
        <w:t>US is not in favour of aggregating CETI/DECL, they would like to keep both. Action can be closed.</w:t>
      </w:r>
    </w:p>
    <w:p w:rsidR="0079448D" w:rsidRDefault="00691E28" w:rsidP="00691E28">
      <w:pPr>
        <w:rPr>
          <w:b/>
          <w:u w:val="single"/>
        </w:rPr>
      </w:pPr>
      <w:r w:rsidRPr="0079448D">
        <w:rPr>
          <w:b/>
          <w:u w:val="single"/>
        </w:rPr>
        <w:t>Action 3:</w:t>
      </w:r>
      <w:r w:rsidR="0079448D" w:rsidRPr="0079448D">
        <w:rPr>
          <w:b/>
          <w:u w:val="single"/>
        </w:rPr>
        <w:t xml:space="preserve"> review </w:t>
      </w:r>
      <w:proofErr w:type="gramStart"/>
      <w:r w:rsidR="0079448D" w:rsidRPr="0079448D">
        <w:rPr>
          <w:b/>
          <w:u w:val="single"/>
        </w:rPr>
        <w:t xml:space="preserve">- </w:t>
      </w:r>
      <w:r w:rsidRPr="0079448D">
        <w:rPr>
          <w:b/>
          <w:u w:val="single"/>
        </w:rPr>
        <w:t xml:space="preserve"> </w:t>
      </w:r>
      <w:r w:rsidR="0079448D" w:rsidRPr="0079448D">
        <w:rPr>
          <w:b/>
          <w:u w:val="single"/>
        </w:rPr>
        <w:t>Narrative</w:t>
      </w:r>
      <w:proofErr w:type="gramEnd"/>
      <w:r w:rsidR="0079448D" w:rsidRPr="0079448D">
        <w:rPr>
          <w:b/>
          <w:u w:val="single"/>
        </w:rPr>
        <w:t xml:space="preserve"> for “How to Instruct”</w:t>
      </w:r>
    </w:p>
    <w:p w:rsidR="00523E88" w:rsidRDefault="00523E88" w:rsidP="00691E28">
      <w:pPr>
        <w:rPr>
          <w:b/>
          <w:u w:val="single"/>
        </w:rPr>
      </w:pPr>
      <w:r>
        <w:rPr>
          <w:bCs/>
        </w:rPr>
        <w:t>UK&amp;IE has started to discuss the “How to instruct” narrative and members will provide feedback/examples at their next meeting on Feb. 19.</w:t>
      </w:r>
    </w:p>
    <w:p w:rsidR="00217944" w:rsidRDefault="00217944" w:rsidP="0003340C">
      <w:pPr>
        <w:pStyle w:val="Actions"/>
      </w:pPr>
      <w:r w:rsidRPr="0003340C">
        <w:rPr>
          <w:b/>
          <w:u w:val="single"/>
        </w:rPr>
        <w:t>Action</w:t>
      </w:r>
      <w:r>
        <w:t xml:space="preserve">: </w:t>
      </w:r>
      <w:r w:rsidR="00944976">
        <w:t xml:space="preserve">UK&amp; IE to send input and all other concerned </w:t>
      </w:r>
      <w:r>
        <w:t xml:space="preserve">NMPGs are requested to investigate and provide </w:t>
      </w:r>
      <w:r w:rsidR="0003340C">
        <w:t xml:space="preserve">further </w:t>
      </w:r>
      <w:r>
        <w:t>examples</w:t>
      </w:r>
      <w:r w:rsidR="0003340C">
        <w:t xml:space="preserve"> on “how to instruct”</w:t>
      </w:r>
      <w:r w:rsidR="00944976">
        <w:t xml:space="preserve"> too</w:t>
      </w:r>
      <w:r>
        <w:t>.</w:t>
      </w:r>
      <w:r w:rsidR="00523E88">
        <w:t xml:space="preserve"> The analysis will be done at the April meeting in La Hulpe.</w:t>
      </w:r>
    </w:p>
    <w:p w:rsidR="0047160D" w:rsidRDefault="0047160D" w:rsidP="0047160D">
      <w:pPr>
        <w:pStyle w:val="Heading1"/>
        <w:rPr>
          <w:rFonts w:cs="Calibri"/>
        </w:rPr>
      </w:pPr>
      <w:bookmarkStart w:id="11" w:name="_Toc411607482"/>
      <w:r>
        <w:rPr>
          <w:rFonts w:cs="Calibri"/>
        </w:rPr>
        <w:lastRenderedPageBreak/>
        <w:t>CA277 - COAF Assignment Body Registration &amp; Governance Questions (Christine)</w:t>
      </w:r>
      <w:bookmarkEnd w:id="11"/>
    </w:p>
    <w:p w:rsidR="00995396" w:rsidRDefault="00995396" w:rsidP="00995396">
      <w:r>
        <w:t xml:space="preserve">Veronique reported from the T2S CASG meeting held last week since Christine had to leave before the item was discussed. </w:t>
      </w:r>
    </w:p>
    <w:p w:rsidR="00995396" w:rsidRDefault="00995396" w:rsidP="00995396">
      <w:r>
        <w:t xml:space="preserve">The T2S CASG will continue to monitor T2S markets’ usage of COAF, but will leave the market practice to the SMPG. </w:t>
      </w:r>
    </w:p>
    <w:p w:rsidR="00944976" w:rsidRDefault="00995396" w:rsidP="00995396">
      <w:pPr>
        <w:rPr>
          <w:b/>
          <w:u w:val="single"/>
        </w:rPr>
      </w:pPr>
      <w:r>
        <w:t>They asked for an addition regarding T2S, to ensure that investor CSDs’ holdings in issuer CSDs are not considered as multi-deposited securities in the COAF context.</w:t>
      </w:r>
    </w:p>
    <w:p w:rsidR="00266C45" w:rsidRDefault="00550A45" w:rsidP="00550A45">
      <w:pPr>
        <w:pStyle w:val="Actions"/>
      </w:pPr>
      <w:r w:rsidRPr="00550A45">
        <w:rPr>
          <w:b/>
          <w:u w:val="single"/>
        </w:rPr>
        <w:t>Action</w:t>
      </w:r>
      <w:r>
        <w:t xml:space="preserve">: </w:t>
      </w:r>
    </w:p>
    <w:p w:rsidR="00266C45" w:rsidRDefault="00266C45" w:rsidP="00550A45">
      <w:pPr>
        <w:pStyle w:val="Actions"/>
      </w:pPr>
      <w:r w:rsidRPr="00266C45">
        <w:rPr>
          <w:u w:val="single"/>
        </w:rPr>
        <w:t>Christine</w:t>
      </w:r>
      <w:r>
        <w:t>: to circulate question on COAF in the T2S context and NMPG’s to provide their feedback.</w:t>
      </w:r>
    </w:p>
    <w:p w:rsidR="005C655D" w:rsidRDefault="005C655D" w:rsidP="005C655D">
      <w:pPr>
        <w:pStyle w:val="Heading1"/>
      </w:pPr>
      <w:bookmarkStart w:id="12" w:name="_Toc411607483"/>
      <w:r>
        <w:t xml:space="preserve">CA279 - Market practice for Claims and </w:t>
      </w:r>
      <w:proofErr w:type="gramStart"/>
      <w:r>
        <w:t>Transformations  in</w:t>
      </w:r>
      <w:proofErr w:type="gramEnd"/>
      <w:r>
        <w:t xml:space="preserve"> the T2S context</w:t>
      </w:r>
      <w:r w:rsidR="00EB01D6">
        <w:t xml:space="preserve"> (</w:t>
      </w:r>
      <w:r w:rsidR="00541F76">
        <w:t>GMP1 SG</w:t>
      </w:r>
      <w:r w:rsidR="00EB01D6">
        <w:t>)</w:t>
      </w:r>
      <w:bookmarkEnd w:id="12"/>
    </w:p>
    <w:p w:rsidR="00604A14" w:rsidRPr="000E7D6F" w:rsidRDefault="00C02AE7" w:rsidP="00604A14">
      <w:pPr>
        <w:rPr>
          <w:b/>
          <w:color w:val="FF0000"/>
          <w:u w:val="single"/>
        </w:rPr>
      </w:pPr>
      <w:r>
        <w:rPr>
          <w:b/>
          <w:color w:val="FF0000"/>
          <w:u w:val="single"/>
        </w:rPr>
        <w:t>Review of progress on a</w:t>
      </w:r>
      <w:r w:rsidR="000E7D6F" w:rsidRPr="000E7D6F">
        <w:rPr>
          <w:b/>
          <w:color w:val="FF0000"/>
          <w:u w:val="single"/>
        </w:rPr>
        <w:t>ctions:</w:t>
      </w:r>
    </w:p>
    <w:p w:rsidR="000E7D6F" w:rsidRDefault="000E7D6F" w:rsidP="00C06646">
      <w:pPr>
        <w:pStyle w:val="Actions"/>
        <w:numPr>
          <w:ilvl w:val="0"/>
          <w:numId w:val="14"/>
        </w:numPr>
      </w:pPr>
      <w:r>
        <w:rPr>
          <w:u w:val="single"/>
        </w:rPr>
        <w:t>Mari together with Paola, Veronique and Christine</w:t>
      </w:r>
      <w:r>
        <w:t xml:space="preserve"> to check first the original CR from the UK for SR2006 and start the process to create a business justification for a new MT and MX message, combining the CA details in an MT567 with the settlement and reference details of an MT548. And check the T2S implications of the above.</w:t>
      </w:r>
    </w:p>
    <w:p w:rsidR="00C02AE7" w:rsidRDefault="00C02AE7" w:rsidP="00C02AE7">
      <w:r w:rsidRPr="00C02AE7">
        <w:rPr>
          <w:u w:val="single"/>
        </w:rPr>
        <w:t>Status</w:t>
      </w:r>
      <w:r>
        <w:t xml:space="preserve">: </w:t>
      </w:r>
      <w:r w:rsidR="00EC2BD3">
        <w:t>No progress to date, Mari will schedule a call soon</w:t>
      </w:r>
      <w:r>
        <w:t>.</w:t>
      </w:r>
    </w:p>
    <w:p w:rsidR="000E7D6F" w:rsidRDefault="006D0EC6" w:rsidP="00C06646">
      <w:pPr>
        <w:pStyle w:val="Actions"/>
        <w:numPr>
          <w:ilvl w:val="0"/>
          <w:numId w:val="14"/>
        </w:numPr>
      </w:pPr>
      <w:r w:rsidRPr="006D0EC6">
        <w:rPr>
          <w:u w:val="single"/>
        </w:rPr>
        <w:t>Mari, Veronique, Sonda (and other NMPGs)</w:t>
      </w:r>
      <w:r>
        <w:t xml:space="preserve"> to search for traffic figures on Market Claims from their respective CSD/Institutions</w:t>
      </w:r>
      <w:r w:rsidR="00CF10C2">
        <w:t>.</w:t>
      </w:r>
    </w:p>
    <w:p w:rsidR="00C02AE7" w:rsidRDefault="00C02AE7" w:rsidP="00C02AE7">
      <w:pPr>
        <w:rPr>
          <w:bCs/>
        </w:rPr>
      </w:pPr>
      <w:r w:rsidRPr="00C02AE7">
        <w:rPr>
          <w:u w:val="single"/>
        </w:rPr>
        <w:t>Status</w:t>
      </w:r>
      <w:r>
        <w:t>:</w:t>
      </w:r>
      <w:r w:rsidR="00EC2BD3">
        <w:t xml:space="preserve"> Mari got some figures from CREST. They </w:t>
      </w:r>
      <w:r w:rsidR="00EC2BD3">
        <w:rPr>
          <w:bCs/>
        </w:rPr>
        <w:t>process an average of 2200 claims per day, which seems to indicate that there may be a business case for a specific message to report the creation of a market claim.</w:t>
      </w:r>
    </w:p>
    <w:p w:rsidR="00EC2BD3" w:rsidRDefault="00EC2BD3" w:rsidP="00C02AE7">
      <w:r>
        <w:rPr>
          <w:bCs/>
        </w:rPr>
        <w:t>Mari will contact other custodians to get some additional figures.</w:t>
      </w:r>
    </w:p>
    <w:p w:rsidR="005C655D" w:rsidRDefault="005C655D" w:rsidP="005C655D">
      <w:pPr>
        <w:pStyle w:val="Heading1"/>
      </w:pPr>
      <w:bookmarkStart w:id="13" w:name="_Toc411607484"/>
      <w:r>
        <w:t>CA282 - Write-do</w:t>
      </w:r>
      <w:r w:rsidR="00EC508A">
        <w:t xml:space="preserve">wns / write-ups </w:t>
      </w:r>
      <w:proofErr w:type="gramStart"/>
      <w:r w:rsidR="00EC508A">
        <w:t>on  Bonds</w:t>
      </w:r>
      <w:proofErr w:type="gramEnd"/>
      <w:r w:rsidR="00EC508A">
        <w:t xml:space="preserve"> (</w:t>
      </w:r>
      <w:r w:rsidR="00604A14">
        <w:t>Delphine</w:t>
      </w:r>
      <w:r>
        <w:t>)</w:t>
      </w:r>
      <w:bookmarkEnd w:id="13"/>
    </w:p>
    <w:p w:rsidR="00EE6B8B" w:rsidRPr="00EE6B8B" w:rsidRDefault="00EE6B8B" w:rsidP="00D87C9D">
      <w:pPr>
        <w:pStyle w:val="Actions"/>
        <w:rPr>
          <w:b/>
          <w:lang w:val="en-US"/>
        </w:rPr>
      </w:pPr>
      <w:r>
        <w:rPr>
          <w:b/>
          <w:lang w:val="en-US"/>
        </w:rPr>
        <w:object w:dxaOrig="1531" w:dyaOrig="990">
          <v:shape id="_x0000_i1026" type="#_x0000_t75" style="width:76.5pt;height:49.5pt" o:ole="">
            <v:imagedata r:id="rId18" o:title=""/>
          </v:shape>
          <o:OLEObject Type="Embed" ProgID="PowerPoint.Show.12" ShapeID="_x0000_i1026" DrawAspect="Icon" ObjectID="_1487488425" r:id="rId19"/>
        </w:object>
      </w:r>
    </w:p>
    <w:p w:rsidR="00182F73" w:rsidRDefault="00182F73" w:rsidP="00182F73">
      <w:pPr>
        <w:rPr>
          <w:bCs/>
        </w:rPr>
      </w:pPr>
      <w:r>
        <w:rPr>
          <w:bCs/>
        </w:rPr>
        <w:t>The recommendation from ICSMA only refers to international securities (XS), but could of course be adopted by additional markets. However, for bonds without a pool factor, the decision from Boston remains valid.</w:t>
      </w:r>
    </w:p>
    <w:p w:rsidR="00182F73" w:rsidRDefault="00182F73" w:rsidP="00182F73">
      <w:pPr>
        <w:pStyle w:val="Decisions"/>
        <w:spacing w:after="0"/>
      </w:pPr>
      <w:r>
        <w:t>Reminder of Boston Decision:</w:t>
      </w:r>
    </w:p>
    <w:p w:rsidR="00182F73" w:rsidRPr="00182F73" w:rsidRDefault="00182F73" w:rsidP="00182F73">
      <w:pPr>
        <w:pStyle w:val="Decisions"/>
        <w:spacing w:after="0"/>
      </w:pPr>
      <w:r w:rsidRPr="00182F73">
        <w:t xml:space="preserve">• For a decrease of face value, recommend to use PCAL with SECU option </w:t>
      </w:r>
    </w:p>
    <w:p w:rsidR="00182F73" w:rsidRPr="00182F73" w:rsidRDefault="00182F73" w:rsidP="00182F73">
      <w:pPr>
        <w:pStyle w:val="Decisions"/>
        <w:spacing w:after="0"/>
      </w:pPr>
      <w:r w:rsidRPr="00182F73">
        <w:t>• For an increase of face value, recommend to use PINK with SECU option.</w:t>
      </w:r>
    </w:p>
    <w:p w:rsidR="00182F73" w:rsidRDefault="00182F73" w:rsidP="00182F73">
      <w:pPr>
        <w:pStyle w:val="Decisions"/>
        <w:spacing w:after="0"/>
      </w:pPr>
      <w:r w:rsidRPr="00182F73">
        <w:t xml:space="preserve">• </w:t>
      </w:r>
      <w:proofErr w:type="gramStart"/>
      <w:r w:rsidRPr="00182F73">
        <w:t>Use :92A</w:t>
      </w:r>
      <w:proofErr w:type="gramEnd"/>
      <w:r w:rsidRPr="00182F73">
        <w:t>::RATE as the rate for both events provided the rate is announced as a percentage (of increase and decrease).</w:t>
      </w:r>
    </w:p>
    <w:p w:rsidR="00182F73" w:rsidRDefault="00182F73" w:rsidP="00182F73">
      <w:pPr>
        <w:rPr>
          <w:bCs/>
        </w:rPr>
      </w:pPr>
    </w:p>
    <w:p w:rsidR="00182F73" w:rsidRDefault="00182F73" w:rsidP="00182F73">
      <w:pPr>
        <w:rPr>
          <w:bCs/>
        </w:rPr>
      </w:pPr>
      <w:r>
        <w:rPr>
          <w:bCs/>
        </w:rPr>
        <w:t>Action 2: No feedback received from NMPGs on the presentation</w:t>
      </w:r>
    </w:p>
    <w:p w:rsidR="00182F73" w:rsidRPr="00182F73" w:rsidRDefault="00182F73" w:rsidP="00182F73">
      <w:pPr>
        <w:pStyle w:val="Actions"/>
      </w:pPr>
      <w:r w:rsidRPr="00182F73">
        <w:rPr>
          <w:b/>
          <w:u w:val="single"/>
        </w:rPr>
        <w:t>Action</w:t>
      </w:r>
      <w:r w:rsidRPr="00182F73">
        <w:t>: Close Action 1</w:t>
      </w:r>
    </w:p>
    <w:p w:rsidR="0095504E" w:rsidRDefault="00604A14" w:rsidP="0095504E">
      <w:pPr>
        <w:pStyle w:val="Heading1"/>
      </w:pPr>
      <w:bookmarkStart w:id="14" w:name="_Toc411607485"/>
      <w:r>
        <w:t>CA284 -</w:t>
      </w:r>
      <w:r w:rsidR="0095504E">
        <w:t xml:space="preserve"> MP f</w:t>
      </w:r>
      <w:r>
        <w:t>or Amounts Larger than 15d (GMP1 SG</w:t>
      </w:r>
      <w:r w:rsidR="0095504E">
        <w:t>)</w:t>
      </w:r>
      <w:bookmarkEnd w:id="14"/>
    </w:p>
    <w:p w:rsidR="00CB383F" w:rsidRPr="00CB383F" w:rsidRDefault="00CB383F" w:rsidP="00CB383F">
      <w:pPr>
        <w:spacing w:after="0"/>
      </w:pPr>
      <w:r w:rsidRPr="00CB383F">
        <w:t>Current Proposal:</w:t>
      </w:r>
    </w:p>
    <w:p w:rsidR="00CB383F" w:rsidRPr="00CB383F" w:rsidRDefault="00CB383F" w:rsidP="00CB383F">
      <w:pPr>
        <w:spacing w:after="0"/>
      </w:pPr>
      <w:r w:rsidRPr="0060356E">
        <w:rPr>
          <w:b/>
          <w:u w:val="single"/>
        </w:rPr>
        <w:t>• Case 1</w:t>
      </w:r>
      <w:r w:rsidRPr="00CB383F">
        <w:t>: Amounts/rates/prices where the 15d character limitation means that not all decimals can be provided in a formatted field:</w:t>
      </w:r>
    </w:p>
    <w:p w:rsidR="00CB383F" w:rsidRPr="00CB383F" w:rsidRDefault="00CB383F" w:rsidP="00CB383F">
      <w:pPr>
        <w:spacing w:after="0"/>
      </w:pPr>
      <w:r w:rsidRPr="00CB383F">
        <w:lastRenderedPageBreak/>
        <w:t>-&gt; In this case, include as many decimals as the field length allows PLUS include the complete amount/rate/price in 70E ADTX in sequence E.</w:t>
      </w:r>
    </w:p>
    <w:p w:rsidR="00CB383F" w:rsidRPr="00CB383F" w:rsidRDefault="00CB383F" w:rsidP="00CB383F">
      <w:pPr>
        <w:spacing w:after="0"/>
      </w:pPr>
      <w:r w:rsidRPr="0060356E">
        <w:rPr>
          <w:b/>
          <w:u w:val="single"/>
        </w:rPr>
        <w:t>• Case 2</w:t>
      </w:r>
      <w:r w:rsidRPr="00CB383F">
        <w:t xml:space="preserve">: Amounts/rates/prices where the 15d character limitation means that not all integers can be provided in a formatted field: </w:t>
      </w:r>
    </w:p>
    <w:p w:rsidR="00CB383F" w:rsidRPr="00CB383F" w:rsidRDefault="00CB383F" w:rsidP="00CB383F">
      <w:pPr>
        <w:spacing w:after="0"/>
      </w:pPr>
      <w:r w:rsidRPr="00CB383F">
        <w:t>-&gt; In this case, do not include the formatted field; ONLY include the complete amount/rate/price in 70E ADTX in sequence E.</w:t>
      </w:r>
    </w:p>
    <w:p w:rsidR="0060356E" w:rsidRDefault="0060356E" w:rsidP="00C06646"/>
    <w:p w:rsidR="00C06646" w:rsidRPr="00324CB5" w:rsidRDefault="00182F73" w:rsidP="00C06646">
      <w:pPr>
        <w:rPr>
          <w:u w:val="single"/>
        </w:rPr>
      </w:pPr>
      <w:r w:rsidRPr="00324CB5">
        <w:rPr>
          <w:u w:val="single"/>
        </w:rPr>
        <w:t xml:space="preserve">Consolidated </w:t>
      </w:r>
      <w:r w:rsidR="00C06646" w:rsidRPr="00324CB5">
        <w:rPr>
          <w:u w:val="single"/>
        </w:rPr>
        <w:t>Feedback from NMPGs</w:t>
      </w:r>
      <w:r w:rsidR="00324CB5">
        <w:rPr>
          <w:u w:val="single"/>
        </w:rPr>
        <w:t xml:space="preserve"> about the current proposal above</w:t>
      </w:r>
      <w:r w:rsidR="00C06646" w:rsidRPr="00324CB5">
        <w:rPr>
          <w:u w:val="single"/>
        </w:rPr>
        <w:t>:</w:t>
      </w:r>
    </w:p>
    <w:p w:rsidR="00182F73" w:rsidRDefault="00182F73" w:rsidP="00C06646">
      <w:r>
        <w:t>Following NMPG’s agree: BE, SG, FR, UK, FI, RU, ZA</w:t>
      </w:r>
      <w:r w:rsidR="0009700A">
        <w:t>, NO</w:t>
      </w:r>
      <w:r>
        <w:t xml:space="preserve"> coming in addition to CH, SE, US,</w:t>
      </w:r>
      <w:r w:rsidR="00324CB5">
        <w:t xml:space="preserve"> XS, LU</w:t>
      </w:r>
      <w:r>
        <w:t xml:space="preserve"> </w:t>
      </w:r>
    </w:p>
    <w:p w:rsidR="0060356E" w:rsidRDefault="0060356E" w:rsidP="00324CB5">
      <w:r>
        <w:t>JP: Would not like to use ADTX since it stops STP; would like to agree on truncation on a bilateral basis</w:t>
      </w:r>
      <w:r w:rsidR="00E9581C">
        <w:t>.</w:t>
      </w:r>
    </w:p>
    <w:p w:rsidR="00324CB5" w:rsidRDefault="00324CB5" w:rsidP="00324CB5">
      <w:r>
        <w:t xml:space="preserve">APAC WG: </w:t>
      </w:r>
      <w:r>
        <w:rPr>
          <w:bCs/>
        </w:rPr>
        <w:t>decided to reach out to Indonesia and Vietnam to check</w:t>
      </w:r>
      <w:r w:rsidR="00E9581C">
        <w:rPr>
          <w:bCs/>
        </w:rPr>
        <w:t>.</w:t>
      </w:r>
    </w:p>
    <w:p w:rsidR="0074399D" w:rsidRPr="00BB1927" w:rsidRDefault="0074399D" w:rsidP="006115B6">
      <w:pPr>
        <w:pStyle w:val="Actions"/>
      </w:pPr>
      <w:r w:rsidRPr="006115B6">
        <w:rPr>
          <w:b/>
          <w:u w:val="single"/>
        </w:rPr>
        <w:t>Action</w:t>
      </w:r>
      <w:r>
        <w:t xml:space="preserve">: </w:t>
      </w:r>
      <w:r w:rsidR="00730104">
        <w:t xml:space="preserve">APAC WG </w:t>
      </w:r>
      <w:r>
        <w:t xml:space="preserve">to </w:t>
      </w:r>
      <w:r w:rsidR="00730104">
        <w:t>provide their feedback</w:t>
      </w:r>
      <w:r>
        <w:t xml:space="preserve"> by the next conference call.</w:t>
      </w:r>
    </w:p>
    <w:p w:rsidR="00937A2A" w:rsidRDefault="00604A14" w:rsidP="00F9377E">
      <w:pPr>
        <w:pStyle w:val="Heading1"/>
        <w:rPr>
          <w:rFonts w:cs="Calibri"/>
          <w:lang w:val="fr-BE"/>
        </w:rPr>
      </w:pPr>
      <w:bookmarkStart w:id="15" w:name="_Toc411607486"/>
      <w:bookmarkEnd w:id="5"/>
      <w:bookmarkEnd w:id="6"/>
      <w:r>
        <w:rPr>
          <w:rFonts w:cs="Calibri"/>
          <w:lang w:val="fr-BE"/>
        </w:rPr>
        <w:t>CA285 -</w:t>
      </w:r>
      <w:r w:rsidR="00937A2A" w:rsidRPr="00937A2A">
        <w:rPr>
          <w:rFonts w:cs="Calibri"/>
          <w:lang w:val="fr-BE"/>
        </w:rPr>
        <w:t xml:space="preserve"> FDIV/PDIV usage (Jacques)</w:t>
      </w:r>
      <w:bookmarkEnd w:id="15"/>
    </w:p>
    <w:p w:rsidR="00C06646" w:rsidRDefault="00C06646" w:rsidP="00C06646">
      <w:r w:rsidRPr="00B97AB5">
        <w:t xml:space="preserve">Feedback from </w:t>
      </w:r>
      <w:r w:rsidR="00F62691">
        <w:t xml:space="preserve">additional </w:t>
      </w:r>
      <w:r w:rsidRPr="00B97AB5">
        <w:t>NMPGs</w:t>
      </w:r>
      <w:r w:rsidR="00B97AB5" w:rsidRPr="00B97AB5">
        <w:t xml:space="preserve"> on the questions:</w:t>
      </w:r>
    </w:p>
    <w:p w:rsidR="00730104" w:rsidRDefault="00730104" w:rsidP="00C06646">
      <w:r w:rsidRPr="000F46BA">
        <w:rPr>
          <w:u w:val="single"/>
        </w:rPr>
        <w:t>JP</w:t>
      </w:r>
      <w:r>
        <w:t>: does not use FDIV/PDIV</w:t>
      </w:r>
    </w:p>
    <w:p w:rsidR="00730104" w:rsidRDefault="00730104" w:rsidP="00730104">
      <w:pPr>
        <w:rPr>
          <w:bCs/>
        </w:rPr>
      </w:pPr>
      <w:r w:rsidRPr="000F46BA">
        <w:rPr>
          <w:bCs/>
          <w:u w:val="single"/>
        </w:rPr>
        <w:t>APAC WG</w:t>
      </w:r>
      <w:r>
        <w:rPr>
          <w:bCs/>
        </w:rPr>
        <w:t xml:space="preserve"> reported that they do not use PDIV/FDIV, but some markets in the region wondered if perhaps they should do so. However, the case presented was for a preliminary dividend rate, not a provisional or estimated rate.</w:t>
      </w:r>
    </w:p>
    <w:p w:rsidR="00730104" w:rsidRDefault="00730104" w:rsidP="00C06646">
      <w:r w:rsidRPr="000F46BA">
        <w:rPr>
          <w:u w:val="single"/>
        </w:rPr>
        <w:t>MY</w:t>
      </w:r>
      <w:r>
        <w:t>: Do not use PDIV, Agree with usage of a Rate Status</w:t>
      </w:r>
    </w:p>
    <w:p w:rsidR="00A51A46" w:rsidRDefault="00553B62" w:rsidP="00C06646">
      <w:r w:rsidRPr="00553B62">
        <w:rPr>
          <w:u w:val="single"/>
        </w:rPr>
        <w:t>NO</w:t>
      </w:r>
      <w:r>
        <w:t>: Does not use FDIV/PDIV</w:t>
      </w:r>
    </w:p>
    <w:p w:rsidR="000F46BA" w:rsidRDefault="000F46BA" w:rsidP="00C06646">
      <w:r>
        <w:t>A part of the issue is to define precisely what is meant by “provisional” versus “proposed” or “estimated” rate.</w:t>
      </w:r>
      <w:r w:rsidR="00553B62">
        <w:t xml:space="preserve"> </w:t>
      </w:r>
      <w:r>
        <w:t>Nevertheless the most common way today of treating this provisional rate is to work with the message “Processing Status” field and the values PREC” or “PREU”.</w:t>
      </w:r>
    </w:p>
    <w:p w:rsidR="000F46BA" w:rsidRDefault="000F46BA" w:rsidP="00C06646">
      <w:r>
        <w:t xml:space="preserve">The item will be further discussed at the April meeting. </w:t>
      </w:r>
    </w:p>
    <w:p w:rsidR="000F46BA" w:rsidRDefault="000F46BA" w:rsidP="00C06646">
      <w:r>
        <w:t xml:space="preserve">Jacques mentions that a change request to get a rate status associated to some rates like </w:t>
      </w:r>
      <w:r w:rsidR="00553B62">
        <w:t xml:space="preserve">GRSS and NETT </w:t>
      </w:r>
      <w:r>
        <w:t>was already submitted in SR2008 in CR III.49 and the business case approved but that the solution retained was not implemented correctly preventing to associate the “rate status” without a “Rate Type Code”.</w:t>
      </w:r>
      <w:r w:rsidR="00672636">
        <w:t xml:space="preserve"> </w:t>
      </w:r>
      <w:r w:rsidR="00353595">
        <w:t xml:space="preserve">Sonda mentions that this was also the goal of the ISITC SR2012 CR260. </w:t>
      </w:r>
    </w:p>
    <w:p w:rsidR="00C409AD" w:rsidRPr="00C409AD" w:rsidRDefault="00C409AD" w:rsidP="00C409AD">
      <w:pPr>
        <w:pStyle w:val="Actions"/>
      </w:pPr>
      <w:r w:rsidRPr="00C409AD">
        <w:rPr>
          <w:b/>
          <w:u w:val="single"/>
        </w:rPr>
        <w:t>Actions</w:t>
      </w:r>
      <w:r w:rsidRPr="00C409AD">
        <w:t xml:space="preserve">: </w:t>
      </w:r>
    </w:p>
    <w:p w:rsidR="00C409AD" w:rsidRPr="00C409AD" w:rsidRDefault="00C409AD" w:rsidP="00C409AD">
      <w:pPr>
        <w:pStyle w:val="Actions"/>
      </w:pPr>
      <w:r w:rsidRPr="00C409AD">
        <w:t xml:space="preserve">1. </w:t>
      </w:r>
      <w:r w:rsidR="00A51A46" w:rsidRPr="00A51A46">
        <w:rPr>
          <w:u w:val="single"/>
        </w:rPr>
        <w:t>Remaining</w:t>
      </w:r>
      <w:r w:rsidRPr="00A51A46">
        <w:rPr>
          <w:u w:val="single"/>
        </w:rPr>
        <w:t xml:space="preserve"> NMPGs</w:t>
      </w:r>
      <w:r w:rsidRPr="00C409AD">
        <w:t xml:space="preserve"> to provide feedback on the three following questions:</w:t>
      </w:r>
    </w:p>
    <w:p w:rsidR="00C409AD" w:rsidRPr="00C409AD" w:rsidRDefault="00C409AD" w:rsidP="00C409AD">
      <w:pPr>
        <w:pStyle w:val="Actions"/>
        <w:ind w:firstLine="450"/>
      </w:pPr>
      <w:r w:rsidRPr="00C409AD">
        <w:t>a. Do you use PDIV, and if so, do they follow up with FDIV for the final rate?</w:t>
      </w:r>
    </w:p>
    <w:p w:rsidR="00C409AD" w:rsidRPr="00C409AD" w:rsidRDefault="00C409AD" w:rsidP="00C409AD">
      <w:pPr>
        <w:pStyle w:val="Actions"/>
        <w:ind w:left="450"/>
      </w:pPr>
      <w:r w:rsidRPr="00C409AD">
        <w:t>b. Would it be acceptable to add a new “Rate Status” to some format option to send GRSS (or NETT, if applicable) as indicative, without using a “Rate Type Code” (this would necessitate a standards change</w:t>
      </w:r>
      <w:proofErr w:type="gramStart"/>
      <w:r w:rsidRPr="00C409AD">
        <w:t>)</w:t>
      </w:r>
      <w:r>
        <w:t xml:space="preserve"> </w:t>
      </w:r>
      <w:r w:rsidRPr="00C409AD">
        <w:t>?</w:t>
      </w:r>
      <w:proofErr w:type="gramEnd"/>
    </w:p>
    <w:p w:rsidR="00604A14" w:rsidRPr="00C409AD" w:rsidRDefault="00C409AD" w:rsidP="00C409AD">
      <w:pPr>
        <w:pStyle w:val="Actions"/>
        <w:ind w:firstLine="450"/>
      </w:pPr>
      <w:r w:rsidRPr="00C409AD">
        <w:t>c. Do you use FDIV as a stand-alone code (i.e. without using PDIV)?</w:t>
      </w:r>
    </w:p>
    <w:p w:rsidR="00604A14" w:rsidRPr="0013710D" w:rsidRDefault="00604A14" w:rsidP="0013710D">
      <w:pPr>
        <w:pStyle w:val="Heading1"/>
      </w:pPr>
      <w:bookmarkStart w:id="16" w:name="_Toc411607487"/>
      <w:r w:rsidRPr="0013710D">
        <w:t>CA288 - Information (INFO) Event Types (Andreana, Daniel)</w:t>
      </w:r>
      <w:bookmarkEnd w:id="16"/>
    </w:p>
    <w:p w:rsidR="0074399D" w:rsidRDefault="0074399D" w:rsidP="0074399D">
      <w:pPr>
        <w:rPr>
          <w:bCs/>
          <w:iCs/>
        </w:rPr>
      </w:pPr>
      <w:r w:rsidRPr="00BB1927">
        <w:rPr>
          <w:bCs/>
          <w:iCs/>
        </w:rPr>
        <w:t>The German NMPG has not reverted on the issue</w:t>
      </w:r>
      <w:r w:rsidR="007431D5">
        <w:rPr>
          <w:bCs/>
          <w:iCs/>
        </w:rPr>
        <w:t xml:space="preserve"> following up from the SR2015 CR000769</w:t>
      </w:r>
      <w:r w:rsidRPr="00BB1927">
        <w:rPr>
          <w:bCs/>
          <w:iCs/>
        </w:rPr>
        <w:t>, and did not attend the conference call.</w:t>
      </w:r>
      <w:r>
        <w:rPr>
          <w:bCs/>
          <w:iCs/>
        </w:rPr>
        <w:t xml:space="preserve"> The item </w:t>
      </w:r>
      <w:r w:rsidR="00873D40">
        <w:rPr>
          <w:bCs/>
          <w:iCs/>
        </w:rPr>
        <w:t>is</w:t>
      </w:r>
      <w:r>
        <w:rPr>
          <w:bCs/>
          <w:iCs/>
        </w:rPr>
        <w:t xml:space="preserve"> postponed to the next conference call.</w:t>
      </w:r>
    </w:p>
    <w:p w:rsidR="00A45CCF" w:rsidRDefault="00A45CCF" w:rsidP="0074399D">
      <w:pPr>
        <w:rPr>
          <w:bCs/>
          <w:iCs/>
        </w:rPr>
      </w:pPr>
      <w:r>
        <w:rPr>
          <w:bCs/>
          <w:iCs/>
        </w:rPr>
        <w:t xml:space="preserve">The </w:t>
      </w:r>
      <w:r w:rsidRPr="00F23FF4">
        <w:rPr>
          <w:bCs/>
          <w:iCs/>
          <w:u w:val="single"/>
        </w:rPr>
        <w:t>RU NMPG</w:t>
      </w:r>
      <w:r>
        <w:rPr>
          <w:bCs/>
          <w:iCs/>
        </w:rPr>
        <w:t xml:space="preserve"> has provided the following input (post meeting)</w:t>
      </w:r>
      <w:r w:rsidR="00F23FF4">
        <w:rPr>
          <w:bCs/>
          <w:iCs/>
        </w:rPr>
        <w:t xml:space="preserve"> regarding the usage of the INFO event</w:t>
      </w:r>
      <w:r>
        <w:rPr>
          <w:bCs/>
          <w:iCs/>
        </w:rPr>
        <w:t>:</w:t>
      </w:r>
    </w:p>
    <w:p w:rsidR="00F23FF4" w:rsidRPr="00F23FF4" w:rsidRDefault="00F23FF4" w:rsidP="00F23FF4">
      <w:pPr>
        <w:ind w:left="630" w:right="576"/>
        <w:rPr>
          <w:i/>
        </w:rPr>
      </w:pPr>
      <w:r w:rsidRPr="00F23FF4">
        <w:rPr>
          <w:i/>
        </w:rPr>
        <w:t xml:space="preserve">According </w:t>
      </w:r>
      <w:r>
        <w:rPr>
          <w:i/>
        </w:rPr>
        <w:t xml:space="preserve">to the </w:t>
      </w:r>
      <w:r w:rsidRPr="00F23FF4">
        <w:rPr>
          <w:i/>
        </w:rPr>
        <w:t>current legislation</w:t>
      </w:r>
      <w:r>
        <w:rPr>
          <w:i/>
        </w:rPr>
        <w:t>,</w:t>
      </w:r>
      <w:r w:rsidRPr="00F23FF4">
        <w:rPr>
          <w:i/>
        </w:rPr>
        <w:t xml:space="preserve"> the issuer is obliged to inform their shareholders about main facts in financial activity of the company.</w:t>
      </w:r>
    </w:p>
    <w:p w:rsidR="00F23FF4" w:rsidRPr="00F23FF4" w:rsidRDefault="00F23FF4" w:rsidP="00F23FF4">
      <w:pPr>
        <w:ind w:left="630" w:right="576"/>
        <w:rPr>
          <w:i/>
        </w:rPr>
      </w:pPr>
      <w:r w:rsidRPr="00F23FF4">
        <w:rPr>
          <w:i/>
        </w:rPr>
        <w:t>It may be done via Internet and information agencies or via special issuer's Internet pages.</w:t>
      </w:r>
    </w:p>
    <w:p w:rsidR="00F23FF4" w:rsidRPr="00F23FF4" w:rsidRDefault="00F23FF4" w:rsidP="00F23FF4">
      <w:pPr>
        <w:ind w:left="630" w:right="576"/>
        <w:rPr>
          <w:i/>
        </w:rPr>
      </w:pPr>
      <w:r w:rsidRPr="00F23FF4">
        <w:rPr>
          <w:i/>
        </w:rPr>
        <w:lastRenderedPageBreak/>
        <w:t xml:space="preserve">Formerly this information is not considered as a CA but it is influencing decisions making of shareholders on investments or this information is important as the shareholder need to know Registrar and the address of this entity (it may change) or web-address of the pages where the </w:t>
      </w:r>
      <w:r>
        <w:rPr>
          <w:i/>
        </w:rPr>
        <w:t xml:space="preserve">issuing company </w:t>
      </w:r>
      <w:r w:rsidRPr="00F23FF4">
        <w:rPr>
          <w:i/>
        </w:rPr>
        <w:t>disclose</w:t>
      </w:r>
      <w:r>
        <w:rPr>
          <w:i/>
        </w:rPr>
        <w:t>s</w:t>
      </w:r>
      <w:r w:rsidRPr="00F23FF4">
        <w:rPr>
          <w:i/>
        </w:rPr>
        <w:t xml:space="preserve"> the information on CA and main facts</w:t>
      </w:r>
      <w:r>
        <w:rPr>
          <w:i/>
        </w:rPr>
        <w:t>.</w:t>
      </w:r>
    </w:p>
    <w:p w:rsidR="00F23FF4" w:rsidRPr="00F23FF4" w:rsidRDefault="00F23FF4" w:rsidP="00F23FF4">
      <w:pPr>
        <w:ind w:left="630" w:right="576"/>
        <w:rPr>
          <w:i/>
        </w:rPr>
      </w:pPr>
      <w:r w:rsidRPr="00F23FF4">
        <w:rPr>
          <w:i/>
        </w:rPr>
        <w:t>S</w:t>
      </w:r>
      <w:r>
        <w:rPr>
          <w:i/>
        </w:rPr>
        <w:t>o</w:t>
      </w:r>
      <w:r w:rsidRPr="00F23FF4">
        <w:rPr>
          <w:i/>
        </w:rPr>
        <w:t xml:space="preserve"> important facts may be as follow</w:t>
      </w:r>
      <w:r>
        <w:rPr>
          <w:i/>
        </w:rPr>
        <w:t>:</w:t>
      </w:r>
    </w:p>
    <w:p w:rsidR="00F23FF4" w:rsidRPr="00F23FF4" w:rsidRDefault="00F23FF4" w:rsidP="00F23FF4">
      <w:pPr>
        <w:pStyle w:val="ListParagraph"/>
        <w:numPr>
          <w:ilvl w:val="0"/>
          <w:numId w:val="32"/>
        </w:numPr>
        <w:ind w:right="576"/>
        <w:rPr>
          <w:i/>
        </w:rPr>
      </w:pPr>
      <w:r w:rsidRPr="00F23FF4">
        <w:rPr>
          <w:i/>
        </w:rPr>
        <w:t>information on Supervisory Board meetings and decisions taken</w:t>
      </w:r>
    </w:p>
    <w:p w:rsidR="00F23FF4" w:rsidRPr="00F23FF4" w:rsidRDefault="00F23FF4" w:rsidP="00F23FF4">
      <w:pPr>
        <w:pStyle w:val="ListParagraph"/>
        <w:numPr>
          <w:ilvl w:val="0"/>
          <w:numId w:val="32"/>
        </w:numPr>
        <w:ind w:right="576"/>
        <w:rPr>
          <w:i/>
        </w:rPr>
      </w:pPr>
      <w:r w:rsidRPr="00F23FF4">
        <w:rPr>
          <w:i/>
        </w:rPr>
        <w:t>changes in Supervisory Board membership</w:t>
      </w:r>
    </w:p>
    <w:p w:rsidR="00F23FF4" w:rsidRPr="00F23FF4" w:rsidRDefault="00F23FF4" w:rsidP="00F23FF4">
      <w:pPr>
        <w:pStyle w:val="ListParagraph"/>
        <w:numPr>
          <w:ilvl w:val="0"/>
          <w:numId w:val="32"/>
        </w:numPr>
        <w:ind w:right="576"/>
        <w:rPr>
          <w:i/>
        </w:rPr>
      </w:pPr>
      <w:r w:rsidRPr="00F23FF4">
        <w:rPr>
          <w:i/>
        </w:rPr>
        <w:t xml:space="preserve">changes of Registrar responsible for Registry of the company, about  termination of an agreement with the Registrar or conclusion of new agreement with the Registrar and main conditions of such agreement </w:t>
      </w:r>
    </w:p>
    <w:p w:rsidR="00F23FF4" w:rsidRPr="00F23FF4" w:rsidRDefault="00F23FF4" w:rsidP="00F23FF4">
      <w:pPr>
        <w:pStyle w:val="ListParagraph"/>
        <w:numPr>
          <w:ilvl w:val="0"/>
          <w:numId w:val="32"/>
        </w:numPr>
        <w:ind w:right="576"/>
        <w:rPr>
          <w:i/>
        </w:rPr>
      </w:pPr>
      <w:r w:rsidRPr="00F23FF4">
        <w:rPr>
          <w:i/>
        </w:rPr>
        <w:t>about creation or closure of branches or representatives of the issuer</w:t>
      </w:r>
    </w:p>
    <w:p w:rsidR="00F23FF4" w:rsidRDefault="00F23FF4" w:rsidP="00F23FF4">
      <w:pPr>
        <w:pStyle w:val="ListParagraph"/>
        <w:numPr>
          <w:ilvl w:val="0"/>
          <w:numId w:val="32"/>
        </w:numPr>
        <w:ind w:right="576"/>
        <w:rPr>
          <w:i/>
        </w:rPr>
      </w:pPr>
      <w:proofErr w:type="gramStart"/>
      <w:r w:rsidRPr="00F23FF4">
        <w:rPr>
          <w:i/>
        </w:rPr>
        <w:t>about</w:t>
      </w:r>
      <w:proofErr w:type="gramEnd"/>
      <w:r w:rsidRPr="00F23FF4">
        <w:rPr>
          <w:i/>
        </w:rPr>
        <w:t xml:space="preserve"> signature of </w:t>
      </w:r>
      <w:r>
        <w:rPr>
          <w:i/>
        </w:rPr>
        <w:t xml:space="preserve">an </w:t>
      </w:r>
      <w:r w:rsidRPr="00F23FF4">
        <w:rPr>
          <w:i/>
        </w:rPr>
        <w:t>agreement with the audit</w:t>
      </w:r>
      <w:r>
        <w:rPr>
          <w:i/>
        </w:rPr>
        <w:t>ing company, special depository.</w:t>
      </w:r>
    </w:p>
    <w:p w:rsidR="00F23FF4" w:rsidRPr="00F23FF4" w:rsidRDefault="00F23FF4" w:rsidP="00F23FF4">
      <w:pPr>
        <w:ind w:right="576"/>
        <w:rPr>
          <w:i/>
        </w:rPr>
      </w:pPr>
    </w:p>
    <w:p w:rsidR="00F23FF4" w:rsidRPr="00F23FF4" w:rsidRDefault="00F23FF4" w:rsidP="00F23FF4">
      <w:pPr>
        <w:ind w:left="630" w:right="576"/>
        <w:rPr>
          <w:i/>
        </w:rPr>
      </w:pPr>
      <w:r w:rsidRPr="00F23FF4">
        <w:rPr>
          <w:i/>
        </w:rPr>
        <w:t>Currently this information may be transmitted to the Central depository or to information agencies as a message in free format.</w:t>
      </w:r>
    </w:p>
    <w:p w:rsidR="00F23FF4" w:rsidRDefault="00F23FF4" w:rsidP="0074399D">
      <w:pPr>
        <w:rPr>
          <w:bCs/>
          <w:iCs/>
        </w:rPr>
      </w:pPr>
    </w:p>
    <w:p w:rsidR="00604A14" w:rsidRPr="00604A14" w:rsidRDefault="007431D5" w:rsidP="007431D5">
      <w:pPr>
        <w:pStyle w:val="Actions"/>
      </w:pPr>
      <w:r w:rsidRPr="007431D5">
        <w:rPr>
          <w:b/>
          <w:u w:val="single"/>
        </w:rPr>
        <w:t>Action</w:t>
      </w:r>
      <w:r>
        <w:t xml:space="preserve">: </w:t>
      </w:r>
      <w:r w:rsidRPr="00D32E26">
        <w:rPr>
          <w:u w:val="single"/>
        </w:rPr>
        <w:t>DE NMPG</w:t>
      </w:r>
      <w:r>
        <w:t xml:space="preserve"> to provide</w:t>
      </w:r>
      <w:r w:rsidR="00E85A8C">
        <w:t xml:space="preserve"> for next conf. call </w:t>
      </w:r>
      <w:r>
        <w:t>more information on the reasons to use an INFO event rather than the appropriate corresponding event code for Investment Funds.</w:t>
      </w:r>
    </w:p>
    <w:p w:rsidR="00604A14" w:rsidRDefault="00604A14" w:rsidP="00604A14">
      <w:pPr>
        <w:pStyle w:val="Heading1"/>
      </w:pPr>
      <w:bookmarkStart w:id="17" w:name="_Toc411607488"/>
      <w:r>
        <w:t>CA290 - New Date in MT567 for "Ongoing" / "Au fil de l'eau" events (Delphine)</w:t>
      </w:r>
      <w:bookmarkEnd w:id="17"/>
      <w:r>
        <w:t xml:space="preserve"> </w:t>
      </w:r>
    </w:p>
    <w:p w:rsidR="003667E0" w:rsidRDefault="0058678E" w:rsidP="00977CF2">
      <w:r w:rsidRPr="0058678E">
        <w:t>No additional feedback received</w:t>
      </w:r>
      <w:r>
        <w:t xml:space="preserve"> at the call, the initial Proposal </w:t>
      </w:r>
      <w:r w:rsidR="003667E0">
        <w:t>from Delphine</w:t>
      </w:r>
      <w:r>
        <w:t xml:space="preserve"> </w:t>
      </w:r>
      <w:r w:rsidR="00553B62">
        <w:t>remains</w:t>
      </w:r>
      <w:r w:rsidR="003667E0">
        <w:t>:</w:t>
      </w:r>
    </w:p>
    <w:p w:rsidR="00977CF2" w:rsidRPr="003667E0" w:rsidRDefault="003667E0" w:rsidP="00977CF2">
      <w:pPr>
        <w:rPr>
          <w:i/>
        </w:rPr>
      </w:pPr>
      <w:r w:rsidRPr="003667E0">
        <w:rPr>
          <w:i/>
        </w:rPr>
        <w:t>“</w:t>
      </w:r>
      <w:r w:rsidR="00977CF2" w:rsidRPr="003667E0">
        <w:rPr>
          <w:i/>
        </w:rPr>
        <w:t xml:space="preserve">Regarding the date itself, the proposal which was raised during maintenance of "Expected payment date" </w:t>
      </w:r>
      <w:r>
        <w:rPr>
          <w:i/>
        </w:rPr>
        <w:t xml:space="preserve">(CR288) </w:t>
      </w:r>
      <w:r w:rsidR="00977CF2" w:rsidRPr="003667E0">
        <w:rPr>
          <w:i/>
        </w:rPr>
        <w:t xml:space="preserve">does not fit because we do not receive such precise information. </w:t>
      </w:r>
    </w:p>
    <w:p w:rsidR="00977CF2" w:rsidRPr="003667E0" w:rsidRDefault="00977CF2" w:rsidP="00977CF2">
      <w:pPr>
        <w:rPr>
          <w:i/>
          <w:iCs/>
        </w:rPr>
      </w:pPr>
      <w:r w:rsidRPr="003667E0">
        <w:rPr>
          <w:i/>
          <w:iCs/>
        </w:rPr>
        <w:t xml:space="preserve">Examples: </w:t>
      </w:r>
      <w:r w:rsidRPr="003667E0">
        <w:rPr>
          <w:i/>
        </w:rPr>
        <w:br/>
      </w:r>
      <w:r w:rsidRPr="003667E0">
        <w:rPr>
          <w:i/>
          <w:iCs/>
        </w:rPr>
        <w:t>- Within 5 business days after the conversion date so basica</w:t>
      </w:r>
      <w:r w:rsidR="003667E0">
        <w:rPr>
          <w:i/>
          <w:iCs/>
        </w:rPr>
        <w:t>lly the payment date can be CONV</w:t>
      </w:r>
      <w:r w:rsidRPr="003667E0">
        <w:rPr>
          <w:i/>
          <w:iCs/>
        </w:rPr>
        <w:t xml:space="preserve"> date + 1 + 2 + 3 + 4 or + 5.</w:t>
      </w:r>
    </w:p>
    <w:p w:rsidR="003667E0" w:rsidRPr="003667E0" w:rsidRDefault="00977CF2" w:rsidP="00977CF2">
      <w:pPr>
        <w:rPr>
          <w:i/>
        </w:rPr>
      </w:pPr>
      <w:r w:rsidRPr="003667E0">
        <w:rPr>
          <w:i/>
          <w:iCs/>
        </w:rPr>
        <w:t xml:space="preserve">- No </w:t>
      </w:r>
      <w:r w:rsidR="00FE57A2" w:rsidRPr="003667E0">
        <w:rPr>
          <w:i/>
          <w:iCs/>
        </w:rPr>
        <w:t>later</w:t>
      </w:r>
      <w:r w:rsidRPr="003667E0">
        <w:rPr>
          <w:i/>
          <w:iCs/>
        </w:rPr>
        <w:t xml:space="preserve"> than 40 business days</w:t>
      </w:r>
      <w:r w:rsidR="003667E0">
        <w:rPr>
          <w:i/>
          <w:iCs/>
        </w:rPr>
        <w:t xml:space="preserve"> after the conversion date</w:t>
      </w:r>
      <w:r w:rsidRPr="003667E0">
        <w:rPr>
          <w:i/>
          <w:iCs/>
        </w:rPr>
        <w:t>...</w:t>
      </w:r>
      <w:r w:rsidRPr="003667E0">
        <w:rPr>
          <w:i/>
        </w:rPr>
        <w:t xml:space="preserve"> </w:t>
      </w:r>
      <w:r w:rsidRPr="003667E0">
        <w:rPr>
          <w:i/>
        </w:rPr>
        <w:br/>
      </w:r>
      <w:r w:rsidR="003667E0">
        <w:rPr>
          <w:i/>
          <w:iCs/>
        </w:rPr>
        <w:t>- 5 business days after CONV</w:t>
      </w:r>
      <w:r w:rsidRPr="003667E0">
        <w:rPr>
          <w:i/>
          <w:iCs/>
        </w:rPr>
        <w:t xml:space="preserve"> date.</w:t>
      </w:r>
    </w:p>
    <w:p w:rsidR="003667E0" w:rsidRDefault="003667E0" w:rsidP="00977CF2">
      <w:pPr>
        <w:rPr>
          <w:b/>
          <w:u w:val="single"/>
        </w:rPr>
      </w:pPr>
      <w:r>
        <w:rPr>
          <w:i/>
        </w:rPr>
        <w:t xml:space="preserve">So we should go more towards </w:t>
      </w:r>
      <w:r w:rsidR="00977CF2" w:rsidRPr="003667E0">
        <w:rPr>
          <w:i/>
        </w:rPr>
        <w:t xml:space="preserve">something like "instruction approved by agent date" which would be more generic than </w:t>
      </w:r>
      <w:r w:rsidR="0058678E">
        <w:rPr>
          <w:i/>
        </w:rPr>
        <w:t>“</w:t>
      </w:r>
      <w:r w:rsidR="00977CF2" w:rsidRPr="003667E0">
        <w:rPr>
          <w:i/>
        </w:rPr>
        <w:t>conversion date</w:t>
      </w:r>
      <w:r w:rsidR="0058678E">
        <w:rPr>
          <w:i/>
        </w:rPr>
        <w:t>”</w:t>
      </w:r>
      <w:r w:rsidR="00977CF2" w:rsidRPr="003667E0">
        <w:rPr>
          <w:i/>
        </w:rPr>
        <w:t>.</w:t>
      </w:r>
      <w:r w:rsidR="00977CF2">
        <w:br/>
      </w:r>
    </w:p>
    <w:p w:rsidR="00604A14" w:rsidRPr="00A049AF" w:rsidRDefault="00A049AF" w:rsidP="003667E0">
      <w:pPr>
        <w:pStyle w:val="Actions"/>
      </w:pPr>
      <w:r w:rsidRPr="00A049AF">
        <w:rPr>
          <w:b/>
          <w:u w:val="single"/>
        </w:rPr>
        <w:t>Action</w:t>
      </w:r>
      <w:r w:rsidRPr="00A049AF">
        <w:t>:</w:t>
      </w:r>
      <w:r w:rsidR="003667E0">
        <w:rPr>
          <w:u w:val="single"/>
        </w:rPr>
        <w:t xml:space="preserve"> NMPG’s</w:t>
      </w:r>
      <w:r w:rsidR="003667E0" w:rsidRPr="00D100D9">
        <w:t xml:space="preserve"> to provide feedback on the proposal</w:t>
      </w:r>
      <w:r w:rsidRPr="00A049AF">
        <w:t>.</w:t>
      </w:r>
    </w:p>
    <w:p w:rsidR="00C06646" w:rsidRDefault="00977CF2" w:rsidP="00977CF2">
      <w:pPr>
        <w:pStyle w:val="Heading1"/>
      </w:pPr>
      <w:bookmarkStart w:id="18" w:name="_Toc411607489"/>
      <w:r w:rsidRPr="00977CF2">
        <w:t>CA294</w:t>
      </w:r>
      <w:r w:rsidR="004C0D91" w:rsidRPr="00977CF2">
        <w:t xml:space="preserve"> - </w:t>
      </w:r>
      <w:r w:rsidRPr="00977CF2">
        <w:t>TAXE Format Option as a Percentage (Jacques)</w:t>
      </w:r>
      <w:bookmarkEnd w:id="18"/>
    </w:p>
    <w:p w:rsidR="00A45CCF" w:rsidRDefault="00A45CCF" w:rsidP="00A45CCF">
      <w:pPr>
        <w:rPr>
          <w:bCs/>
        </w:rPr>
      </w:pPr>
      <w:r w:rsidRPr="00482567">
        <w:rPr>
          <w:bCs/>
        </w:rPr>
        <w:t>JP also reported that TAXE is not used</w:t>
      </w:r>
      <w:r w:rsidR="00482567">
        <w:rPr>
          <w:bCs/>
        </w:rPr>
        <w:t xml:space="preserve">. </w:t>
      </w:r>
      <w:r w:rsidRPr="00482567">
        <w:rPr>
          <w:bCs/>
        </w:rPr>
        <w:t xml:space="preserve">TW has seen some </w:t>
      </w:r>
      <w:r w:rsidR="0058678E" w:rsidRPr="00482567">
        <w:rPr>
          <w:bCs/>
        </w:rPr>
        <w:t xml:space="preserve">low </w:t>
      </w:r>
      <w:r w:rsidRPr="00482567">
        <w:rPr>
          <w:bCs/>
        </w:rPr>
        <w:t>usage, similar to the KR case</w:t>
      </w:r>
      <w:r w:rsidR="00482567">
        <w:rPr>
          <w:bCs/>
        </w:rPr>
        <w:t>.</w:t>
      </w:r>
    </w:p>
    <w:p w:rsidR="00F014AE" w:rsidRPr="00F014AE" w:rsidRDefault="00F014AE" w:rsidP="00A45CCF">
      <w:pPr>
        <w:rPr>
          <w:bCs/>
          <w:u w:val="single"/>
        </w:rPr>
      </w:pPr>
      <w:r w:rsidRPr="00F014AE">
        <w:rPr>
          <w:bCs/>
          <w:u w:val="single"/>
        </w:rPr>
        <w:t>RU Feedback on TAXE (post meeting):</w:t>
      </w:r>
    </w:p>
    <w:p w:rsidR="00F014AE" w:rsidRPr="00F014AE" w:rsidRDefault="00F014AE" w:rsidP="00F014AE">
      <w:pPr>
        <w:spacing w:after="0"/>
        <w:rPr>
          <w:b/>
          <w:bCs/>
          <w:i/>
        </w:rPr>
      </w:pPr>
      <w:proofErr w:type="gramStart"/>
      <w:r w:rsidRPr="00F014AE">
        <w:rPr>
          <w:b/>
          <w:bCs/>
          <w:i/>
        </w:rPr>
        <w:t>a</w:t>
      </w:r>
      <w:proofErr w:type="gramEnd"/>
      <w:r w:rsidRPr="00F014AE">
        <w:rPr>
          <w:b/>
          <w:bCs/>
          <w:i/>
        </w:rPr>
        <w:t>/ Do you use TAXE and if yes, for what purpose?</w:t>
      </w:r>
    </w:p>
    <w:p w:rsidR="00F014AE" w:rsidRPr="00F014AE" w:rsidRDefault="00F014AE" w:rsidP="00F014AE">
      <w:pPr>
        <w:spacing w:after="0"/>
        <w:rPr>
          <w:i/>
        </w:rPr>
      </w:pPr>
      <w:r w:rsidRPr="00F014AE">
        <w:rPr>
          <w:i/>
        </w:rPr>
        <w:t>Currently in Russia TAXE in MT 564 is not used</w:t>
      </w:r>
    </w:p>
    <w:p w:rsidR="00F014AE" w:rsidRPr="00F014AE" w:rsidRDefault="00F014AE" w:rsidP="00F014AE">
      <w:pPr>
        <w:spacing w:after="0"/>
        <w:rPr>
          <w:b/>
          <w:bCs/>
          <w:i/>
        </w:rPr>
      </w:pPr>
      <w:proofErr w:type="gramStart"/>
      <w:r w:rsidRPr="00F014AE">
        <w:rPr>
          <w:b/>
          <w:bCs/>
          <w:i/>
        </w:rPr>
        <w:t>b</w:t>
      </w:r>
      <w:proofErr w:type="gramEnd"/>
      <w:r w:rsidRPr="00F014AE">
        <w:rPr>
          <w:b/>
          <w:bCs/>
          <w:i/>
        </w:rPr>
        <w:t>/ Should TAXE be changed?</w:t>
      </w:r>
    </w:p>
    <w:p w:rsidR="00F014AE" w:rsidRPr="00F014AE" w:rsidRDefault="00F014AE" w:rsidP="00F014AE">
      <w:pPr>
        <w:spacing w:after="0"/>
        <w:rPr>
          <w:i/>
        </w:rPr>
      </w:pPr>
      <w:r w:rsidRPr="00F014AE">
        <w:rPr>
          <w:i/>
        </w:rPr>
        <w:t xml:space="preserve">It seems </w:t>
      </w:r>
      <w:proofErr w:type="gramStart"/>
      <w:r w:rsidRPr="00F014AE">
        <w:rPr>
          <w:i/>
        </w:rPr>
        <w:t>Yes</w:t>
      </w:r>
      <w:proofErr w:type="gramEnd"/>
      <w:r>
        <w:rPr>
          <w:i/>
        </w:rPr>
        <w:t xml:space="preserve">. </w:t>
      </w:r>
      <w:r w:rsidRPr="00F014AE">
        <w:rPr>
          <w:i/>
        </w:rPr>
        <w:t xml:space="preserve">It seems additional explanation and </w:t>
      </w:r>
      <w:proofErr w:type="gramStart"/>
      <w:r w:rsidRPr="00F014AE">
        <w:rPr>
          <w:i/>
        </w:rPr>
        <w:t>change of definition are</w:t>
      </w:r>
      <w:proofErr w:type="gramEnd"/>
      <w:r w:rsidRPr="00F014AE">
        <w:rPr>
          <w:i/>
        </w:rPr>
        <w:t xml:space="preserve"> ne</w:t>
      </w:r>
      <w:r>
        <w:rPr>
          <w:i/>
        </w:rPr>
        <w:t>e</w:t>
      </w:r>
      <w:r w:rsidRPr="00F014AE">
        <w:rPr>
          <w:i/>
        </w:rPr>
        <w:t>ded to clarify usage of this qualifier</w:t>
      </w:r>
      <w:r>
        <w:rPr>
          <w:i/>
        </w:rPr>
        <w:t>.</w:t>
      </w:r>
    </w:p>
    <w:p w:rsidR="00F014AE" w:rsidRPr="00F014AE" w:rsidRDefault="00F014AE" w:rsidP="00F014AE">
      <w:pPr>
        <w:spacing w:after="0"/>
        <w:rPr>
          <w:rFonts w:ascii="Calibri" w:hAnsi="Calibri" w:cs="Calibri"/>
          <w:b/>
          <w:bCs/>
          <w:i/>
          <w:sz w:val="22"/>
          <w:szCs w:val="22"/>
        </w:rPr>
      </w:pPr>
      <w:proofErr w:type="gramStart"/>
      <w:r w:rsidRPr="00F014AE">
        <w:rPr>
          <w:b/>
          <w:bCs/>
          <w:i/>
        </w:rPr>
        <w:t>c</w:t>
      </w:r>
      <w:proofErr w:type="gramEnd"/>
      <w:r w:rsidRPr="00F014AE">
        <w:rPr>
          <w:b/>
          <w:bCs/>
          <w:i/>
        </w:rPr>
        <w:t>/ Should additional format options be made possible? Is the definition in line with usage?</w:t>
      </w:r>
    </w:p>
    <w:p w:rsidR="00F014AE" w:rsidRPr="00F014AE" w:rsidRDefault="00F014AE" w:rsidP="00F014AE">
      <w:pPr>
        <w:spacing w:after="0"/>
        <w:rPr>
          <w:i/>
        </w:rPr>
      </w:pPr>
      <w:r w:rsidRPr="00F014AE">
        <w:rPr>
          <w:i/>
        </w:rPr>
        <w:t xml:space="preserve">The definition of the qualifier - Percentage of the gross dividend rate on which tax must be paid and format </w:t>
      </w:r>
      <w:proofErr w:type="gramStart"/>
      <w:r w:rsidRPr="00F014AE">
        <w:rPr>
          <w:i/>
        </w:rPr>
        <w:t>option</w:t>
      </w:r>
      <w:proofErr w:type="gramEnd"/>
      <w:r w:rsidRPr="00F014AE">
        <w:rPr>
          <w:i/>
        </w:rPr>
        <w:t xml:space="preserve"> J (where only currency and amount may be shown) do not properly correspond.</w:t>
      </w:r>
    </w:p>
    <w:p w:rsidR="00F014AE" w:rsidRPr="00F014AE" w:rsidRDefault="00F014AE" w:rsidP="00F014AE">
      <w:pPr>
        <w:spacing w:after="0"/>
        <w:rPr>
          <w:rFonts w:ascii="Calibri" w:hAnsi="Calibri" w:cs="Calibri"/>
          <w:i/>
          <w:sz w:val="22"/>
          <w:szCs w:val="22"/>
        </w:rPr>
      </w:pPr>
      <w:proofErr w:type="gramStart"/>
      <w:r w:rsidRPr="00F014AE">
        <w:rPr>
          <w:i/>
        </w:rPr>
        <w:t>So additional option may be added and definition to be changed to give possibility to show percentage.</w:t>
      </w:r>
      <w:proofErr w:type="gramEnd"/>
    </w:p>
    <w:p w:rsidR="00F014AE" w:rsidRPr="00F014AE" w:rsidRDefault="00F014AE" w:rsidP="00F014AE">
      <w:pPr>
        <w:spacing w:after="0"/>
        <w:rPr>
          <w:b/>
          <w:bCs/>
          <w:i/>
        </w:rPr>
      </w:pPr>
    </w:p>
    <w:p w:rsidR="00F014AE" w:rsidRPr="00F014AE" w:rsidRDefault="00F014AE" w:rsidP="00F014AE">
      <w:pPr>
        <w:spacing w:after="0"/>
        <w:rPr>
          <w:b/>
          <w:bCs/>
          <w:i/>
        </w:rPr>
      </w:pPr>
      <w:r w:rsidRPr="00F014AE">
        <w:rPr>
          <w:b/>
          <w:bCs/>
          <w:i/>
        </w:rPr>
        <w:t>We have also an additional question in line with possible usage of this qualifier</w:t>
      </w:r>
    </w:p>
    <w:p w:rsidR="00F014AE" w:rsidRPr="00F014AE" w:rsidRDefault="00F014AE" w:rsidP="00F014AE">
      <w:pPr>
        <w:spacing w:after="0"/>
        <w:rPr>
          <w:i/>
        </w:rPr>
      </w:pPr>
      <w:r>
        <w:rPr>
          <w:i/>
        </w:rPr>
        <w:lastRenderedPageBreak/>
        <w:t>I</w:t>
      </w:r>
      <w:r w:rsidRPr="00F014AE">
        <w:rPr>
          <w:i/>
        </w:rPr>
        <w:t xml:space="preserve">n Russia according </w:t>
      </w:r>
      <w:r>
        <w:rPr>
          <w:i/>
        </w:rPr>
        <w:t xml:space="preserve">to </w:t>
      </w:r>
      <w:r w:rsidRPr="00F014AE">
        <w:rPr>
          <w:i/>
        </w:rPr>
        <w:t>current tax legislation the issuer must inform the agent and nominee of two amounts which are used in tax calculations</w:t>
      </w:r>
      <w:r>
        <w:rPr>
          <w:i/>
        </w:rPr>
        <w:t xml:space="preserve">. </w:t>
      </w:r>
      <w:r w:rsidRPr="00F014AE">
        <w:rPr>
          <w:i/>
        </w:rPr>
        <w:t>As a special formula is used to calculate amount of taxes to be retained (deducted) from income of tax payer</w:t>
      </w:r>
      <w:r>
        <w:rPr>
          <w:i/>
        </w:rPr>
        <w:t>:</w:t>
      </w:r>
    </w:p>
    <w:p w:rsidR="00F014AE" w:rsidRPr="00F014AE" w:rsidRDefault="00F014AE" w:rsidP="00F014AE">
      <w:pPr>
        <w:spacing w:after="0"/>
        <w:rPr>
          <w:i/>
        </w:rPr>
      </w:pPr>
      <w:r w:rsidRPr="00F014AE">
        <w:rPr>
          <w:b/>
          <w:bCs/>
          <w:i/>
          <w:noProof/>
          <w:position w:val="-12"/>
          <w:lang w:val="en-GB" w:eastAsia="en-GB"/>
        </w:rPr>
        <w:drawing>
          <wp:inline distT="0" distB="0" distL="0" distR="0" wp14:anchorId="5BBE9E72" wp14:editId="3AD15A0D">
            <wp:extent cx="1600200" cy="228600"/>
            <wp:effectExtent l="0" t="0" r="0" b="0"/>
            <wp:docPr id="1" name="Picture 1" descr="cid:image001.png@01D0421B.8481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0421B.848170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roofErr w:type="gramStart"/>
      <w:r w:rsidRPr="00F014AE">
        <w:rPr>
          <w:i/>
        </w:rPr>
        <w:t>or</w:t>
      </w:r>
      <w:proofErr w:type="gramEnd"/>
      <w:r w:rsidRPr="00F014AE">
        <w:rPr>
          <w:i/>
        </w:rPr>
        <w:t xml:space="preserve"> using </w:t>
      </w:r>
      <w:proofErr w:type="spellStart"/>
      <w:r w:rsidRPr="00F014AE">
        <w:rPr>
          <w:i/>
        </w:rPr>
        <w:t>latin</w:t>
      </w:r>
      <w:proofErr w:type="spellEnd"/>
      <w:r w:rsidRPr="00F014AE">
        <w:rPr>
          <w:i/>
        </w:rPr>
        <w:t xml:space="preserve"> symbol       N= K * C* (D1-D2)</w:t>
      </w:r>
    </w:p>
    <w:p w:rsidR="00F014AE" w:rsidRPr="00F014AE" w:rsidRDefault="00F014AE" w:rsidP="00F014AE">
      <w:pPr>
        <w:spacing w:after="0"/>
        <w:rPr>
          <w:i/>
        </w:rPr>
      </w:pPr>
      <w:r w:rsidRPr="00F014AE">
        <w:rPr>
          <w:i/>
        </w:rPr>
        <w:t xml:space="preserve">Where </w:t>
      </w:r>
    </w:p>
    <w:p w:rsidR="00F014AE" w:rsidRPr="00F014AE" w:rsidRDefault="00F014AE" w:rsidP="00F014AE">
      <w:pPr>
        <w:spacing w:after="0"/>
        <w:rPr>
          <w:i/>
        </w:rPr>
      </w:pPr>
      <w:r w:rsidRPr="00F014AE">
        <w:rPr>
          <w:i/>
        </w:rPr>
        <w:t xml:space="preserve">N - </w:t>
      </w:r>
      <w:proofErr w:type="gramStart"/>
      <w:r w:rsidRPr="00F014AE">
        <w:rPr>
          <w:i/>
        </w:rPr>
        <w:t>the</w:t>
      </w:r>
      <w:proofErr w:type="gramEnd"/>
      <w:r w:rsidRPr="00F014AE">
        <w:rPr>
          <w:i/>
        </w:rPr>
        <w:t xml:space="preserve"> amount of tax to be retained</w:t>
      </w:r>
    </w:p>
    <w:p w:rsidR="00F014AE" w:rsidRPr="00F014AE" w:rsidRDefault="00F014AE" w:rsidP="00F014AE">
      <w:pPr>
        <w:spacing w:after="0"/>
        <w:rPr>
          <w:i/>
        </w:rPr>
      </w:pPr>
      <w:r w:rsidRPr="00F014AE">
        <w:rPr>
          <w:i/>
        </w:rPr>
        <w:t xml:space="preserve">K - </w:t>
      </w:r>
      <w:proofErr w:type="gramStart"/>
      <w:r w:rsidRPr="00F014AE">
        <w:rPr>
          <w:i/>
        </w:rPr>
        <w:t>a</w:t>
      </w:r>
      <w:proofErr w:type="gramEnd"/>
      <w:r w:rsidRPr="00F014AE">
        <w:rPr>
          <w:i/>
        </w:rPr>
        <w:t xml:space="preserve"> ratio a</w:t>
      </w:r>
      <w:r>
        <w:rPr>
          <w:i/>
        </w:rPr>
        <w:t>m</w:t>
      </w:r>
      <w:r w:rsidRPr="00F014AE">
        <w:rPr>
          <w:i/>
        </w:rPr>
        <w:t>ount of dividends payable to the tax payer to the total amount of dividends payable by the issuing company</w:t>
      </w:r>
    </w:p>
    <w:p w:rsidR="00F014AE" w:rsidRPr="00F014AE" w:rsidRDefault="00F014AE" w:rsidP="00F014AE">
      <w:pPr>
        <w:spacing w:after="0"/>
        <w:rPr>
          <w:i/>
        </w:rPr>
      </w:pPr>
      <w:r w:rsidRPr="00F014AE">
        <w:rPr>
          <w:i/>
        </w:rPr>
        <w:t xml:space="preserve">C - </w:t>
      </w:r>
      <w:proofErr w:type="gramStart"/>
      <w:r w:rsidRPr="00F014AE">
        <w:rPr>
          <w:i/>
        </w:rPr>
        <w:t>the</w:t>
      </w:r>
      <w:proofErr w:type="gramEnd"/>
      <w:r w:rsidRPr="00F014AE">
        <w:rPr>
          <w:i/>
        </w:rPr>
        <w:t xml:space="preserve"> tax rate </w:t>
      </w:r>
    </w:p>
    <w:p w:rsidR="00F014AE" w:rsidRPr="00F014AE" w:rsidRDefault="00F014AE" w:rsidP="00F014AE">
      <w:pPr>
        <w:spacing w:after="0"/>
        <w:rPr>
          <w:i/>
        </w:rPr>
      </w:pPr>
      <w:r w:rsidRPr="00F014AE">
        <w:rPr>
          <w:i/>
        </w:rPr>
        <w:t>D1 and D2 - these are amounts</w:t>
      </w:r>
    </w:p>
    <w:p w:rsidR="00F014AE" w:rsidRPr="00F014AE" w:rsidRDefault="00F014AE" w:rsidP="00F014AE">
      <w:pPr>
        <w:spacing w:after="0"/>
        <w:rPr>
          <w:i/>
        </w:rPr>
      </w:pPr>
      <w:r w:rsidRPr="00F014AE">
        <w:rPr>
          <w:i/>
        </w:rPr>
        <w:t xml:space="preserve">D1 - total amount of dividends to be paid by </w:t>
      </w:r>
      <w:proofErr w:type="spellStart"/>
      <w:proofErr w:type="gramStart"/>
      <w:r w:rsidRPr="00F014AE">
        <w:rPr>
          <w:i/>
        </w:rPr>
        <w:t>russian</w:t>
      </w:r>
      <w:proofErr w:type="spellEnd"/>
      <w:proofErr w:type="gramEnd"/>
      <w:r w:rsidRPr="00F014AE">
        <w:rPr>
          <w:i/>
        </w:rPr>
        <w:t xml:space="preserve"> issuing company in </w:t>
      </w:r>
      <w:proofErr w:type="spellStart"/>
      <w:r w:rsidRPr="00F014AE">
        <w:rPr>
          <w:i/>
        </w:rPr>
        <w:t>favour</w:t>
      </w:r>
      <w:proofErr w:type="spellEnd"/>
      <w:r w:rsidRPr="00F014AE">
        <w:rPr>
          <w:i/>
        </w:rPr>
        <w:t xml:space="preserve"> of all receivers</w:t>
      </w:r>
    </w:p>
    <w:p w:rsidR="00F014AE" w:rsidRPr="00F014AE" w:rsidRDefault="00F014AE" w:rsidP="00F014AE">
      <w:pPr>
        <w:spacing w:after="0"/>
        <w:rPr>
          <w:i/>
        </w:rPr>
      </w:pPr>
      <w:r w:rsidRPr="00F014AE">
        <w:rPr>
          <w:i/>
        </w:rPr>
        <w:t xml:space="preserve">D2 - the total amount of dividends received by the </w:t>
      </w:r>
      <w:proofErr w:type="spellStart"/>
      <w:proofErr w:type="gramStart"/>
      <w:r w:rsidRPr="00F014AE">
        <w:rPr>
          <w:i/>
        </w:rPr>
        <w:t>russian</w:t>
      </w:r>
      <w:proofErr w:type="spellEnd"/>
      <w:proofErr w:type="gramEnd"/>
      <w:r w:rsidRPr="00F014AE">
        <w:rPr>
          <w:i/>
        </w:rPr>
        <w:t xml:space="preserve"> issuing company paying dividends during the current tax period</w:t>
      </w:r>
    </w:p>
    <w:p w:rsidR="00F014AE" w:rsidRPr="00F014AE" w:rsidRDefault="00F014AE" w:rsidP="00F014AE">
      <w:pPr>
        <w:spacing w:after="0"/>
        <w:rPr>
          <w:i/>
        </w:rPr>
      </w:pPr>
      <w:r w:rsidRPr="00F014AE">
        <w:rPr>
          <w:i/>
        </w:rPr>
        <w:t xml:space="preserve">As D2 is used in </w:t>
      </w:r>
      <w:proofErr w:type="gramStart"/>
      <w:r w:rsidRPr="00F014AE">
        <w:rPr>
          <w:i/>
        </w:rPr>
        <w:t>these calculation</w:t>
      </w:r>
      <w:proofErr w:type="gramEnd"/>
      <w:r w:rsidRPr="00F014AE">
        <w:rPr>
          <w:i/>
        </w:rPr>
        <w:t xml:space="preserve"> twice it is not possible to give only result D1-D2</w:t>
      </w:r>
      <w:r>
        <w:rPr>
          <w:i/>
        </w:rPr>
        <w:t xml:space="preserve">. </w:t>
      </w:r>
      <w:r w:rsidRPr="00F014AE">
        <w:rPr>
          <w:i/>
        </w:rPr>
        <w:t xml:space="preserve">These two amounts re to be given </w:t>
      </w:r>
      <w:proofErr w:type="spellStart"/>
      <w:r w:rsidRPr="00F014AE">
        <w:rPr>
          <w:i/>
        </w:rPr>
        <w:t>separately.Currently</w:t>
      </w:r>
      <w:proofErr w:type="spellEnd"/>
      <w:r w:rsidRPr="00F014AE">
        <w:rPr>
          <w:i/>
        </w:rPr>
        <w:t xml:space="preserve"> the issuers may send this information as paper </w:t>
      </w:r>
      <w:r>
        <w:rPr>
          <w:i/>
        </w:rPr>
        <w:t xml:space="preserve">narrative letter in free format. </w:t>
      </w:r>
      <w:r w:rsidRPr="00F014AE">
        <w:rPr>
          <w:i/>
        </w:rPr>
        <w:t>In line with payment of dividends for year 2014 and according</w:t>
      </w:r>
      <w:proofErr w:type="gramStart"/>
      <w:r w:rsidRPr="00F014AE">
        <w:rPr>
          <w:i/>
        </w:rPr>
        <w:t>  Article</w:t>
      </w:r>
      <w:proofErr w:type="gramEnd"/>
      <w:r w:rsidRPr="00F014AE">
        <w:rPr>
          <w:i/>
        </w:rPr>
        <w:t xml:space="preserve"> 275 of Tax Code please be informed about the ratios to be used for tax calculation</w:t>
      </w:r>
    </w:p>
    <w:p w:rsidR="00F014AE" w:rsidRPr="00F014AE" w:rsidRDefault="00F014AE" w:rsidP="00F014AE">
      <w:pPr>
        <w:spacing w:after="0"/>
        <w:ind w:firstLine="709"/>
        <w:jc w:val="both"/>
        <w:rPr>
          <w:i/>
          <w:iCs/>
        </w:rPr>
      </w:pPr>
      <w:r w:rsidRPr="00F014AE">
        <w:rPr>
          <w:i/>
          <w:iCs/>
        </w:rPr>
        <w:t xml:space="preserve">                </w:t>
      </w:r>
      <w:r w:rsidRPr="00F014AE">
        <w:rPr>
          <w:i/>
          <w:iCs/>
          <w:lang w:val="ru-RU"/>
        </w:rPr>
        <w:t>Д</w:t>
      </w:r>
      <w:r w:rsidRPr="00F014AE">
        <w:rPr>
          <w:i/>
          <w:iCs/>
        </w:rPr>
        <w:t xml:space="preserve">1= 123456,12; </w:t>
      </w:r>
    </w:p>
    <w:p w:rsidR="00F014AE" w:rsidRPr="00F014AE" w:rsidRDefault="00F014AE" w:rsidP="00F014AE">
      <w:pPr>
        <w:spacing w:after="0"/>
        <w:rPr>
          <w:i/>
          <w:iCs/>
        </w:rPr>
      </w:pPr>
      <w:r w:rsidRPr="00F014AE">
        <w:rPr>
          <w:i/>
          <w:iCs/>
        </w:rPr>
        <w:t xml:space="preserve">                               </w:t>
      </w:r>
      <w:r w:rsidRPr="00F014AE">
        <w:rPr>
          <w:i/>
          <w:iCs/>
          <w:lang w:val="ru-RU"/>
        </w:rPr>
        <w:t>Д</w:t>
      </w:r>
      <w:r w:rsidRPr="00F014AE">
        <w:rPr>
          <w:i/>
          <w:iCs/>
        </w:rPr>
        <w:t>2= 67890,16</w:t>
      </w:r>
    </w:p>
    <w:p w:rsidR="00F014AE" w:rsidRDefault="00F014AE" w:rsidP="00F014AE">
      <w:pPr>
        <w:spacing w:after="0"/>
        <w:rPr>
          <w:i/>
          <w:iCs/>
        </w:rPr>
      </w:pPr>
      <w:r w:rsidRPr="00F014AE">
        <w:rPr>
          <w:i/>
          <w:iCs/>
        </w:rPr>
        <w:t xml:space="preserve">So we need to include this information in SWIFT messages - is it possible to use for these purposes above mentioned field with qualifier TAXE using format J with DSS for Russia and codes </w:t>
      </w:r>
    </w:p>
    <w:p w:rsidR="00F014AE" w:rsidRPr="00F014AE" w:rsidRDefault="00F014AE" w:rsidP="00F014AE">
      <w:pPr>
        <w:spacing w:after="0"/>
        <w:rPr>
          <w:i/>
          <w:sz w:val="18"/>
          <w:szCs w:val="18"/>
        </w:rPr>
      </w:pPr>
      <w:r w:rsidRPr="00F014AE">
        <w:rPr>
          <w:i/>
          <w:sz w:val="18"/>
          <w:szCs w:val="18"/>
        </w:rPr>
        <w:t xml:space="preserve">Option </w:t>
      </w:r>
      <w:r>
        <w:rPr>
          <w:i/>
          <w:sz w:val="18"/>
          <w:szCs w:val="18"/>
        </w:rPr>
        <w:t>J:</w:t>
      </w:r>
      <w:r w:rsidRPr="00F014AE">
        <w:rPr>
          <w:i/>
          <w:sz w:val="18"/>
          <w:szCs w:val="18"/>
        </w:rPr>
        <w:t>  4!c/[8c]/4!c/3!a15d[/4!</w:t>
      </w:r>
      <w:r>
        <w:rPr>
          <w:i/>
          <w:sz w:val="18"/>
          <w:szCs w:val="18"/>
        </w:rPr>
        <w:t xml:space="preserve">c] </w:t>
      </w:r>
      <w:r w:rsidRPr="00F014AE">
        <w:rPr>
          <w:i/>
          <w:sz w:val="18"/>
          <w:szCs w:val="18"/>
        </w:rPr>
        <w:t xml:space="preserve"> (Qualifier)(Data So</w:t>
      </w:r>
      <w:r>
        <w:rPr>
          <w:i/>
          <w:sz w:val="18"/>
          <w:szCs w:val="18"/>
        </w:rPr>
        <w:t>urce Scheme)(Rate Type</w:t>
      </w:r>
      <w:r w:rsidRPr="00F014AE">
        <w:rPr>
          <w:i/>
          <w:sz w:val="18"/>
          <w:szCs w:val="18"/>
        </w:rPr>
        <w:t> Code)(Currency Code)(Amount)(Rate Status)</w:t>
      </w:r>
    </w:p>
    <w:p w:rsidR="00F014AE" w:rsidRPr="00F014AE" w:rsidRDefault="00F014AE" w:rsidP="00F014AE">
      <w:pPr>
        <w:spacing w:after="0"/>
        <w:rPr>
          <w:b/>
          <w:bCs/>
          <w:i/>
        </w:rPr>
      </w:pPr>
      <w:r w:rsidRPr="00F014AE">
        <w:rPr>
          <w:b/>
          <w:bCs/>
          <w:i/>
        </w:rPr>
        <w:t>Example</w:t>
      </w:r>
    </w:p>
    <w:p w:rsidR="00F014AE" w:rsidRPr="00F014AE" w:rsidRDefault="00F014AE" w:rsidP="00F014AE">
      <w:pPr>
        <w:spacing w:after="0"/>
        <w:rPr>
          <w:i/>
        </w:rPr>
      </w:pPr>
      <w:proofErr w:type="gramStart"/>
      <w:r w:rsidRPr="00F014AE">
        <w:rPr>
          <w:i/>
        </w:rPr>
        <w:t>:94J</w:t>
      </w:r>
      <w:proofErr w:type="gramEnd"/>
      <w:r w:rsidRPr="00F014AE">
        <w:rPr>
          <w:i/>
        </w:rPr>
        <w:t>::TAXE/RUNMPG/TXD1/RUB</w:t>
      </w:r>
      <w:r w:rsidRPr="00F014AE">
        <w:rPr>
          <w:i/>
          <w:iCs/>
        </w:rPr>
        <w:t>123456,12;</w:t>
      </w:r>
    </w:p>
    <w:p w:rsidR="00F014AE" w:rsidRPr="00F014AE" w:rsidRDefault="00F014AE" w:rsidP="00F014AE">
      <w:pPr>
        <w:spacing w:after="0"/>
        <w:rPr>
          <w:i/>
        </w:rPr>
      </w:pPr>
      <w:proofErr w:type="gramStart"/>
      <w:r w:rsidRPr="00F014AE">
        <w:rPr>
          <w:i/>
        </w:rPr>
        <w:t>:94J</w:t>
      </w:r>
      <w:proofErr w:type="gramEnd"/>
      <w:r w:rsidRPr="00F014AE">
        <w:rPr>
          <w:i/>
        </w:rPr>
        <w:t>::TAXE/RUNMPG/TXD2/RUB</w:t>
      </w:r>
      <w:r w:rsidRPr="00F014AE">
        <w:rPr>
          <w:i/>
          <w:iCs/>
        </w:rPr>
        <w:t>67890,16</w:t>
      </w:r>
    </w:p>
    <w:p w:rsidR="00F014AE" w:rsidRDefault="00F014AE" w:rsidP="00A45CCF">
      <w:pPr>
        <w:rPr>
          <w:bCs/>
        </w:rPr>
      </w:pPr>
    </w:p>
    <w:p w:rsidR="00A45CCF" w:rsidRDefault="00A45CCF" w:rsidP="00B4642F">
      <w:pPr>
        <w:pStyle w:val="Decisions"/>
      </w:pPr>
      <w:r w:rsidRPr="00482567">
        <w:rPr>
          <w:b/>
        </w:rPr>
        <w:t>Decision:</w:t>
      </w:r>
      <w:r w:rsidR="00B4642F">
        <w:rPr>
          <w:b/>
        </w:rPr>
        <w:t xml:space="preserve"> </w:t>
      </w:r>
      <w:r w:rsidRPr="00482567">
        <w:t>Refer the item to the Tax SG.</w:t>
      </w:r>
      <w:r w:rsidR="00B4642F">
        <w:t xml:space="preserve"> If some countries have some usage of the TAXE rate and wants to express it as a percentage, they can still submit a CR for SR2016.</w:t>
      </w:r>
    </w:p>
    <w:p w:rsidR="00B4642F" w:rsidRPr="00482567" w:rsidRDefault="00B4642F" w:rsidP="00B4642F">
      <w:pPr>
        <w:pStyle w:val="Decisions"/>
      </w:pPr>
    </w:p>
    <w:p w:rsidR="00977CF2" w:rsidRDefault="00977CF2" w:rsidP="00977CF2">
      <w:pPr>
        <w:pStyle w:val="Heading1"/>
      </w:pPr>
      <w:bookmarkStart w:id="19" w:name="_Toc411607490"/>
      <w:r w:rsidRPr="00977CF2">
        <w:t>MyStandards SG - DVCA MAND UG (Jacques)</w:t>
      </w:r>
      <w:bookmarkEnd w:id="19"/>
    </w:p>
    <w:p w:rsidR="00B4642F" w:rsidRPr="00B4642F" w:rsidRDefault="00B4642F" w:rsidP="00A45CCF">
      <w:pPr>
        <w:rPr>
          <w:bCs/>
        </w:rPr>
      </w:pPr>
      <w:r>
        <w:rPr>
          <w:bCs/>
        </w:rPr>
        <w:t xml:space="preserve">No feedback received from the NMPGs on the DVCA UG or on the principles document. </w:t>
      </w:r>
    </w:p>
    <w:p w:rsidR="00A45CCF" w:rsidRDefault="00B4642F" w:rsidP="00A45CCF">
      <w:pPr>
        <w:rPr>
          <w:bCs/>
        </w:rPr>
      </w:pPr>
      <w:r>
        <w:rPr>
          <w:bCs/>
        </w:rPr>
        <w:t>Some m</w:t>
      </w:r>
      <w:r w:rsidR="00A45CCF" w:rsidRPr="00B4642F">
        <w:rPr>
          <w:bCs/>
        </w:rPr>
        <w:t xml:space="preserve">embers </w:t>
      </w:r>
      <w:r>
        <w:rPr>
          <w:bCs/>
        </w:rPr>
        <w:t xml:space="preserve">mention that it is not possible </w:t>
      </w:r>
      <w:r w:rsidR="00A45CCF" w:rsidRPr="00B4642F">
        <w:rPr>
          <w:bCs/>
        </w:rPr>
        <w:t xml:space="preserve">to export from MyStandards </w:t>
      </w:r>
      <w:r>
        <w:rPr>
          <w:bCs/>
        </w:rPr>
        <w:t xml:space="preserve">the UG </w:t>
      </w:r>
      <w:r w:rsidR="00A45CCF" w:rsidRPr="00B4642F">
        <w:rPr>
          <w:bCs/>
        </w:rPr>
        <w:t xml:space="preserve">in Excel format, since they </w:t>
      </w:r>
      <w:r>
        <w:rPr>
          <w:bCs/>
        </w:rPr>
        <w:t>do not have the premium license. They think that this should be possible without it.</w:t>
      </w:r>
    </w:p>
    <w:p w:rsidR="00B4642F" w:rsidRPr="00B4642F" w:rsidRDefault="00B4642F" w:rsidP="00A45CCF">
      <w:pPr>
        <w:rPr>
          <w:bCs/>
        </w:rPr>
      </w:pPr>
      <w:r>
        <w:rPr>
          <w:bCs/>
        </w:rPr>
        <w:t>Jacques will investigate whether it would be possible to have a waiver for the SMPG.</w:t>
      </w:r>
    </w:p>
    <w:p w:rsidR="00B4642F" w:rsidRDefault="00D100D9" w:rsidP="00C0641A">
      <w:pPr>
        <w:pStyle w:val="Actions"/>
      </w:pPr>
      <w:r w:rsidRPr="00C0641A">
        <w:rPr>
          <w:b/>
          <w:u w:val="single"/>
        </w:rPr>
        <w:t>Action</w:t>
      </w:r>
      <w:r w:rsidR="00B4642F">
        <w:rPr>
          <w:b/>
          <w:u w:val="single"/>
        </w:rPr>
        <w:t>s</w:t>
      </w:r>
      <w:r w:rsidRPr="00C0641A">
        <w:t xml:space="preserve">: </w:t>
      </w:r>
    </w:p>
    <w:p w:rsidR="00D100D9" w:rsidRDefault="00C0641A" w:rsidP="00B4642F">
      <w:pPr>
        <w:pStyle w:val="Actions"/>
        <w:numPr>
          <w:ilvl w:val="0"/>
          <w:numId w:val="33"/>
        </w:numPr>
      </w:pPr>
      <w:r w:rsidRPr="00C0641A">
        <w:rPr>
          <w:u w:val="single"/>
        </w:rPr>
        <w:t>NMPGs</w:t>
      </w:r>
      <w:r w:rsidRPr="00C0641A">
        <w:t xml:space="preserve"> to provide feedback </w:t>
      </w:r>
      <w:r w:rsidR="00B4642F">
        <w:t xml:space="preserve">to Jacques </w:t>
      </w:r>
      <w:r w:rsidRPr="00C0641A">
        <w:t>on UG principles document for CA and on the DVCA MAND UG in</w:t>
      </w:r>
      <w:r>
        <w:t xml:space="preserve"> MyStandards</w:t>
      </w:r>
      <w:r w:rsidR="00B4642F">
        <w:t xml:space="preserve"> implementing those principles</w:t>
      </w:r>
      <w:r>
        <w:t>.</w:t>
      </w:r>
    </w:p>
    <w:p w:rsidR="00B4642F" w:rsidRDefault="00B4642F" w:rsidP="00B4642F">
      <w:pPr>
        <w:pStyle w:val="ListParagraph"/>
      </w:pPr>
      <w:r>
        <w:object w:dxaOrig="1531" w:dyaOrig="990">
          <v:shape id="_x0000_i1027" type="#_x0000_t75" style="width:76.5pt;height:49.5pt" o:ole="">
            <v:imagedata r:id="rId22" o:title=""/>
          </v:shape>
          <o:OLEObject Type="Embed" ProgID="Excel.Sheet.12" ShapeID="_x0000_i1027" DrawAspect="Icon" ObjectID="_1487488426" r:id="rId23"/>
        </w:object>
      </w:r>
    </w:p>
    <w:p w:rsidR="00B4642F" w:rsidRDefault="00B4642F" w:rsidP="00B4642F">
      <w:pPr>
        <w:pStyle w:val="ListParagraph"/>
      </w:pPr>
      <w:r>
        <w:t xml:space="preserve">The new DVCA UG (for SR2014) is available </w:t>
      </w:r>
      <w:hyperlink r:id="rId24" w:history="1">
        <w:r w:rsidRPr="0042765F">
          <w:rPr>
            <w:rStyle w:val="Hyperlink"/>
          </w:rPr>
          <w:t>here</w:t>
        </w:r>
      </w:hyperlink>
      <w:r>
        <w:t xml:space="preserve"> in MyStandards:  </w:t>
      </w:r>
      <w:hyperlink r:id="rId25" w:history="1">
        <w:r w:rsidRPr="001D765B">
          <w:rPr>
            <w:rStyle w:val="Hyperlink"/>
          </w:rPr>
          <w:t>https://www2.swift.com/mystandards/standardsPractices/mpContentRestrictions.xhtml?marketpractice=mp%2Fmt%2F_gVyW4BvvEeSa8pvxYg6VJQ%2F_talp8BvvEeSa8pvxYg6VJQ</w:t>
        </w:r>
      </w:hyperlink>
    </w:p>
    <w:p w:rsidR="00B4642F" w:rsidRDefault="00B4642F" w:rsidP="00B4642F">
      <w:pPr>
        <w:pStyle w:val="Actions"/>
        <w:numPr>
          <w:ilvl w:val="0"/>
          <w:numId w:val="33"/>
        </w:numPr>
      </w:pPr>
      <w:r>
        <w:rPr>
          <w:u w:val="single"/>
        </w:rPr>
        <w:t xml:space="preserve">Jacques </w:t>
      </w:r>
      <w:r>
        <w:t>to continue to develop as per the defined principles the UGs for the most common events.</w:t>
      </w:r>
    </w:p>
    <w:p w:rsidR="00B4642F" w:rsidRDefault="00B4642F" w:rsidP="00B4642F">
      <w:pPr>
        <w:pStyle w:val="Actions"/>
        <w:numPr>
          <w:ilvl w:val="0"/>
          <w:numId w:val="33"/>
        </w:numPr>
      </w:pPr>
      <w:r>
        <w:rPr>
          <w:u w:val="single"/>
        </w:rPr>
        <w:t xml:space="preserve">Jacques </w:t>
      </w:r>
      <w:r w:rsidRPr="00B4642F">
        <w:t>to</w:t>
      </w:r>
      <w:r w:rsidRPr="00BB04E7">
        <w:t xml:space="preserve"> investigate whether a waiver could be given to </w:t>
      </w:r>
      <w:r w:rsidR="00BB04E7">
        <w:t xml:space="preserve">the </w:t>
      </w:r>
      <w:r w:rsidRPr="00BB04E7">
        <w:t xml:space="preserve">SMPG </w:t>
      </w:r>
      <w:r w:rsidR="00BB04E7" w:rsidRPr="00BB04E7">
        <w:t xml:space="preserve">to be able to generate the Excel </w:t>
      </w:r>
      <w:r w:rsidR="00BB04E7">
        <w:t>format of the UGs.</w:t>
      </w:r>
    </w:p>
    <w:p w:rsidR="00977CF2" w:rsidRDefault="00977CF2" w:rsidP="00977CF2">
      <w:pPr>
        <w:pStyle w:val="Heading1"/>
        <w:rPr>
          <w:lang w:val="en-GB"/>
        </w:rPr>
      </w:pPr>
      <w:bookmarkStart w:id="20" w:name="_Toc411607491"/>
      <w:r w:rsidRPr="00977CF2">
        <w:rPr>
          <w:lang w:val="en-GB"/>
        </w:rPr>
        <w:lastRenderedPageBreak/>
        <w:t>Tax Subgroup Meeting progress Report (Jean-Pierre / Jyi-Chen / Bernard)</w:t>
      </w:r>
      <w:bookmarkEnd w:id="20"/>
    </w:p>
    <w:p w:rsidR="00A45CCF" w:rsidRPr="00BB04E7" w:rsidRDefault="00BB04E7" w:rsidP="00A45CCF">
      <w:pPr>
        <w:rPr>
          <w:bCs/>
        </w:rPr>
      </w:pPr>
      <w:r>
        <w:rPr>
          <w:bCs/>
        </w:rPr>
        <w:t>Regarding the withholding tax rate topic, the Canadian</w:t>
      </w:r>
      <w:r w:rsidR="00A45CCF" w:rsidRPr="00BB04E7">
        <w:rPr>
          <w:bCs/>
        </w:rPr>
        <w:t xml:space="preserve"> rep could not attend the </w:t>
      </w:r>
      <w:r>
        <w:rPr>
          <w:bCs/>
        </w:rPr>
        <w:t xml:space="preserve">last </w:t>
      </w:r>
      <w:r w:rsidR="00A45CCF" w:rsidRPr="00BB04E7">
        <w:rPr>
          <w:bCs/>
        </w:rPr>
        <w:t>SG calls, so Jyi-Chen and Jean</w:t>
      </w:r>
      <w:r>
        <w:rPr>
          <w:bCs/>
        </w:rPr>
        <w:t xml:space="preserve">-Pierre are following up with Canada off line and will present the results at the April meeting. </w:t>
      </w:r>
      <w:r w:rsidR="00A45CCF" w:rsidRPr="00BB04E7">
        <w:rPr>
          <w:bCs/>
        </w:rPr>
        <w:t xml:space="preserve"> </w:t>
      </w:r>
    </w:p>
    <w:p w:rsidR="00977CF2" w:rsidRPr="00A45CCF" w:rsidRDefault="00BB04E7" w:rsidP="00977CF2">
      <w:r>
        <w:rPr>
          <w:bCs/>
        </w:rPr>
        <w:t xml:space="preserve">Regarding the tax processing flow topic, a survey has been launched to get </w:t>
      </w:r>
      <w:r w:rsidR="00A45CCF" w:rsidRPr="00BB04E7">
        <w:rPr>
          <w:bCs/>
        </w:rPr>
        <w:t xml:space="preserve">feedback </w:t>
      </w:r>
      <w:r>
        <w:rPr>
          <w:bCs/>
        </w:rPr>
        <w:t>on the 2 existing scenario.</w:t>
      </w:r>
    </w:p>
    <w:p w:rsidR="00BB04E7" w:rsidRDefault="00BB04E7" w:rsidP="003F5C97">
      <w:pPr>
        <w:pStyle w:val="Brdtext"/>
        <w:rPr>
          <w:rFonts w:ascii="Arial" w:hAnsi="Arial" w:cs="Arial"/>
          <w:b/>
          <w:sz w:val="24"/>
          <w:szCs w:val="24"/>
          <w:u w:val="single"/>
          <w:lang w:val="en-US"/>
        </w:rPr>
      </w:pPr>
    </w:p>
    <w:p w:rsidR="00E74746" w:rsidRDefault="00E74746" w:rsidP="003F5C97">
      <w:pPr>
        <w:pStyle w:val="Brdtext"/>
        <w:rPr>
          <w:rFonts w:ascii="Arial" w:hAnsi="Arial" w:cs="Arial"/>
          <w:b/>
          <w:sz w:val="24"/>
          <w:szCs w:val="24"/>
          <w:u w:val="single"/>
          <w:lang w:val="en-GB"/>
        </w:rPr>
      </w:pPr>
      <w:r w:rsidRPr="003F5C97">
        <w:rPr>
          <w:rFonts w:ascii="Arial" w:hAnsi="Arial" w:cs="Arial"/>
          <w:b/>
          <w:sz w:val="24"/>
          <w:szCs w:val="24"/>
          <w:u w:val="single"/>
          <w:lang w:val="en-GB"/>
        </w:rPr>
        <w:t xml:space="preserve">Next </w:t>
      </w:r>
      <w:r w:rsidR="00891C13">
        <w:rPr>
          <w:rFonts w:ascii="Arial" w:hAnsi="Arial" w:cs="Arial"/>
          <w:b/>
          <w:sz w:val="24"/>
          <w:szCs w:val="24"/>
          <w:u w:val="single"/>
          <w:lang w:val="en-GB"/>
        </w:rPr>
        <w:t>Call / meeting</w:t>
      </w:r>
    </w:p>
    <w:p w:rsidR="00C0641A" w:rsidRDefault="00C0641A" w:rsidP="003F5C97">
      <w:pPr>
        <w:pStyle w:val="Brdtext"/>
        <w:rPr>
          <w:rFonts w:ascii="Arial" w:hAnsi="Arial" w:cs="Arial"/>
          <w:b/>
          <w:sz w:val="24"/>
          <w:szCs w:val="24"/>
          <w:u w:val="single"/>
          <w:lang w:val="en-GB"/>
        </w:rPr>
      </w:pPr>
    </w:p>
    <w:p w:rsidR="00EC1AE5" w:rsidRPr="003F5C97" w:rsidRDefault="005E45CF" w:rsidP="00C0641A">
      <w:pPr>
        <w:rPr>
          <w:lang w:val="en-GB"/>
        </w:rPr>
      </w:pPr>
      <w:proofErr w:type="gramStart"/>
      <w:r>
        <w:rPr>
          <w:lang w:val="en-GB"/>
        </w:rPr>
        <w:t>Tuesday</w:t>
      </w:r>
      <w:r w:rsidR="00C0641A">
        <w:rPr>
          <w:lang w:val="en-GB"/>
        </w:rPr>
        <w:t xml:space="preserve"> </w:t>
      </w:r>
      <w:r>
        <w:rPr>
          <w:b/>
          <w:lang w:val="en-GB"/>
        </w:rPr>
        <w:t>February</w:t>
      </w:r>
      <w:r w:rsidR="00C0641A" w:rsidRPr="00C0641A">
        <w:rPr>
          <w:b/>
          <w:lang w:val="en-GB"/>
        </w:rPr>
        <w:t xml:space="preserve"> 2</w:t>
      </w:r>
      <w:r>
        <w:rPr>
          <w:b/>
          <w:lang w:val="en-GB"/>
        </w:rPr>
        <w:t>4</w:t>
      </w:r>
      <w:r w:rsidR="00C0641A">
        <w:rPr>
          <w:lang w:val="en-GB"/>
        </w:rPr>
        <w:t xml:space="preserve"> from 2 to 4 PM CET.</w:t>
      </w:r>
      <w:proofErr w:type="gramEnd"/>
    </w:p>
    <w:p w:rsidR="00691E28" w:rsidRDefault="00691E28" w:rsidP="003F5C97">
      <w:pPr>
        <w:pStyle w:val="Actions"/>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6"/>
      <w:headerReference w:type="default" r:id="rId27"/>
      <w:headerReference w:type="first" r:id="rId2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73" w:rsidRDefault="00182F73" w:rsidP="00592037">
      <w:r>
        <w:separator/>
      </w:r>
    </w:p>
    <w:p w:rsidR="00182F73" w:rsidRDefault="00182F73" w:rsidP="00592037"/>
  </w:endnote>
  <w:endnote w:type="continuationSeparator" w:id="0">
    <w:p w:rsidR="00182F73" w:rsidRDefault="00182F73" w:rsidP="00592037">
      <w:r>
        <w:continuationSeparator/>
      </w:r>
    </w:p>
    <w:p w:rsidR="00182F73" w:rsidRDefault="00182F73"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73" w:rsidRDefault="00182F73"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2F73" w:rsidRDefault="00182F73"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73" w:rsidRPr="005733ED" w:rsidRDefault="00182F73"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B418B">
      <w:rPr>
        <w:noProof/>
        <w:sz w:val="16"/>
        <w:szCs w:val="16"/>
        <w:lang w:val="sv-SE"/>
      </w:rPr>
      <w:t>FINAL_mins SMPG CA telco_20150129_v1_0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8B418B">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C" w:rsidRDefault="00E3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73" w:rsidRDefault="00182F73" w:rsidP="00592037">
      <w:r>
        <w:separator/>
      </w:r>
    </w:p>
    <w:p w:rsidR="00182F73" w:rsidRDefault="00182F73" w:rsidP="00592037"/>
  </w:footnote>
  <w:footnote w:type="continuationSeparator" w:id="0">
    <w:p w:rsidR="00182F73" w:rsidRDefault="00182F73" w:rsidP="00592037">
      <w:r>
        <w:continuationSeparator/>
      </w:r>
    </w:p>
    <w:p w:rsidR="00182F73" w:rsidRDefault="00182F73"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C" w:rsidRDefault="00E3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C" w:rsidRDefault="00E35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C" w:rsidRDefault="00E351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73" w:rsidRDefault="00182F73"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73" w:rsidRPr="00284B42" w:rsidRDefault="008B418B"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87488427" r:id="rId2"/>
      </w:pict>
    </w:r>
    <w:r w:rsidR="00182F73" w:rsidRPr="00284B42">
      <w:rPr>
        <w:b/>
      </w:rPr>
      <w:t xml:space="preserve">CA SMPG </w:t>
    </w:r>
    <w:r w:rsidR="00182F73">
      <w:rPr>
        <w:b/>
      </w:rPr>
      <w:t>– 29 January 2015 Conference Call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73" w:rsidRDefault="00182F73"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multilevel"/>
    <w:tmpl w:val="49A49096"/>
    <w:lvl w:ilvl="0">
      <w:start w:val="1"/>
      <w:numFmt w:val="decimal"/>
      <w:pStyle w:val="Heading1"/>
      <w:lvlText w:val="%1."/>
      <w:lvlJc w:val="left"/>
      <w:pPr>
        <w:ind w:left="540" w:hanging="360"/>
      </w:pPr>
      <w:rPr>
        <w:rFonts w:hint="default"/>
        <w:lang w:val="en-GB"/>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2">
    <w:nsid w:val="12770796"/>
    <w:multiLevelType w:val="hybridMultilevel"/>
    <w:tmpl w:val="46F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155F6"/>
    <w:multiLevelType w:val="hybridMultilevel"/>
    <w:tmpl w:val="276E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F01F8C"/>
    <w:multiLevelType w:val="hybridMultilevel"/>
    <w:tmpl w:val="E9DC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39060B"/>
    <w:multiLevelType w:val="hybridMultilevel"/>
    <w:tmpl w:val="05B08D68"/>
    <w:lvl w:ilvl="0" w:tplc="B850653C">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nsid w:val="15701B62"/>
    <w:multiLevelType w:val="hybridMultilevel"/>
    <w:tmpl w:val="6C567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985452E"/>
    <w:multiLevelType w:val="hybridMultilevel"/>
    <w:tmpl w:val="7F9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A57A09"/>
    <w:multiLevelType w:val="hybridMultilevel"/>
    <w:tmpl w:val="EE6A11F4"/>
    <w:lvl w:ilvl="0" w:tplc="08090001">
      <w:start w:val="1"/>
      <w:numFmt w:val="bullet"/>
      <w:lvlText w:val=""/>
      <w:lvlJc w:val="left"/>
      <w:pPr>
        <w:ind w:left="720" w:hanging="360"/>
      </w:pPr>
      <w:rPr>
        <w:rFonts w:ascii="Symbol" w:hAnsi="Symbol" w:hint="default"/>
      </w:rPr>
    </w:lvl>
    <w:lvl w:ilvl="1" w:tplc="33022562">
      <w:start w:val="1"/>
      <w:numFmt w:val="bullet"/>
      <w:lvlText w:val=""/>
      <w:lvlJc w:val="left"/>
      <w:pPr>
        <w:ind w:left="1440" w:hanging="360"/>
      </w:pPr>
      <w:rPr>
        <w:rFonts w:ascii="Wingdings" w:eastAsia="Times New Roman" w:hAnsi="Wingdings" w:cs="Aria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40045"/>
    <w:multiLevelType w:val="hybridMultilevel"/>
    <w:tmpl w:val="FCE6BEA6"/>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37D075AB"/>
    <w:multiLevelType w:val="hybridMultilevel"/>
    <w:tmpl w:val="7D96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481D8A"/>
    <w:multiLevelType w:val="hybridMultilevel"/>
    <w:tmpl w:val="CF6ACE34"/>
    <w:lvl w:ilvl="0" w:tplc="99DADBA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4">
    <w:nsid w:val="3CB53C26"/>
    <w:multiLevelType w:val="hybridMultilevel"/>
    <w:tmpl w:val="7CDA3882"/>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C1505"/>
    <w:multiLevelType w:val="hybridMultilevel"/>
    <w:tmpl w:val="16E83A74"/>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D50E7"/>
    <w:multiLevelType w:val="hybridMultilevel"/>
    <w:tmpl w:val="E8801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DAF0A4B"/>
    <w:multiLevelType w:val="hybridMultilevel"/>
    <w:tmpl w:val="B93EF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C2007E"/>
    <w:multiLevelType w:val="hybridMultilevel"/>
    <w:tmpl w:val="1CD8F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9820A24"/>
    <w:multiLevelType w:val="multilevel"/>
    <w:tmpl w:val="7B6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C5F0399"/>
    <w:multiLevelType w:val="hybridMultilevel"/>
    <w:tmpl w:val="139C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DE392A"/>
    <w:multiLevelType w:val="hybridMultilevel"/>
    <w:tmpl w:val="8A4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BF621D"/>
    <w:multiLevelType w:val="hybridMultilevel"/>
    <w:tmpl w:val="8F7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D7F658E"/>
    <w:multiLevelType w:val="hybridMultilevel"/>
    <w:tmpl w:val="9FC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22C04"/>
    <w:multiLevelType w:val="hybridMultilevel"/>
    <w:tmpl w:val="F902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0415B0"/>
    <w:multiLevelType w:val="hybridMultilevel"/>
    <w:tmpl w:val="59543F06"/>
    <w:lvl w:ilvl="0" w:tplc="C3B475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80551"/>
    <w:multiLevelType w:val="hybridMultilevel"/>
    <w:tmpl w:val="2856E5BA"/>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04DE1"/>
    <w:multiLevelType w:val="hybridMultilevel"/>
    <w:tmpl w:val="2B38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8"/>
  </w:num>
  <w:num w:numId="5">
    <w:abstractNumId w:val="1"/>
  </w:num>
  <w:num w:numId="6">
    <w:abstractNumId w:val="26"/>
  </w:num>
  <w:num w:numId="7">
    <w:abstractNumId w:val="23"/>
  </w:num>
  <w:num w:numId="8">
    <w:abstractNumId w:val="18"/>
  </w:num>
  <w:num w:numId="9">
    <w:abstractNumId w:val="27"/>
  </w:num>
  <w:num w:numId="10">
    <w:abstractNumId w:val="16"/>
  </w:num>
  <w:num w:numId="11">
    <w:abstractNumId w:val="17"/>
  </w:num>
  <w:num w:numId="12">
    <w:abstractNumId w:val="9"/>
  </w:num>
  <w:num w:numId="13">
    <w:abstractNumId w:val="14"/>
  </w:num>
  <w:num w:numId="14">
    <w:abstractNumId w:val="12"/>
  </w:num>
  <w:num w:numId="15">
    <w:abstractNumId w:val="32"/>
  </w:num>
  <w:num w:numId="16">
    <w:abstractNumId w:val="7"/>
  </w:num>
  <w:num w:numId="17">
    <w:abstractNumId w:val="28"/>
  </w:num>
  <w:num w:numId="18">
    <w:abstractNumId w:val="24"/>
  </w:num>
  <w:num w:numId="19">
    <w:abstractNumId w:val="2"/>
  </w:num>
  <w:num w:numId="20">
    <w:abstractNumId w:val="11"/>
  </w:num>
  <w:num w:numId="21">
    <w:abstractNumId w:val="20"/>
  </w:num>
  <w:num w:numId="22">
    <w:abstractNumId w:val="25"/>
  </w:num>
  <w:num w:numId="23">
    <w:abstractNumId w:val="10"/>
  </w:num>
  <w:num w:numId="24">
    <w:abstractNumId w:val="31"/>
  </w:num>
  <w:num w:numId="25">
    <w:abstractNumId w:val="15"/>
  </w:num>
  <w:num w:numId="26">
    <w:abstractNumId w:val="19"/>
  </w:num>
  <w:num w:numId="27">
    <w:abstractNumId w:val="30"/>
  </w:num>
  <w:num w:numId="28">
    <w:abstractNumId w:val="3"/>
  </w:num>
  <w:num w:numId="29">
    <w:abstractNumId w:val="29"/>
  </w:num>
  <w:num w:numId="30">
    <w:abstractNumId w:val="4"/>
  </w:num>
  <w:num w:numId="31">
    <w:abstractNumId w:val="6"/>
  </w:num>
  <w:num w:numId="32">
    <w:abstractNumId w:val="5"/>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1E20"/>
    <w:rsid w:val="00012209"/>
    <w:rsid w:val="000148DE"/>
    <w:rsid w:val="000152DC"/>
    <w:rsid w:val="000157C2"/>
    <w:rsid w:val="00015AA5"/>
    <w:rsid w:val="00015F15"/>
    <w:rsid w:val="00015F31"/>
    <w:rsid w:val="00015FFC"/>
    <w:rsid w:val="00017532"/>
    <w:rsid w:val="0001783E"/>
    <w:rsid w:val="00017BB6"/>
    <w:rsid w:val="00022A8A"/>
    <w:rsid w:val="000238B1"/>
    <w:rsid w:val="00023C98"/>
    <w:rsid w:val="00023D5B"/>
    <w:rsid w:val="000249A5"/>
    <w:rsid w:val="000250CC"/>
    <w:rsid w:val="000265A9"/>
    <w:rsid w:val="00027143"/>
    <w:rsid w:val="00027503"/>
    <w:rsid w:val="00030760"/>
    <w:rsid w:val="00030CC6"/>
    <w:rsid w:val="00031CEB"/>
    <w:rsid w:val="00032F97"/>
    <w:rsid w:val="0003340C"/>
    <w:rsid w:val="00034226"/>
    <w:rsid w:val="00034669"/>
    <w:rsid w:val="000357FF"/>
    <w:rsid w:val="00037351"/>
    <w:rsid w:val="000415FC"/>
    <w:rsid w:val="00041A43"/>
    <w:rsid w:val="0004371B"/>
    <w:rsid w:val="00043D75"/>
    <w:rsid w:val="00044AD0"/>
    <w:rsid w:val="00044F93"/>
    <w:rsid w:val="00045152"/>
    <w:rsid w:val="00046B58"/>
    <w:rsid w:val="00046E03"/>
    <w:rsid w:val="00047EB2"/>
    <w:rsid w:val="0005167F"/>
    <w:rsid w:val="00052FE4"/>
    <w:rsid w:val="0005309A"/>
    <w:rsid w:val="000530AA"/>
    <w:rsid w:val="000552E8"/>
    <w:rsid w:val="0005604D"/>
    <w:rsid w:val="00056990"/>
    <w:rsid w:val="00057A3B"/>
    <w:rsid w:val="00057AD3"/>
    <w:rsid w:val="00057B4E"/>
    <w:rsid w:val="00057B5D"/>
    <w:rsid w:val="00057BC6"/>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2F50"/>
    <w:rsid w:val="0009483B"/>
    <w:rsid w:val="00095B6F"/>
    <w:rsid w:val="00096171"/>
    <w:rsid w:val="0009689B"/>
    <w:rsid w:val="00096CBE"/>
    <w:rsid w:val="0009700A"/>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0053"/>
    <w:rsid w:val="000B119F"/>
    <w:rsid w:val="000B1811"/>
    <w:rsid w:val="000B1929"/>
    <w:rsid w:val="000B1C6C"/>
    <w:rsid w:val="000B4025"/>
    <w:rsid w:val="000B557A"/>
    <w:rsid w:val="000B55F8"/>
    <w:rsid w:val="000B5831"/>
    <w:rsid w:val="000B5DFD"/>
    <w:rsid w:val="000B7094"/>
    <w:rsid w:val="000B70C1"/>
    <w:rsid w:val="000C0868"/>
    <w:rsid w:val="000C103C"/>
    <w:rsid w:val="000C15E7"/>
    <w:rsid w:val="000C29FB"/>
    <w:rsid w:val="000C2BC3"/>
    <w:rsid w:val="000C5021"/>
    <w:rsid w:val="000C5A2C"/>
    <w:rsid w:val="000D0384"/>
    <w:rsid w:val="000D04FB"/>
    <w:rsid w:val="000D0E38"/>
    <w:rsid w:val="000D1EB3"/>
    <w:rsid w:val="000D3E94"/>
    <w:rsid w:val="000D46A6"/>
    <w:rsid w:val="000D493E"/>
    <w:rsid w:val="000D4C85"/>
    <w:rsid w:val="000D59FE"/>
    <w:rsid w:val="000D5B98"/>
    <w:rsid w:val="000D79E6"/>
    <w:rsid w:val="000D7A8E"/>
    <w:rsid w:val="000D7B6D"/>
    <w:rsid w:val="000D7D63"/>
    <w:rsid w:val="000E0ADE"/>
    <w:rsid w:val="000E20CE"/>
    <w:rsid w:val="000E21CE"/>
    <w:rsid w:val="000E2A55"/>
    <w:rsid w:val="000E2F7A"/>
    <w:rsid w:val="000E4C23"/>
    <w:rsid w:val="000E5503"/>
    <w:rsid w:val="000E5ACC"/>
    <w:rsid w:val="000E60EC"/>
    <w:rsid w:val="000E6687"/>
    <w:rsid w:val="000E797B"/>
    <w:rsid w:val="000E7A30"/>
    <w:rsid w:val="000E7D6F"/>
    <w:rsid w:val="000F07A5"/>
    <w:rsid w:val="000F46BA"/>
    <w:rsid w:val="000F4705"/>
    <w:rsid w:val="000F5DCF"/>
    <w:rsid w:val="001006E9"/>
    <w:rsid w:val="0010148B"/>
    <w:rsid w:val="00101E0D"/>
    <w:rsid w:val="001021B7"/>
    <w:rsid w:val="00104342"/>
    <w:rsid w:val="00104E0B"/>
    <w:rsid w:val="0010595F"/>
    <w:rsid w:val="00105EEA"/>
    <w:rsid w:val="00106021"/>
    <w:rsid w:val="00106FD4"/>
    <w:rsid w:val="00107248"/>
    <w:rsid w:val="0011018D"/>
    <w:rsid w:val="00111422"/>
    <w:rsid w:val="0011187D"/>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10D"/>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06D"/>
    <w:rsid w:val="0015716F"/>
    <w:rsid w:val="00157457"/>
    <w:rsid w:val="001577B5"/>
    <w:rsid w:val="001607A3"/>
    <w:rsid w:val="00160901"/>
    <w:rsid w:val="001614CA"/>
    <w:rsid w:val="00161E86"/>
    <w:rsid w:val="001630BD"/>
    <w:rsid w:val="00163EB9"/>
    <w:rsid w:val="001646E6"/>
    <w:rsid w:val="001661A6"/>
    <w:rsid w:val="001676C8"/>
    <w:rsid w:val="00167ADC"/>
    <w:rsid w:val="001712B1"/>
    <w:rsid w:val="0017231B"/>
    <w:rsid w:val="0017306F"/>
    <w:rsid w:val="001753F9"/>
    <w:rsid w:val="001803DE"/>
    <w:rsid w:val="00182F73"/>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2D4F"/>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0B8E"/>
    <w:rsid w:val="00211C67"/>
    <w:rsid w:val="002127BA"/>
    <w:rsid w:val="002129D0"/>
    <w:rsid w:val="00212BFF"/>
    <w:rsid w:val="002131AF"/>
    <w:rsid w:val="00214473"/>
    <w:rsid w:val="0021532F"/>
    <w:rsid w:val="00215780"/>
    <w:rsid w:val="00216A0C"/>
    <w:rsid w:val="00217002"/>
    <w:rsid w:val="002178B6"/>
    <w:rsid w:val="00217944"/>
    <w:rsid w:val="002200DE"/>
    <w:rsid w:val="002200F0"/>
    <w:rsid w:val="0022013D"/>
    <w:rsid w:val="00220ED0"/>
    <w:rsid w:val="00220F3C"/>
    <w:rsid w:val="00221837"/>
    <w:rsid w:val="00221B52"/>
    <w:rsid w:val="00222412"/>
    <w:rsid w:val="002251B0"/>
    <w:rsid w:val="00226A54"/>
    <w:rsid w:val="0022784C"/>
    <w:rsid w:val="00230996"/>
    <w:rsid w:val="00230BC8"/>
    <w:rsid w:val="0023157A"/>
    <w:rsid w:val="00231B7C"/>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C45"/>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138"/>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51A1"/>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2803"/>
    <w:rsid w:val="002E39DA"/>
    <w:rsid w:val="002E44F0"/>
    <w:rsid w:val="002E4F7B"/>
    <w:rsid w:val="002E5116"/>
    <w:rsid w:val="002F0EA9"/>
    <w:rsid w:val="002F1879"/>
    <w:rsid w:val="002F18DE"/>
    <w:rsid w:val="002F247D"/>
    <w:rsid w:val="002F35CF"/>
    <w:rsid w:val="002F3775"/>
    <w:rsid w:val="002F434C"/>
    <w:rsid w:val="002F7332"/>
    <w:rsid w:val="002F79AF"/>
    <w:rsid w:val="00303728"/>
    <w:rsid w:val="0030375D"/>
    <w:rsid w:val="00303C72"/>
    <w:rsid w:val="003040F8"/>
    <w:rsid w:val="00304516"/>
    <w:rsid w:val="00305B81"/>
    <w:rsid w:val="00305BD1"/>
    <w:rsid w:val="0031119F"/>
    <w:rsid w:val="003119EC"/>
    <w:rsid w:val="00312E97"/>
    <w:rsid w:val="00313942"/>
    <w:rsid w:val="00315877"/>
    <w:rsid w:val="003158F8"/>
    <w:rsid w:val="00315F00"/>
    <w:rsid w:val="0032197A"/>
    <w:rsid w:val="00321F52"/>
    <w:rsid w:val="00322089"/>
    <w:rsid w:val="0032242A"/>
    <w:rsid w:val="00322A05"/>
    <w:rsid w:val="00322BE1"/>
    <w:rsid w:val="00324805"/>
    <w:rsid w:val="0032483E"/>
    <w:rsid w:val="00324CB5"/>
    <w:rsid w:val="003261CF"/>
    <w:rsid w:val="00326E00"/>
    <w:rsid w:val="00327516"/>
    <w:rsid w:val="00327C15"/>
    <w:rsid w:val="00330A55"/>
    <w:rsid w:val="00330C7E"/>
    <w:rsid w:val="00331522"/>
    <w:rsid w:val="00332F91"/>
    <w:rsid w:val="00333A87"/>
    <w:rsid w:val="003345B8"/>
    <w:rsid w:val="003360F9"/>
    <w:rsid w:val="003379DC"/>
    <w:rsid w:val="003405FF"/>
    <w:rsid w:val="00340788"/>
    <w:rsid w:val="003419F8"/>
    <w:rsid w:val="0034207E"/>
    <w:rsid w:val="003429B6"/>
    <w:rsid w:val="003439BE"/>
    <w:rsid w:val="00345586"/>
    <w:rsid w:val="00346733"/>
    <w:rsid w:val="00346AA9"/>
    <w:rsid w:val="00346AE5"/>
    <w:rsid w:val="003524FD"/>
    <w:rsid w:val="003525AE"/>
    <w:rsid w:val="00353595"/>
    <w:rsid w:val="0035393B"/>
    <w:rsid w:val="0035412E"/>
    <w:rsid w:val="00354717"/>
    <w:rsid w:val="003549AC"/>
    <w:rsid w:val="0035517E"/>
    <w:rsid w:val="003559F3"/>
    <w:rsid w:val="00355BB4"/>
    <w:rsid w:val="003562A2"/>
    <w:rsid w:val="003569DA"/>
    <w:rsid w:val="003611AC"/>
    <w:rsid w:val="00361484"/>
    <w:rsid w:val="00363C0E"/>
    <w:rsid w:val="0036406C"/>
    <w:rsid w:val="003656AB"/>
    <w:rsid w:val="003657AB"/>
    <w:rsid w:val="003667E0"/>
    <w:rsid w:val="00366FEC"/>
    <w:rsid w:val="003700E7"/>
    <w:rsid w:val="0037101D"/>
    <w:rsid w:val="00371B50"/>
    <w:rsid w:val="00371D8F"/>
    <w:rsid w:val="0037282A"/>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27A7"/>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590"/>
    <w:rsid w:val="003B46C6"/>
    <w:rsid w:val="003B4992"/>
    <w:rsid w:val="003B54B2"/>
    <w:rsid w:val="003B5D70"/>
    <w:rsid w:val="003B7A2F"/>
    <w:rsid w:val="003B7A76"/>
    <w:rsid w:val="003C142B"/>
    <w:rsid w:val="003C292A"/>
    <w:rsid w:val="003C3076"/>
    <w:rsid w:val="003C3419"/>
    <w:rsid w:val="003C414C"/>
    <w:rsid w:val="003C44DF"/>
    <w:rsid w:val="003C4F1E"/>
    <w:rsid w:val="003C599B"/>
    <w:rsid w:val="003C6487"/>
    <w:rsid w:val="003C762F"/>
    <w:rsid w:val="003D01B3"/>
    <w:rsid w:val="003D0D90"/>
    <w:rsid w:val="003D0F10"/>
    <w:rsid w:val="003D1B5C"/>
    <w:rsid w:val="003D2B29"/>
    <w:rsid w:val="003D2B4D"/>
    <w:rsid w:val="003D3B56"/>
    <w:rsid w:val="003D4D74"/>
    <w:rsid w:val="003D4D85"/>
    <w:rsid w:val="003D56C9"/>
    <w:rsid w:val="003D57EB"/>
    <w:rsid w:val="003E05AF"/>
    <w:rsid w:val="003E0A22"/>
    <w:rsid w:val="003E0ABF"/>
    <w:rsid w:val="003E23C3"/>
    <w:rsid w:val="003E458D"/>
    <w:rsid w:val="003E58A3"/>
    <w:rsid w:val="003E5EFD"/>
    <w:rsid w:val="003E6B0C"/>
    <w:rsid w:val="003E6F8C"/>
    <w:rsid w:val="003F0EE4"/>
    <w:rsid w:val="003F1217"/>
    <w:rsid w:val="003F1787"/>
    <w:rsid w:val="003F2BDB"/>
    <w:rsid w:val="003F5926"/>
    <w:rsid w:val="003F5C97"/>
    <w:rsid w:val="003F5CD3"/>
    <w:rsid w:val="003F79E6"/>
    <w:rsid w:val="0040048C"/>
    <w:rsid w:val="00400D44"/>
    <w:rsid w:val="0040244E"/>
    <w:rsid w:val="00403047"/>
    <w:rsid w:val="00403D4A"/>
    <w:rsid w:val="00404B24"/>
    <w:rsid w:val="00404C0C"/>
    <w:rsid w:val="00404FF3"/>
    <w:rsid w:val="00405217"/>
    <w:rsid w:val="004059D7"/>
    <w:rsid w:val="0040717B"/>
    <w:rsid w:val="004073B1"/>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2765F"/>
    <w:rsid w:val="00431A68"/>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B71"/>
    <w:rsid w:val="00450C00"/>
    <w:rsid w:val="00450EBE"/>
    <w:rsid w:val="00451AAA"/>
    <w:rsid w:val="004524AA"/>
    <w:rsid w:val="00454A63"/>
    <w:rsid w:val="00455291"/>
    <w:rsid w:val="00456BBD"/>
    <w:rsid w:val="00456E82"/>
    <w:rsid w:val="00457BF4"/>
    <w:rsid w:val="004656E5"/>
    <w:rsid w:val="00465D09"/>
    <w:rsid w:val="00465F68"/>
    <w:rsid w:val="00466275"/>
    <w:rsid w:val="0046643B"/>
    <w:rsid w:val="0046659B"/>
    <w:rsid w:val="004665CE"/>
    <w:rsid w:val="0046661C"/>
    <w:rsid w:val="00466EB0"/>
    <w:rsid w:val="004672F5"/>
    <w:rsid w:val="00467DC3"/>
    <w:rsid w:val="00467FE4"/>
    <w:rsid w:val="00471403"/>
    <w:rsid w:val="0047160D"/>
    <w:rsid w:val="00471EF9"/>
    <w:rsid w:val="004738C4"/>
    <w:rsid w:val="00474C09"/>
    <w:rsid w:val="00475B64"/>
    <w:rsid w:val="0047788F"/>
    <w:rsid w:val="004809B4"/>
    <w:rsid w:val="00480BDE"/>
    <w:rsid w:val="00480DE4"/>
    <w:rsid w:val="00480F54"/>
    <w:rsid w:val="004812E8"/>
    <w:rsid w:val="00481582"/>
    <w:rsid w:val="00482567"/>
    <w:rsid w:val="00482E4C"/>
    <w:rsid w:val="00483126"/>
    <w:rsid w:val="00483131"/>
    <w:rsid w:val="00484021"/>
    <w:rsid w:val="004861AE"/>
    <w:rsid w:val="00486DD6"/>
    <w:rsid w:val="00486E25"/>
    <w:rsid w:val="004879D9"/>
    <w:rsid w:val="00490FC6"/>
    <w:rsid w:val="004948DB"/>
    <w:rsid w:val="00494C4C"/>
    <w:rsid w:val="00496351"/>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1FE6"/>
    <w:rsid w:val="004B2026"/>
    <w:rsid w:val="004B2B96"/>
    <w:rsid w:val="004B2F86"/>
    <w:rsid w:val="004B376B"/>
    <w:rsid w:val="004B410C"/>
    <w:rsid w:val="004B449F"/>
    <w:rsid w:val="004B5017"/>
    <w:rsid w:val="004B5BBA"/>
    <w:rsid w:val="004B5DE4"/>
    <w:rsid w:val="004B68CC"/>
    <w:rsid w:val="004B69EF"/>
    <w:rsid w:val="004B74C6"/>
    <w:rsid w:val="004B7DFC"/>
    <w:rsid w:val="004B7E5A"/>
    <w:rsid w:val="004B7FE6"/>
    <w:rsid w:val="004C09AB"/>
    <w:rsid w:val="004C0D91"/>
    <w:rsid w:val="004C1D25"/>
    <w:rsid w:val="004C2196"/>
    <w:rsid w:val="004C2424"/>
    <w:rsid w:val="004C25BF"/>
    <w:rsid w:val="004C2926"/>
    <w:rsid w:val="004C3D78"/>
    <w:rsid w:val="004C3D9C"/>
    <w:rsid w:val="004C4A2E"/>
    <w:rsid w:val="004C4CE2"/>
    <w:rsid w:val="004C4DB3"/>
    <w:rsid w:val="004C4DFA"/>
    <w:rsid w:val="004C67DA"/>
    <w:rsid w:val="004C6BD1"/>
    <w:rsid w:val="004D04FF"/>
    <w:rsid w:val="004D0EDD"/>
    <w:rsid w:val="004D26FC"/>
    <w:rsid w:val="004D2C5C"/>
    <w:rsid w:val="004D2E16"/>
    <w:rsid w:val="004D31ED"/>
    <w:rsid w:val="004D4937"/>
    <w:rsid w:val="004D6EC6"/>
    <w:rsid w:val="004D77A7"/>
    <w:rsid w:val="004D7FA3"/>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665A"/>
    <w:rsid w:val="004F76FA"/>
    <w:rsid w:val="005023A2"/>
    <w:rsid w:val="005028FD"/>
    <w:rsid w:val="00502A36"/>
    <w:rsid w:val="00504B73"/>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3E88"/>
    <w:rsid w:val="00524137"/>
    <w:rsid w:val="0052413A"/>
    <w:rsid w:val="005266D5"/>
    <w:rsid w:val="0052689B"/>
    <w:rsid w:val="0052715F"/>
    <w:rsid w:val="00533061"/>
    <w:rsid w:val="00534622"/>
    <w:rsid w:val="00534F9F"/>
    <w:rsid w:val="0053546A"/>
    <w:rsid w:val="00535B35"/>
    <w:rsid w:val="00536C9B"/>
    <w:rsid w:val="00537F6B"/>
    <w:rsid w:val="0054022C"/>
    <w:rsid w:val="005405BF"/>
    <w:rsid w:val="0054102E"/>
    <w:rsid w:val="00541F76"/>
    <w:rsid w:val="00542E27"/>
    <w:rsid w:val="00543A08"/>
    <w:rsid w:val="00544027"/>
    <w:rsid w:val="005443DF"/>
    <w:rsid w:val="005453F8"/>
    <w:rsid w:val="005463D5"/>
    <w:rsid w:val="005467BF"/>
    <w:rsid w:val="00547137"/>
    <w:rsid w:val="00547A15"/>
    <w:rsid w:val="00547E78"/>
    <w:rsid w:val="0055015B"/>
    <w:rsid w:val="00550A45"/>
    <w:rsid w:val="00550DB3"/>
    <w:rsid w:val="00550DDB"/>
    <w:rsid w:val="00550ECE"/>
    <w:rsid w:val="0055138B"/>
    <w:rsid w:val="00551882"/>
    <w:rsid w:val="00551C03"/>
    <w:rsid w:val="00552A54"/>
    <w:rsid w:val="00553B62"/>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0199"/>
    <w:rsid w:val="00581CF6"/>
    <w:rsid w:val="00581D77"/>
    <w:rsid w:val="00582C6D"/>
    <w:rsid w:val="00583B21"/>
    <w:rsid w:val="00584BD4"/>
    <w:rsid w:val="005850FF"/>
    <w:rsid w:val="00585DE9"/>
    <w:rsid w:val="0058678E"/>
    <w:rsid w:val="00586807"/>
    <w:rsid w:val="005900B9"/>
    <w:rsid w:val="00590237"/>
    <w:rsid w:val="005902A7"/>
    <w:rsid w:val="00590E39"/>
    <w:rsid w:val="00591424"/>
    <w:rsid w:val="005917B7"/>
    <w:rsid w:val="005919BB"/>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4A8A"/>
    <w:rsid w:val="005A5198"/>
    <w:rsid w:val="005A58C3"/>
    <w:rsid w:val="005A5C30"/>
    <w:rsid w:val="005A79E1"/>
    <w:rsid w:val="005B0264"/>
    <w:rsid w:val="005B4768"/>
    <w:rsid w:val="005B5097"/>
    <w:rsid w:val="005B53BE"/>
    <w:rsid w:val="005C033A"/>
    <w:rsid w:val="005C066C"/>
    <w:rsid w:val="005C0760"/>
    <w:rsid w:val="005C2A8B"/>
    <w:rsid w:val="005C39DE"/>
    <w:rsid w:val="005C3E37"/>
    <w:rsid w:val="005C3FCB"/>
    <w:rsid w:val="005C410F"/>
    <w:rsid w:val="005C4DBC"/>
    <w:rsid w:val="005C54C3"/>
    <w:rsid w:val="005C5810"/>
    <w:rsid w:val="005C655D"/>
    <w:rsid w:val="005C7169"/>
    <w:rsid w:val="005C7F74"/>
    <w:rsid w:val="005D082A"/>
    <w:rsid w:val="005D1D53"/>
    <w:rsid w:val="005D495D"/>
    <w:rsid w:val="005D4A34"/>
    <w:rsid w:val="005E0B6F"/>
    <w:rsid w:val="005E0C08"/>
    <w:rsid w:val="005E2A81"/>
    <w:rsid w:val="005E337F"/>
    <w:rsid w:val="005E3B2D"/>
    <w:rsid w:val="005E45CF"/>
    <w:rsid w:val="005E4A0B"/>
    <w:rsid w:val="005E64E7"/>
    <w:rsid w:val="005E6846"/>
    <w:rsid w:val="005E6B80"/>
    <w:rsid w:val="005E74B2"/>
    <w:rsid w:val="005E7C94"/>
    <w:rsid w:val="005F08B0"/>
    <w:rsid w:val="005F1349"/>
    <w:rsid w:val="005F37C7"/>
    <w:rsid w:val="005F4089"/>
    <w:rsid w:val="005F4BB5"/>
    <w:rsid w:val="005F65D0"/>
    <w:rsid w:val="005F76A1"/>
    <w:rsid w:val="00601A99"/>
    <w:rsid w:val="00601B63"/>
    <w:rsid w:val="00602104"/>
    <w:rsid w:val="0060356E"/>
    <w:rsid w:val="006047A2"/>
    <w:rsid w:val="00604A14"/>
    <w:rsid w:val="00604BBF"/>
    <w:rsid w:val="00604CE5"/>
    <w:rsid w:val="006100A7"/>
    <w:rsid w:val="00610609"/>
    <w:rsid w:val="00610AC0"/>
    <w:rsid w:val="00610D81"/>
    <w:rsid w:val="006115B6"/>
    <w:rsid w:val="00612A33"/>
    <w:rsid w:val="00612AEA"/>
    <w:rsid w:val="00612C6C"/>
    <w:rsid w:val="006136A6"/>
    <w:rsid w:val="00613994"/>
    <w:rsid w:val="00613B4F"/>
    <w:rsid w:val="00615F4A"/>
    <w:rsid w:val="0061654D"/>
    <w:rsid w:val="00616FBA"/>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648C"/>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1828"/>
    <w:rsid w:val="006631D6"/>
    <w:rsid w:val="00663B2A"/>
    <w:rsid w:val="00663C8B"/>
    <w:rsid w:val="00664BC6"/>
    <w:rsid w:val="00665A6E"/>
    <w:rsid w:val="00665D03"/>
    <w:rsid w:val="00666C8D"/>
    <w:rsid w:val="00667717"/>
    <w:rsid w:val="0066790E"/>
    <w:rsid w:val="00667989"/>
    <w:rsid w:val="00671693"/>
    <w:rsid w:val="00672636"/>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201"/>
    <w:rsid w:val="006863FE"/>
    <w:rsid w:val="00686961"/>
    <w:rsid w:val="006877D0"/>
    <w:rsid w:val="00687ACB"/>
    <w:rsid w:val="006904E8"/>
    <w:rsid w:val="0069103E"/>
    <w:rsid w:val="0069126A"/>
    <w:rsid w:val="0069148C"/>
    <w:rsid w:val="00691E28"/>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3D5F"/>
    <w:rsid w:val="006A442B"/>
    <w:rsid w:val="006A4887"/>
    <w:rsid w:val="006A5087"/>
    <w:rsid w:val="006A73DE"/>
    <w:rsid w:val="006B13A7"/>
    <w:rsid w:val="006B2D15"/>
    <w:rsid w:val="006B448C"/>
    <w:rsid w:val="006B5372"/>
    <w:rsid w:val="006B5AC3"/>
    <w:rsid w:val="006B60FA"/>
    <w:rsid w:val="006B6596"/>
    <w:rsid w:val="006C002F"/>
    <w:rsid w:val="006C1A33"/>
    <w:rsid w:val="006C216A"/>
    <w:rsid w:val="006C299E"/>
    <w:rsid w:val="006C2ADA"/>
    <w:rsid w:val="006C4331"/>
    <w:rsid w:val="006C450B"/>
    <w:rsid w:val="006C5975"/>
    <w:rsid w:val="006C5C86"/>
    <w:rsid w:val="006C7749"/>
    <w:rsid w:val="006D0EC6"/>
    <w:rsid w:val="006D1C81"/>
    <w:rsid w:val="006D1DD6"/>
    <w:rsid w:val="006D1DE0"/>
    <w:rsid w:val="006D290F"/>
    <w:rsid w:val="006D2D08"/>
    <w:rsid w:val="006D35FA"/>
    <w:rsid w:val="006D3A23"/>
    <w:rsid w:val="006D4E80"/>
    <w:rsid w:val="006D59C9"/>
    <w:rsid w:val="006D59D0"/>
    <w:rsid w:val="006D666F"/>
    <w:rsid w:val="006D7688"/>
    <w:rsid w:val="006D7BE2"/>
    <w:rsid w:val="006E1767"/>
    <w:rsid w:val="006E1BB8"/>
    <w:rsid w:val="006E2339"/>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C78"/>
    <w:rsid w:val="0070379B"/>
    <w:rsid w:val="0070770C"/>
    <w:rsid w:val="007107F2"/>
    <w:rsid w:val="007114CE"/>
    <w:rsid w:val="00712934"/>
    <w:rsid w:val="007130F9"/>
    <w:rsid w:val="00713713"/>
    <w:rsid w:val="00713AC9"/>
    <w:rsid w:val="00715D9E"/>
    <w:rsid w:val="0071665F"/>
    <w:rsid w:val="007208B6"/>
    <w:rsid w:val="00722447"/>
    <w:rsid w:val="00724382"/>
    <w:rsid w:val="00725070"/>
    <w:rsid w:val="00725EDA"/>
    <w:rsid w:val="00726F6D"/>
    <w:rsid w:val="00727100"/>
    <w:rsid w:val="00730104"/>
    <w:rsid w:val="00730F3D"/>
    <w:rsid w:val="00730F5D"/>
    <w:rsid w:val="0073105B"/>
    <w:rsid w:val="007311A0"/>
    <w:rsid w:val="0073240B"/>
    <w:rsid w:val="00732F53"/>
    <w:rsid w:val="00733125"/>
    <w:rsid w:val="00733BD8"/>
    <w:rsid w:val="00734DE6"/>
    <w:rsid w:val="0073598B"/>
    <w:rsid w:val="007359F5"/>
    <w:rsid w:val="0073707E"/>
    <w:rsid w:val="007374E4"/>
    <w:rsid w:val="0073772C"/>
    <w:rsid w:val="00737BF1"/>
    <w:rsid w:val="0074191F"/>
    <w:rsid w:val="00741D4C"/>
    <w:rsid w:val="007431D5"/>
    <w:rsid w:val="00743759"/>
    <w:rsid w:val="0074399D"/>
    <w:rsid w:val="007444CA"/>
    <w:rsid w:val="00746488"/>
    <w:rsid w:val="00746C2E"/>
    <w:rsid w:val="00747CBC"/>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67F46"/>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448D"/>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234"/>
    <w:rsid w:val="007B7844"/>
    <w:rsid w:val="007B7BBA"/>
    <w:rsid w:val="007C037E"/>
    <w:rsid w:val="007C0797"/>
    <w:rsid w:val="007C092F"/>
    <w:rsid w:val="007C2A2E"/>
    <w:rsid w:val="007C30D3"/>
    <w:rsid w:val="007C3617"/>
    <w:rsid w:val="007C4752"/>
    <w:rsid w:val="007C5359"/>
    <w:rsid w:val="007C5C31"/>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59"/>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3A24"/>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0F28"/>
    <w:rsid w:val="00821516"/>
    <w:rsid w:val="00822653"/>
    <w:rsid w:val="0082301A"/>
    <w:rsid w:val="00823C36"/>
    <w:rsid w:val="0082601B"/>
    <w:rsid w:val="008269C1"/>
    <w:rsid w:val="00826A29"/>
    <w:rsid w:val="00827AC4"/>
    <w:rsid w:val="00830077"/>
    <w:rsid w:val="00830D90"/>
    <w:rsid w:val="00831676"/>
    <w:rsid w:val="008323B6"/>
    <w:rsid w:val="0083262E"/>
    <w:rsid w:val="008330D8"/>
    <w:rsid w:val="00834A4D"/>
    <w:rsid w:val="008350F9"/>
    <w:rsid w:val="008354AD"/>
    <w:rsid w:val="008365E2"/>
    <w:rsid w:val="00840569"/>
    <w:rsid w:val="008410A0"/>
    <w:rsid w:val="00841BEC"/>
    <w:rsid w:val="00842022"/>
    <w:rsid w:val="00842DB6"/>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D40"/>
    <w:rsid w:val="00873E0F"/>
    <w:rsid w:val="00875C2E"/>
    <w:rsid w:val="00875E99"/>
    <w:rsid w:val="00880051"/>
    <w:rsid w:val="0088093C"/>
    <w:rsid w:val="00880977"/>
    <w:rsid w:val="00881F16"/>
    <w:rsid w:val="0088277B"/>
    <w:rsid w:val="00882CA0"/>
    <w:rsid w:val="00882FB3"/>
    <w:rsid w:val="00882FBE"/>
    <w:rsid w:val="00883904"/>
    <w:rsid w:val="0088392C"/>
    <w:rsid w:val="0088496F"/>
    <w:rsid w:val="008860F3"/>
    <w:rsid w:val="0088650A"/>
    <w:rsid w:val="00886677"/>
    <w:rsid w:val="00890260"/>
    <w:rsid w:val="00890F1B"/>
    <w:rsid w:val="00891C13"/>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091"/>
    <w:rsid w:val="008B014F"/>
    <w:rsid w:val="008B0786"/>
    <w:rsid w:val="008B0D0A"/>
    <w:rsid w:val="008B0FD7"/>
    <w:rsid w:val="008B1ADB"/>
    <w:rsid w:val="008B1C4C"/>
    <w:rsid w:val="008B2018"/>
    <w:rsid w:val="008B2480"/>
    <w:rsid w:val="008B3630"/>
    <w:rsid w:val="008B418B"/>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5680"/>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14AB"/>
    <w:rsid w:val="00932A05"/>
    <w:rsid w:val="00932DA3"/>
    <w:rsid w:val="0093345E"/>
    <w:rsid w:val="00936A77"/>
    <w:rsid w:val="009370FE"/>
    <w:rsid w:val="00937498"/>
    <w:rsid w:val="00937A2A"/>
    <w:rsid w:val="009402E3"/>
    <w:rsid w:val="00940870"/>
    <w:rsid w:val="00941A95"/>
    <w:rsid w:val="00941E29"/>
    <w:rsid w:val="009427AE"/>
    <w:rsid w:val="009441F5"/>
    <w:rsid w:val="00944976"/>
    <w:rsid w:val="00945F80"/>
    <w:rsid w:val="009471C6"/>
    <w:rsid w:val="009504FC"/>
    <w:rsid w:val="00951975"/>
    <w:rsid w:val="00951AE1"/>
    <w:rsid w:val="0095244B"/>
    <w:rsid w:val="009529C3"/>
    <w:rsid w:val="00953943"/>
    <w:rsid w:val="0095397C"/>
    <w:rsid w:val="0095504E"/>
    <w:rsid w:val="009552B5"/>
    <w:rsid w:val="00956E2E"/>
    <w:rsid w:val="00956FC1"/>
    <w:rsid w:val="00957449"/>
    <w:rsid w:val="00960675"/>
    <w:rsid w:val="00961C6C"/>
    <w:rsid w:val="00961CB4"/>
    <w:rsid w:val="0096213C"/>
    <w:rsid w:val="00962701"/>
    <w:rsid w:val="009646C6"/>
    <w:rsid w:val="00964834"/>
    <w:rsid w:val="009660AE"/>
    <w:rsid w:val="00966710"/>
    <w:rsid w:val="00970323"/>
    <w:rsid w:val="00972373"/>
    <w:rsid w:val="009729A9"/>
    <w:rsid w:val="00973196"/>
    <w:rsid w:val="00973840"/>
    <w:rsid w:val="00975104"/>
    <w:rsid w:val="00975399"/>
    <w:rsid w:val="009756BB"/>
    <w:rsid w:val="00976C40"/>
    <w:rsid w:val="00976FBB"/>
    <w:rsid w:val="00977CF2"/>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5396"/>
    <w:rsid w:val="0099633D"/>
    <w:rsid w:val="00997182"/>
    <w:rsid w:val="0099768F"/>
    <w:rsid w:val="009A0AF8"/>
    <w:rsid w:val="009A2020"/>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78A"/>
    <w:rsid w:val="009E0D0B"/>
    <w:rsid w:val="009E1F2B"/>
    <w:rsid w:val="009E24BD"/>
    <w:rsid w:val="009E2A06"/>
    <w:rsid w:val="009E4332"/>
    <w:rsid w:val="009E464C"/>
    <w:rsid w:val="009E6BD8"/>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73CA"/>
    <w:rsid w:val="009F7F05"/>
    <w:rsid w:val="00A00A07"/>
    <w:rsid w:val="00A04605"/>
    <w:rsid w:val="00A04971"/>
    <w:rsid w:val="00A049AF"/>
    <w:rsid w:val="00A0635A"/>
    <w:rsid w:val="00A06482"/>
    <w:rsid w:val="00A06939"/>
    <w:rsid w:val="00A06EE5"/>
    <w:rsid w:val="00A07B34"/>
    <w:rsid w:val="00A10E27"/>
    <w:rsid w:val="00A11D42"/>
    <w:rsid w:val="00A12989"/>
    <w:rsid w:val="00A129A4"/>
    <w:rsid w:val="00A132A2"/>
    <w:rsid w:val="00A13549"/>
    <w:rsid w:val="00A15CC8"/>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5CCF"/>
    <w:rsid w:val="00A46158"/>
    <w:rsid w:val="00A47E9A"/>
    <w:rsid w:val="00A50D47"/>
    <w:rsid w:val="00A51A46"/>
    <w:rsid w:val="00A51A7F"/>
    <w:rsid w:val="00A525D0"/>
    <w:rsid w:val="00A53365"/>
    <w:rsid w:val="00A54710"/>
    <w:rsid w:val="00A54ED5"/>
    <w:rsid w:val="00A55A24"/>
    <w:rsid w:val="00A57665"/>
    <w:rsid w:val="00A60B90"/>
    <w:rsid w:val="00A60BBC"/>
    <w:rsid w:val="00A6182C"/>
    <w:rsid w:val="00A6271E"/>
    <w:rsid w:val="00A62ABD"/>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3031"/>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3075"/>
    <w:rsid w:val="00AA52DB"/>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B7E60"/>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3DEE"/>
    <w:rsid w:val="00AF4B75"/>
    <w:rsid w:val="00AF4BD8"/>
    <w:rsid w:val="00AF4C0B"/>
    <w:rsid w:val="00AF4D1D"/>
    <w:rsid w:val="00AF58FF"/>
    <w:rsid w:val="00AF5E71"/>
    <w:rsid w:val="00AF6404"/>
    <w:rsid w:val="00B0227F"/>
    <w:rsid w:val="00B02FFF"/>
    <w:rsid w:val="00B03B5C"/>
    <w:rsid w:val="00B04CD7"/>
    <w:rsid w:val="00B0526E"/>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64C8"/>
    <w:rsid w:val="00B3726A"/>
    <w:rsid w:val="00B40C8B"/>
    <w:rsid w:val="00B40ED7"/>
    <w:rsid w:val="00B41238"/>
    <w:rsid w:val="00B416F4"/>
    <w:rsid w:val="00B417B4"/>
    <w:rsid w:val="00B42519"/>
    <w:rsid w:val="00B4281A"/>
    <w:rsid w:val="00B443EF"/>
    <w:rsid w:val="00B44667"/>
    <w:rsid w:val="00B44871"/>
    <w:rsid w:val="00B45637"/>
    <w:rsid w:val="00B4642F"/>
    <w:rsid w:val="00B4667C"/>
    <w:rsid w:val="00B47358"/>
    <w:rsid w:val="00B50E51"/>
    <w:rsid w:val="00B51AF6"/>
    <w:rsid w:val="00B5246F"/>
    <w:rsid w:val="00B524B3"/>
    <w:rsid w:val="00B524CD"/>
    <w:rsid w:val="00B53556"/>
    <w:rsid w:val="00B54F80"/>
    <w:rsid w:val="00B579A1"/>
    <w:rsid w:val="00B6083C"/>
    <w:rsid w:val="00B613E7"/>
    <w:rsid w:val="00B61679"/>
    <w:rsid w:val="00B61AA7"/>
    <w:rsid w:val="00B61F76"/>
    <w:rsid w:val="00B62222"/>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4351"/>
    <w:rsid w:val="00B86478"/>
    <w:rsid w:val="00B8655C"/>
    <w:rsid w:val="00B87676"/>
    <w:rsid w:val="00B9125A"/>
    <w:rsid w:val="00B91AC1"/>
    <w:rsid w:val="00B9308F"/>
    <w:rsid w:val="00B9329E"/>
    <w:rsid w:val="00B9345E"/>
    <w:rsid w:val="00B9361F"/>
    <w:rsid w:val="00B93A7E"/>
    <w:rsid w:val="00B94457"/>
    <w:rsid w:val="00B97AB5"/>
    <w:rsid w:val="00BA2779"/>
    <w:rsid w:val="00BA285D"/>
    <w:rsid w:val="00BA4818"/>
    <w:rsid w:val="00BA53D1"/>
    <w:rsid w:val="00BA62D6"/>
    <w:rsid w:val="00BB04E7"/>
    <w:rsid w:val="00BB1E11"/>
    <w:rsid w:val="00BB2BAF"/>
    <w:rsid w:val="00BB3601"/>
    <w:rsid w:val="00BB376E"/>
    <w:rsid w:val="00BB3A09"/>
    <w:rsid w:val="00BB4508"/>
    <w:rsid w:val="00BB4696"/>
    <w:rsid w:val="00BB5A08"/>
    <w:rsid w:val="00BB5EFD"/>
    <w:rsid w:val="00BB6349"/>
    <w:rsid w:val="00BB670F"/>
    <w:rsid w:val="00BB7156"/>
    <w:rsid w:val="00BC1B9C"/>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3B2"/>
    <w:rsid w:val="00BF0462"/>
    <w:rsid w:val="00BF0D72"/>
    <w:rsid w:val="00BF3939"/>
    <w:rsid w:val="00BF6C43"/>
    <w:rsid w:val="00C0057E"/>
    <w:rsid w:val="00C01FCF"/>
    <w:rsid w:val="00C02036"/>
    <w:rsid w:val="00C02AE7"/>
    <w:rsid w:val="00C032FD"/>
    <w:rsid w:val="00C03904"/>
    <w:rsid w:val="00C050EC"/>
    <w:rsid w:val="00C0641A"/>
    <w:rsid w:val="00C06646"/>
    <w:rsid w:val="00C06B13"/>
    <w:rsid w:val="00C06EFA"/>
    <w:rsid w:val="00C10F02"/>
    <w:rsid w:val="00C11047"/>
    <w:rsid w:val="00C11FA9"/>
    <w:rsid w:val="00C1304D"/>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09AD"/>
    <w:rsid w:val="00C41889"/>
    <w:rsid w:val="00C43199"/>
    <w:rsid w:val="00C43BE4"/>
    <w:rsid w:val="00C43F72"/>
    <w:rsid w:val="00C44808"/>
    <w:rsid w:val="00C45226"/>
    <w:rsid w:val="00C45A37"/>
    <w:rsid w:val="00C45AC0"/>
    <w:rsid w:val="00C46006"/>
    <w:rsid w:val="00C461B6"/>
    <w:rsid w:val="00C50009"/>
    <w:rsid w:val="00C5015F"/>
    <w:rsid w:val="00C50C30"/>
    <w:rsid w:val="00C50E04"/>
    <w:rsid w:val="00C51BAB"/>
    <w:rsid w:val="00C524E7"/>
    <w:rsid w:val="00C5298F"/>
    <w:rsid w:val="00C52D77"/>
    <w:rsid w:val="00C53023"/>
    <w:rsid w:val="00C555A7"/>
    <w:rsid w:val="00C55C9D"/>
    <w:rsid w:val="00C56C40"/>
    <w:rsid w:val="00C57624"/>
    <w:rsid w:val="00C57AA7"/>
    <w:rsid w:val="00C61167"/>
    <w:rsid w:val="00C615ED"/>
    <w:rsid w:val="00C6295D"/>
    <w:rsid w:val="00C62B35"/>
    <w:rsid w:val="00C6576E"/>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68C4"/>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96AB7"/>
    <w:rsid w:val="00CA002C"/>
    <w:rsid w:val="00CA01D6"/>
    <w:rsid w:val="00CA06D1"/>
    <w:rsid w:val="00CA0C4D"/>
    <w:rsid w:val="00CA182B"/>
    <w:rsid w:val="00CA1917"/>
    <w:rsid w:val="00CA1CF7"/>
    <w:rsid w:val="00CA2C6F"/>
    <w:rsid w:val="00CA3AD6"/>
    <w:rsid w:val="00CA4339"/>
    <w:rsid w:val="00CA43E2"/>
    <w:rsid w:val="00CA5308"/>
    <w:rsid w:val="00CA58A2"/>
    <w:rsid w:val="00CA58E8"/>
    <w:rsid w:val="00CA7E4F"/>
    <w:rsid w:val="00CB2316"/>
    <w:rsid w:val="00CB3613"/>
    <w:rsid w:val="00CB383F"/>
    <w:rsid w:val="00CB43B0"/>
    <w:rsid w:val="00CB7E3B"/>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3AF"/>
    <w:rsid w:val="00CD1AFF"/>
    <w:rsid w:val="00CD3F95"/>
    <w:rsid w:val="00CD4CAD"/>
    <w:rsid w:val="00CD5021"/>
    <w:rsid w:val="00CD6DF1"/>
    <w:rsid w:val="00CE078B"/>
    <w:rsid w:val="00CE1CA8"/>
    <w:rsid w:val="00CE2177"/>
    <w:rsid w:val="00CE2B3D"/>
    <w:rsid w:val="00CE3C8B"/>
    <w:rsid w:val="00CE4500"/>
    <w:rsid w:val="00CE4A88"/>
    <w:rsid w:val="00CE68D2"/>
    <w:rsid w:val="00CE6A56"/>
    <w:rsid w:val="00CE7EFD"/>
    <w:rsid w:val="00CF08B4"/>
    <w:rsid w:val="00CF0A4F"/>
    <w:rsid w:val="00CF10C2"/>
    <w:rsid w:val="00CF1B8D"/>
    <w:rsid w:val="00CF3D5E"/>
    <w:rsid w:val="00CF4A10"/>
    <w:rsid w:val="00CF72AE"/>
    <w:rsid w:val="00CF73B4"/>
    <w:rsid w:val="00CF758D"/>
    <w:rsid w:val="00D0031E"/>
    <w:rsid w:val="00D00D84"/>
    <w:rsid w:val="00D015FD"/>
    <w:rsid w:val="00D021DA"/>
    <w:rsid w:val="00D0264E"/>
    <w:rsid w:val="00D02CE4"/>
    <w:rsid w:val="00D04FC7"/>
    <w:rsid w:val="00D051DE"/>
    <w:rsid w:val="00D056D6"/>
    <w:rsid w:val="00D06046"/>
    <w:rsid w:val="00D07072"/>
    <w:rsid w:val="00D07222"/>
    <w:rsid w:val="00D075AB"/>
    <w:rsid w:val="00D100D9"/>
    <w:rsid w:val="00D10871"/>
    <w:rsid w:val="00D10EC8"/>
    <w:rsid w:val="00D130A4"/>
    <w:rsid w:val="00D1455A"/>
    <w:rsid w:val="00D14680"/>
    <w:rsid w:val="00D14AB7"/>
    <w:rsid w:val="00D155B0"/>
    <w:rsid w:val="00D17DB8"/>
    <w:rsid w:val="00D21652"/>
    <w:rsid w:val="00D21B7D"/>
    <w:rsid w:val="00D223C8"/>
    <w:rsid w:val="00D225BD"/>
    <w:rsid w:val="00D25104"/>
    <w:rsid w:val="00D25538"/>
    <w:rsid w:val="00D25A2A"/>
    <w:rsid w:val="00D25E7E"/>
    <w:rsid w:val="00D26521"/>
    <w:rsid w:val="00D269D1"/>
    <w:rsid w:val="00D26FEA"/>
    <w:rsid w:val="00D271A6"/>
    <w:rsid w:val="00D27410"/>
    <w:rsid w:val="00D27715"/>
    <w:rsid w:val="00D30222"/>
    <w:rsid w:val="00D31BC8"/>
    <w:rsid w:val="00D32277"/>
    <w:rsid w:val="00D32471"/>
    <w:rsid w:val="00D32E26"/>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47803"/>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6785C"/>
    <w:rsid w:val="00D7076A"/>
    <w:rsid w:val="00D71CEB"/>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C9D"/>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0F7"/>
    <w:rsid w:val="00E104E0"/>
    <w:rsid w:val="00E109D2"/>
    <w:rsid w:val="00E12406"/>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18B"/>
    <w:rsid w:val="00E31A16"/>
    <w:rsid w:val="00E32023"/>
    <w:rsid w:val="00E32C81"/>
    <w:rsid w:val="00E33DAB"/>
    <w:rsid w:val="00E342D1"/>
    <w:rsid w:val="00E351EC"/>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4746"/>
    <w:rsid w:val="00E77299"/>
    <w:rsid w:val="00E80485"/>
    <w:rsid w:val="00E814E5"/>
    <w:rsid w:val="00E81A69"/>
    <w:rsid w:val="00E81D57"/>
    <w:rsid w:val="00E81D81"/>
    <w:rsid w:val="00E82007"/>
    <w:rsid w:val="00E82056"/>
    <w:rsid w:val="00E82181"/>
    <w:rsid w:val="00E82325"/>
    <w:rsid w:val="00E82790"/>
    <w:rsid w:val="00E83286"/>
    <w:rsid w:val="00E842DC"/>
    <w:rsid w:val="00E843B9"/>
    <w:rsid w:val="00E8461C"/>
    <w:rsid w:val="00E85094"/>
    <w:rsid w:val="00E85593"/>
    <w:rsid w:val="00E85A8C"/>
    <w:rsid w:val="00E86347"/>
    <w:rsid w:val="00E86556"/>
    <w:rsid w:val="00E87202"/>
    <w:rsid w:val="00E878D9"/>
    <w:rsid w:val="00E901D4"/>
    <w:rsid w:val="00E903A5"/>
    <w:rsid w:val="00E907FE"/>
    <w:rsid w:val="00E91225"/>
    <w:rsid w:val="00E9136D"/>
    <w:rsid w:val="00E92AA9"/>
    <w:rsid w:val="00E92CC6"/>
    <w:rsid w:val="00E92F26"/>
    <w:rsid w:val="00E935C4"/>
    <w:rsid w:val="00E93ABC"/>
    <w:rsid w:val="00E9581C"/>
    <w:rsid w:val="00E95B72"/>
    <w:rsid w:val="00E9756F"/>
    <w:rsid w:val="00E9790D"/>
    <w:rsid w:val="00EA13F6"/>
    <w:rsid w:val="00EA1A12"/>
    <w:rsid w:val="00EA20CA"/>
    <w:rsid w:val="00EA399D"/>
    <w:rsid w:val="00EA5AAA"/>
    <w:rsid w:val="00EA747E"/>
    <w:rsid w:val="00EA7601"/>
    <w:rsid w:val="00EA7C39"/>
    <w:rsid w:val="00EA7D8C"/>
    <w:rsid w:val="00EB01D6"/>
    <w:rsid w:val="00EB063F"/>
    <w:rsid w:val="00EB34FD"/>
    <w:rsid w:val="00EB4378"/>
    <w:rsid w:val="00EB44E7"/>
    <w:rsid w:val="00EB4797"/>
    <w:rsid w:val="00EB51C4"/>
    <w:rsid w:val="00EB63D3"/>
    <w:rsid w:val="00EB6DD3"/>
    <w:rsid w:val="00EC02A3"/>
    <w:rsid w:val="00EC15E6"/>
    <w:rsid w:val="00EC1AE5"/>
    <w:rsid w:val="00EC23CC"/>
    <w:rsid w:val="00EC23D0"/>
    <w:rsid w:val="00EC2BD3"/>
    <w:rsid w:val="00EC2D10"/>
    <w:rsid w:val="00EC2F4A"/>
    <w:rsid w:val="00EC3DAA"/>
    <w:rsid w:val="00EC508A"/>
    <w:rsid w:val="00EC570C"/>
    <w:rsid w:val="00EC5E73"/>
    <w:rsid w:val="00EC6C1F"/>
    <w:rsid w:val="00EC7D34"/>
    <w:rsid w:val="00ED15B5"/>
    <w:rsid w:val="00ED2F07"/>
    <w:rsid w:val="00ED30EE"/>
    <w:rsid w:val="00ED3466"/>
    <w:rsid w:val="00ED35A1"/>
    <w:rsid w:val="00ED7C2B"/>
    <w:rsid w:val="00EE005E"/>
    <w:rsid w:val="00EE045B"/>
    <w:rsid w:val="00EE0AC8"/>
    <w:rsid w:val="00EE1123"/>
    <w:rsid w:val="00EE16B7"/>
    <w:rsid w:val="00EE1ABF"/>
    <w:rsid w:val="00EE2914"/>
    <w:rsid w:val="00EE3180"/>
    <w:rsid w:val="00EE6B8B"/>
    <w:rsid w:val="00EE7143"/>
    <w:rsid w:val="00EE7899"/>
    <w:rsid w:val="00EE78FB"/>
    <w:rsid w:val="00EE7D21"/>
    <w:rsid w:val="00EF0E1E"/>
    <w:rsid w:val="00EF214B"/>
    <w:rsid w:val="00EF245D"/>
    <w:rsid w:val="00EF3A2D"/>
    <w:rsid w:val="00EF5101"/>
    <w:rsid w:val="00EF5D5E"/>
    <w:rsid w:val="00EF627A"/>
    <w:rsid w:val="00EF74B0"/>
    <w:rsid w:val="00EF7F4C"/>
    <w:rsid w:val="00F004B1"/>
    <w:rsid w:val="00F00515"/>
    <w:rsid w:val="00F014AE"/>
    <w:rsid w:val="00F01E63"/>
    <w:rsid w:val="00F02A22"/>
    <w:rsid w:val="00F02EAC"/>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3FF4"/>
    <w:rsid w:val="00F24CCA"/>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5E"/>
    <w:rsid w:val="00F42AEB"/>
    <w:rsid w:val="00F42F2A"/>
    <w:rsid w:val="00F44F8D"/>
    <w:rsid w:val="00F46651"/>
    <w:rsid w:val="00F4793F"/>
    <w:rsid w:val="00F47BEC"/>
    <w:rsid w:val="00F47E59"/>
    <w:rsid w:val="00F5034D"/>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691"/>
    <w:rsid w:val="00F627D2"/>
    <w:rsid w:val="00F628B6"/>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377E"/>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2254"/>
    <w:rsid w:val="00FB5506"/>
    <w:rsid w:val="00FC03DC"/>
    <w:rsid w:val="00FC07A8"/>
    <w:rsid w:val="00FC1070"/>
    <w:rsid w:val="00FC13BA"/>
    <w:rsid w:val="00FC2078"/>
    <w:rsid w:val="00FC20CC"/>
    <w:rsid w:val="00FC2F28"/>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7A2"/>
    <w:rsid w:val="00FE5F32"/>
    <w:rsid w:val="00FE70A2"/>
    <w:rsid w:val="00FE7BF6"/>
    <w:rsid w:val="00FF0069"/>
    <w:rsid w:val="00FF0B21"/>
    <w:rsid w:val="00FF0B77"/>
    <w:rsid w:val="00FF1B67"/>
    <w:rsid w:val="00FF2320"/>
    <w:rsid w:val="00FF2CFA"/>
    <w:rsid w:val="00FF63BE"/>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23602364">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173728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4252783">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32207505">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1207950">
      <w:bodyDiv w:val="1"/>
      <w:marLeft w:val="0"/>
      <w:marRight w:val="0"/>
      <w:marTop w:val="0"/>
      <w:marBottom w:val="0"/>
      <w:divBdr>
        <w:top w:val="none" w:sz="0" w:space="0" w:color="auto"/>
        <w:left w:val="none" w:sz="0" w:space="0" w:color="auto"/>
        <w:bottom w:val="none" w:sz="0" w:space="0" w:color="auto"/>
        <w:right w:val="none" w:sz="0" w:space="0" w:color="auto"/>
      </w:divBdr>
    </w:div>
    <w:div w:id="277956733">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289283231">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2363257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62443817">
      <w:bodyDiv w:val="1"/>
      <w:marLeft w:val="0"/>
      <w:marRight w:val="0"/>
      <w:marTop w:val="0"/>
      <w:marBottom w:val="0"/>
      <w:divBdr>
        <w:top w:val="none" w:sz="0" w:space="0" w:color="auto"/>
        <w:left w:val="none" w:sz="0" w:space="0" w:color="auto"/>
        <w:bottom w:val="none" w:sz="0" w:space="0" w:color="auto"/>
        <w:right w:val="none" w:sz="0" w:space="0" w:color="auto"/>
      </w:divBdr>
    </w:div>
    <w:div w:id="375741785">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0585266">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473419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510195">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7426919">
      <w:bodyDiv w:val="1"/>
      <w:marLeft w:val="0"/>
      <w:marRight w:val="0"/>
      <w:marTop w:val="0"/>
      <w:marBottom w:val="0"/>
      <w:divBdr>
        <w:top w:val="none" w:sz="0" w:space="0" w:color="auto"/>
        <w:left w:val="none" w:sz="0" w:space="0" w:color="auto"/>
        <w:bottom w:val="none" w:sz="0" w:space="0" w:color="auto"/>
        <w:right w:val="none" w:sz="0" w:space="0" w:color="auto"/>
      </w:divBdr>
    </w:div>
    <w:div w:id="595554281">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6956451">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95820255">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485435">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2797860">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7868427">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480274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6994630">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44559905">
      <w:bodyDiv w:val="1"/>
      <w:marLeft w:val="0"/>
      <w:marRight w:val="0"/>
      <w:marTop w:val="0"/>
      <w:marBottom w:val="0"/>
      <w:divBdr>
        <w:top w:val="none" w:sz="0" w:space="0" w:color="auto"/>
        <w:left w:val="none" w:sz="0" w:space="0" w:color="auto"/>
        <w:bottom w:val="none" w:sz="0" w:space="0" w:color="auto"/>
        <w:right w:val="none" w:sz="0" w:space="0" w:color="auto"/>
      </w:divBdr>
    </w:div>
    <w:div w:id="1247954121">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730205">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6610054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0409999">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0015226">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48440482">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98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4932973">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4067549">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2822386">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27581760">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01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cid:image001.png@01D0421B.8481705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hyperlink" Target="https://www2.swift.com/mystandards/standardsPractices/mpContentRestrictions.xhtml?marketpractice=mp%2Fmt%2F_gVyW4BvvEeSa8pvxYg6VJQ%2F_talp8BvvEeSa8pvxYg6VJQ"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2.swift.com/mystandards/standardsPractices/mpContentRestrictions.xhtml?marketpractice=mp%2Fmt%2F_gVyW4BvvEeSa8pvxYg6VJQ%2F_talp8BvvEeSa8pvxYg6VJQ"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3.xlsx"/><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package" Target="embeddings/Microsoft_PowerPoint_Presentation2.ppt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6E05-9951-4F38-B5EF-1611C17B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2737</Words>
  <Characters>14837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17539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2015-03-10T09:26:00Z</dcterms:created>
  <dcterms:modified xsi:type="dcterms:W3CDTF">2015-03-10T09:27:00Z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