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61" w:rsidRPr="00C43DE1" w:rsidRDefault="00C43DE1">
      <w:pPr>
        <w:rPr>
          <w:b/>
          <w:sz w:val="52"/>
          <w:szCs w:val="52"/>
          <w:u w:val="single"/>
        </w:rPr>
      </w:pPr>
      <w:r w:rsidRPr="00C43DE1">
        <w:rPr>
          <w:b/>
          <w:sz w:val="52"/>
          <w:szCs w:val="52"/>
          <w:u w:val="single"/>
        </w:rPr>
        <w:t>CA370 Italian Tax Scenario</w:t>
      </w:r>
    </w:p>
    <w:p w:rsidR="00C43DE1" w:rsidRDefault="00C43DE1"/>
    <w:p w:rsidR="00C70D57" w:rsidRPr="00C70D57" w:rsidRDefault="00C70D57" w:rsidP="00C70D57">
      <w:pPr>
        <w:pStyle w:val="ListParagraph"/>
        <w:numPr>
          <w:ilvl w:val="0"/>
          <w:numId w:val="1"/>
        </w:numPr>
        <w:rPr>
          <w:b/>
          <w:sz w:val="24"/>
          <w:szCs w:val="24"/>
          <w:u w:val="single"/>
        </w:rPr>
      </w:pPr>
      <w:r w:rsidRPr="00C70D57">
        <w:rPr>
          <w:b/>
          <w:sz w:val="24"/>
          <w:szCs w:val="24"/>
          <w:u w:val="single"/>
        </w:rPr>
        <w:t>The Italian TAXR/WITL tax scenario</w:t>
      </w:r>
    </w:p>
    <w:p w:rsidR="00C43DE1" w:rsidRDefault="00C43DE1" w:rsidP="00C43DE1">
      <w:r>
        <w:rPr>
          <w:rFonts w:ascii="Default Sans Sarif" w:hAnsi="Default Sans Sarif"/>
        </w:rPr>
        <w:t>I will provide you an "academic" example for a following case where we have a dividend of 100 USD per shares.</w:t>
      </w:r>
      <w:r>
        <w:t xml:space="preserve"> </w:t>
      </w:r>
    </w:p>
    <w:tbl>
      <w:tblPr>
        <w:tblW w:w="0" w:type="auto"/>
        <w:tblCellSpacing w:w="15" w:type="dxa"/>
        <w:tblLook w:val="04A0" w:firstRow="1" w:lastRow="0" w:firstColumn="1" w:lastColumn="0" w:noHBand="0" w:noVBand="1"/>
      </w:tblPr>
      <w:tblGrid>
        <w:gridCol w:w="1823"/>
        <w:gridCol w:w="475"/>
        <w:gridCol w:w="613"/>
        <w:gridCol w:w="487"/>
      </w:tblGrid>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b/>
                <w:bCs/>
                <w:lang w:eastAsia="en-US"/>
              </w:rPr>
              <w:t>Field</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b/>
                <w:bCs/>
                <w:lang w:eastAsia="en-US"/>
              </w:rPr>
              <w:t>%</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lang w:eastAsia="en-US"/>
              </w:rPr>
            </w:pPr>
            <w:proofErr w:type="spellStart"/>
            <w:r>
              <w:rPr>
                <w:rFonts w:ascii="Calibri" w:hAnsi="Calibri" w:cs="Calibri"/>
                <w:b/>
                <w:bCs/>
                <w:lang w:eastAsia="en-US"/>
              </w:rPr>
              <w:t>Amnt</w:t>
            </w:r>
            <w:proofErr w:type="spellEnd"/>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b/>
                <w:bCs/>
                <w:lang w:eastAsia="en-US"/>
              </w:rPr>
              <w:t>CCY</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Original/Foreign</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Foreign GRSS</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100</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008000"/>
            <w:tcMar>
              <w:top w:w="15" w:type="dxa"/>
              <w:left w:w="15" w:type="dxa"/>
              <w:bottom w:w="15" w:type="dxa"/>
              <w:right w:w="15" w:type="dxa"/>
            </w:tcMar>
            <w:hideMark/>
          </w:tcPr>
          <w:p w:rsidR="00C43DE1" w:rsidRDefault="00C43DE1">
            <w:pPr>
              <w:rPr>
                <w:lang w:eastAsia="en-US"/>
              </w:rPr>
            </w:pPr>
            <w:r>
              <w:rPr>
                <w:rFonts w:ascii="Calibri" w:hAnsi="Calibri" w:cs="Calibri"/>
                <w:lang w:eastAsia="en-US"/>
              </w:rPr>
              <w:t xml:space="preserve">Foreign </w:t>
            </w:r>
            <w:proofErr w:type="spellStart"/>
            <w:r>
              <w:rPr>
                <w:rFonts w:ascii="Calibri" w:hAnsi="Calibri" w:cs="Calibri"/>
                <w:lang w:eastAsia="en-US"/>
              </w:rPr>
              <w:t>TxExempt</w:t>
            </w:r>
            <w:proofErr w:type="spellEnd"/>
            <w:r>
              <w:rPr>
                <w:lang w:eastAsia="en-US"/>
              </w:rPr>
              <w:t xml:space="preserve"> </w:t>
            </w:r>
          </w:p>
        </w:tc>
        <w:tc>
          <w:tcPr>
            <w:tcW w:w="0" w:type="auto"/>
            <w:shd w:val="clear" w:color="auto" w:fill="008000"/>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008000"/>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20</w:t>
            </w:r>
          </w:p>
        </w:tc>
        <w:tc>
          <w:tcPr>
            <w:tcW w:w="0" w:type="auto"/>
            <w:shd w:val="clear" w:color="auto" w:fill="008000"/>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Foreign Taxable</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80</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TAXR</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15%</w:t>
            </w: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12</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Foreign "Net"</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88</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Local GROSS</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88</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 xml:space="preserve">Local </w:t>
            </w:r>
            <w:proofErr w:type="spellStart"/>
            <w:r>
              <w:rPr>
                <w:rFonts w:ascii="Calibri" w:hAnsi="Calibri" w:cs="Calibri"/>
                <w:lang w:eastAsia="en-US"/>
              </w:rPr>
              <w:t>TxExempt</w:t>
            </w:r>
            <w:proofErr w:type="spellEnd"/>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8</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Local Taxable</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80</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WITL</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26%</w:t>
            </w: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20,8</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r>
              <w:rPr>
                <w:lang w:eastAsia="en-US"/>
              </w:rPr>
              <w:t xml:space="preserve"> </w:t>
            </w:r>
          </w:p>
        </w:tc>
      </w:tr>
      <w:tr w:rsidR="00C43DE1" w:rsidTr="00C43DE1">
        <w:trPr>
          <w:tblCellSpacing w:w="15" w:type="dxa"/>
        </w:trPr>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Local "Net"</w:t>
            </w:r>
            <w:r>
              <w:rPr>
                <w:lang w:eastAsia="en-US"/>
              </w:rPr>
              <w:t xml:space="preserve"> </w:t>
            </w:r>
          </w:p>
        </w:tc>
        <w:tc>
          <w:tcPr>
            <w:tcW w:w="0" w:type="auto"/>
            <w:shd w:val="clear" w:color="auto" w:fill="FFFFFF"/>
            <w:tcMar>
              <w:top w:w="15" w:type="dxa"/>
              <w:left w:w="15" w:type="dxa"/>
              <w:bottom w:w="15" w:type="dxa"/>
              <w:right w:w="15" w:type="dxa"/>
            </w:tcMar>
            <w:hideMark/>
          </w:tcPr>
          <w:p w:rsidR="00C43DE1" w:rsidRDefault="00C43DE1">
            <w:pPr>
              <w:rPr>
                <w:rFonts w:asciiTheme="minorHAnsi" w:hAnsiTheme="minorHAnsi" w:cstheme="minorBidi"/>
                <w:sz w:val="22"/>
                <w:szCs w:val="22"/>
                <w:lang w:eastAsia="en-US"/>
              </w:rPr>
            </w:pPr>
          </w:p>
        </w:tc>
        <w:tc>
          <w:tcPr>
            <w:tcW w:w="0" w:type="auto"/>
            <w:shd w:val="clear" w:color="auto" w:fill="FFFFFF"/>
            <w:tcMar>
              <w:top w:w="15" w:type="dxa"/>
              <w:left w:w="15" w:type="dxa"/>
              <w:bottom w:w="15" w:type="dxa"/>
              <w:right w:w="15" w:type="dxa"/>
            </w:tcMar>
            <w:hideMark/>
          </w:tcPr>
          <w:p w:rsidR="00C43DE1" w:rsidRDefault="00C43DE1">
            <w:pPr>
              <w:jc w:val="right"/>
              <w:rPr>
                <w:lang w:eastAsia="en-US"/>
              </w:rPr>
            </w:pPr>
            <w:r>
              <w:rPr>
                <w:rFonts w:ascii="Calibri" w:hAnsi="Calibri" w:cs="Calibri"/>
                <w:lang w:eastAsia="en-US"/>
              </w:rPr>
              <w:t>67,2</w:t>
            </w:r>
          </w:p>
        </w:tc>
        <w:tc>
          <w:tcPr>
            <w:tcW w:w="0" w:type="auto"/>
            <w:shd w:val="clear" w:color="auto" w:fill="FFFFFF"/>
            <w:tcMar>
              <w:top w:w="15" w:type="dxa"/>
              <w:left w:w="15" w:type="dxa"/>
              <w:bottom w:w="15" w:type="dxa"/>
              <w:right w:w="15" w:type="dxa"/>
            </w:tcMar>
            <w:hideMark/>
          </w:tcPr>
          <w:p w:rsidR="00C43DE1" w:rsidRDefault="00C43DE1">
            <w:pPr>
              <w:rPr>
                <w:lang w:eastAsia="en-US"/>
              </w:rPr>
            </w:pPr>
            <w:r>
              <w:rPr>
                <w:rFonts w:ascii="Calibri" w:hAnsi="Calibri" w:cs="Calibri"/>
                <w:lang w:eastAsia="en-US"/>
              </w:rPr>
              <w:t>USD</w:t>
            </w:r>
          </w:p>
        </w:tc>
      </w:tr>
    </w:tbl>
    <w:p w:rsidR="00C43DE1" w:rsidRDefault="00C43DE1">
      <w:r>
        <w:rPr>
          <w:rFonts w:ascii="Arial" w:hAnsi="Arial" w:cs="Arial"/>
        </w:rPr>
        <w:br/>
        <w:t xml:space="preserve">The dividend is announced by the issuer on the foreign market. </w:t>
      </w:r>
      <w:r>
        <w:rPr>
          <w:rFonts w:ascii="Arial" w:hAnsi="Arial" w:cs="Arial"/>
        </w:rPr>
        <w:br/>
        <w:t xml:space="preserve">Then, a foreign tax is applied at source (15%), but a part of the dividend is exempt from the foreign tax (highlighted in green) and the resulting amount (0.88 EUR) is received in Italy. </w:t>
      </w:r>
      <w:r>
        <w:br/>
      </w:r>
      <w:r>
        <w:rPr>
          <w:rFonts w:ascii="Arial" w:hAnsi="Arial" w:cs="Arial"/>
        </w:rPr>
        <w:t>In addition to that, the local Italian tax (26% or any other tax rate) is applied and withheld by local agent.</w:t>
      </w:r>
      <w:r>
        <w:t xml:space="preserve"> </w:t>
      </w:r>
      <w:r>
        <w:br/>
      </w:r>
      <w:r>
        <w:rPr>
          <w:rFonts w:ascii="Arial" w:hAnsi="Arial" w:cs="Arial"/>
        </w:rPr>
        <w:t>My question is how can I reflect that the "TAXR" part is partially tax exempt in the MT564?</w:t>
      </w:r>
      <w:r>
        <w:t xml:space="preserve"> </w:t>
      </w:r>
      <w:r>
        <w:br/>
      </w:r>
    </w:p>
    <w:p w:rsidR="00C70D57" w:rsidRPr="00C70D57" w:rsidRDefault="00C70D57" w:rsidP="00C70D57">
      <w:pPr>
        <w:pStyle w:val="ListParagraph"/>
        <w:numPr>
          <w:ilvl w:val="0"/>
          <w:numId w:val="1"/>
        </w:numPr>
        <w:rPr>
          <w:b/>
          <w:sz w:val="24"/>
          <w:szCs w:val="24"/>
          <w:u w:val="single"/>
        </w:rPr>
      </w:pPr>
      <w:r w:rsidRPr="00C70D57">
        <w:rPr>
          <w:b/>
          <w:sz w:val="24"/>
          <w:szCs w:val="24"/>
          <w:u w:val="single"/>
        </w:rPr>
        <w:t>How to map the Italian scenario in the Cash Move sequence</w:t>
      </w:r>
    </w:p>
    <w:p w:rsidR="00C70D57" w:rsidRDefault="00C70D57" w:rsidP="00C70D57">
      <w:r>
        <w:t xml:space="preserve">Scenario: Issuer </w:t>
      </w:r>
      <w:proofErr w:type="gramStart"/>
      <w:r>
        <w:t>A</w:t>
      </w:r>
      <w:proofErr w:type="gramEnd"/>
      <w:r>
        <w:t xml:space="preserve"> in country XX issues a dividend of USD100 per share on which a withholding tax of 15% is applied at source and 20% (USD20) of this gross dividend is exempt from tax. </w:t>
      </w:r>
    </w:p>
    <w:p w:rsidR="00C70D57" w:rsidRDefault="00C70D57" w:rsidP="00C70D57">
      <w:r>
        <w:t xml:space="preserve">In country YY, the local agent applies the local (“second level”) tax of 26% on the resulting amount (net of the withholding tax) of which 8 USD are exempt from local tax in country YY. </w:t>
      </w:r>
    </w:p>
    <w:p w:rsidR="00C70D57" w:rsidRDefault="00C70D57"/>
    <w:tbl>
      <w:tblPr>
        <w:tblW w:w="0" w:type="auto"/>
        <w:tblCellSpacing w:w="15"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5024"/>
        <w:gridCol w:w="5642"/>
      </w:tblGrid>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hideMark/>
          </w:tcPr>
          <w:p w:rsidR="00C43DE1" w:rsidRDefault="00C43DE1">
            <w:pPr>
              <w:rPr>
                <w:lang w:eastAsia="en-US"/>
              </w:rPr>
            </w:pPr>
            <w:r>
              <w:rPr>
                <w:rFonts w:ascii="Calibri" w:hAnsi="Calibri" w:cs="Calibri"/>
                <w:b/>
                <w:bCs/>
                <w:color w:val="0000FF"/>
                <w:lang w:eastAsia="en-US"/>
              </w:rPr>
              <w:t>SWIFT Cash Move rates and amount s for holdings =  1 Share</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15" w:type="dxa"/>
              <w:left w:w="15" w:type="dxa"/>
              <w:bottom w:w="15" w:type="dxa"/>
              <w:right w:w="15" w:type="dxa"/>
            </w:tcMar>
            <w:hideMark/>
          </w:tcPr>
          <w:p w:rsidR="00C43DE1" w:rsidRDefault="00C43DE1">
            <w:pPr>
              <w:rPr>
                <w:lang w:eastAsia="en-US"/>
              </w:rPr>
            </w:pPr>
            <w:r>
              <w:rPr>
                <w:rFonts w:ascii="Calibri" w:hAnsi="Calibri" w:cs="Calibri"/>
                <w:b/>
                <w:bCs/>
                <w:color w:val="0000FF"/>
                <w:lang w:eastAsia="en-US"/>
              </w:rPr>
              <w:t>Comments</w:t>
            </w:r>
            <w:r>
              <w:rPr>
                <w:lang w:eastAsia="en-US"/>
              </w:rPr>
              <w:t xml:space="preserve">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:92F::GRSS//USD100,</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Gross dividend 100 USD per unit in country XX</w:t>
            </w:r>
            <w:r>
              <w:rPr>
                <w:lang w:eastAsia="en-US"/>
              </w:rPr>
              <w:t xml:space="preserve">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:92J::GRSS//TXBL/USD80,</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 xml:space="preserve">Taxable part of the gross dividend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:92J::GRSS//TXFR/USD20,</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Tax free/exempt part of the gross dividend (i.e. 20 USD)</w:t>
            </w:r>
            <w:r>
              <w:rPr>
                <w:lang w:eastAsia="en-US"/>
              </w:rPr>
              <w:t xml:space="preserve">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:92A::TAXR//15,</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 xml:space="preserve">Applied foreign tax (Local Jurisdiction tax rate in country XX)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:92A::WITL//26,</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 xml:space="preserve">Second Level tax rate i.e. local tax rate in country YY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:92J::NETT//TXBL/USD80,</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 xml:space="preserve">The taxable part of the net dividend (after foreign tax) </w:t>
            </w:r>
            <w:r w:rsidR="004D7F12">
              <w:rPr>
                <w:rFonts w:ascii="Calibri" w:hAnsi="Calibri" w:cs="Calibri"/>
                <w:color w:val="004080"/>
                <w:lang w:eastAsia="en-US"/>
              </w:rPr>
              <w:t>under local tax.</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:92J::NETT//TXFR/USD8,</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Tax free/exempt part of the net dividend (after foreign tax)</w:t>
            </w:r>
            <w:r>
              <w:rPr>
                <w:lang w:eastAsia="en-US"/>
              </w:rPr>
              <w:t xml:space="preserve"> </w:t>
            </w:r>
            <w:r w:rsidR="004D7F12">
              <w:rPr>
                <w:lang w:eastAsia="en-US"/>
              </w:rPr>
              <w:t>– Under local tax</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:19B::GRSS//USD100,</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Total gross amount</w:t>
            </w:r>
            <w:r>
              <w:rPr>
                <w:lang w:eastAsia="en-US"/>
              </w:rPr>
              <w:t xml:space="preserve">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:19B::TAXR//USD12,</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 xml:space="preserve">Foreign tax amount = Gross taxable amount 80 * </w:t>
            </w:r>
            <w:r>
              <w:rPr>
                <w:rFonts w:ascii="Calibri" w:hAnsi="Calibri" w:cs="Calibri"/>
                <w:b/>
                <w:bCs/>
                <w:color w:val="FF0000"/>
                <w:lang w:eastAsia="en-US"/>
              </w:rPr>
              <w:t>15</w:t>
            </w:r>
            <w:r>
              <w:rPr>
                <w:rFonts w:ascii="Calibri" w:hAnsi="Calibri" w:cs="Calibri"/>
                <w:color w:val="004080"/>
                <w:lang w:eastAsia="en-US"/>
              </w:rPr>
              <w:t xml:space="preserve">% * </w:t>
            </w:r>
            <w:r>
              <w:rPr>
                <w:rFonts w:ascii="Calibri" w:hAnsi="Calibri" w:cs="Calibri"/>
                <w:color w:val="004080"/>
                <w:lang w:eastAsia="en-US"/>
              </w:rPr>
              <w:lastRenderedPageBreak/>
              <w:t xml:space="preserve">units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lastRenderedPageBreak/>
              <w:t>:19B::WITL//USD20,8</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Local tax amount = Net taxable amount 80 * 26% * units</w:t>
            </w:r>
            <w:r>
              <w:rPr>
                <w:lang w:eastAsia="en-US"/>
              </w:rPr>
              <w:t xml:space="preserve"> </w:t>
            </w:r>
          </w:p>
        </w:tc>
      </w:tr>
      <w:tr w:rsidR="00C43DE1" w:rsidTr="00C43DE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:19B::NETT//USD67,2</w:t>
            </w:r>
            <w:r>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3DE1" w:rsidRDefault="00C43DE1">
            <w:pPr>
              <w:rPr>
                <w:lang w:eastAsia="en-US"/>
              </w:rPr>
            </w:pPr>
            <w:r>
              <w:rPr>
                <w:rFonts w:ascii="Calibri" w:hAnsi="Calibri" w:cs="Calibri"/>
                <w:color w:val="004080"/>
                <w:lang w:eastAsia="en-US"/>
              </w:rPr>
              <w:t>Local net amount = Gross amount - Foreign Tax amount – local Tax amount</w:t>
            </w:r>
          </w:p>
        </w:tc>
      </w:tr>
    </w:tbl>
    <w:p w:rsidR="00C43DE1" w:rsidRDefault="00C43DE1"/>
    <w:p w:rsidR="00B00DE0" w:rsidRDefault="00B00DE0">
      <w:r>
        <w:rPr>
          <w:rFonts w:ascii="Arial" w:hAnsi="Arial" w:cs="Arial"/>
          <w:sz w:val="20"/>
          <w:szCs w:val="20"/>
        </w:rPr>
        <w:t>Beyond that, for the 92J:</w:t>
      </w:r>
      <w:proofErr w:type="gramStart"/>
      <w:r>
        <w:rPr>
          <w:rFonts w:ascii="Arial" w:hAnsi="Arial" w:cs="Arial"/>
          <w:sz w:val="20"/>
          <w:szCs w:val="20"/>
        </w:rPr>
        <w:t>:NETT</w:t>
      </w:r>
      <w:proofErr w:type="gramEnd"/>
      <w:r>
        <w:rPr>
          <w:rFonts w:ascii="Arial" w:hAnsi="Arial" w:cs="Arial"/>
          <w:sz w:val="20"/>
          <w:szCs w:val="20"/>
        </w:rPr>
        <w:t xml:space="preserve">//TXBL I guess there's no a clear SPMG market practice on its usage. I'm guessing if it could be clearly stated that this qualifier will identify the tax component </w:t>
      </w:r>
      <w:r>
        <w:rPr>
          <w:rFonts w:ascii="Arial" w:hAnsi="Arial" w:cs="Arial"/>
          <w:sz w:val="20"/>
          <w:szCs w:val="20"/>
          <w:u w:val="single"/>
        </w:rPr>
        <w:t>free</w:t>
      </w:r>
      <w:r>
        <w:rPr>
          <w:rFonts w:ascii="Arial" w:hAnsi="Arial" w:cs="Arial"/>
          <w:sz w:val="20"/>
          <w:szCs w:val="20"/>
        </w:rPr>
        <w:t xml:space="preserve"> considering the first level of taxation (the "TAXR") but</w:t>
      </w:r>
      <w:r>
        <w:rPr>
          <w:rFonts w:ascii="Arial" w:hAnsi="Arial" w:cs="Arial"/>
          <w:sz w:val="20"/>
          <w:szCs w:val="20"/>
          <w:u w:val="single"/>
        </w:rPr>
        <w:t xml:space="preserve"> eligible to tax</w:t>
      </w:r>
      <w:r>
        <w:rPr>
          <w:rFonts w:ascii="Arial" w:hAnsi="Arial" w:cs="Arial"/>
          <w:sz w:val="20"/>
          <w:szCs w:val="20"/>
        </w:rPr>
        <w:t xml:space="preserve"> at </w:t>
      </w:r>
      <w:r>
        <w:rPr>
          <w:rFonts w:ascii="Arial" w:hAnsi="Arial" w:cs="Arial"/>
          <w:b/>
          <w:bCs/>
          <w:sz w:val="20"/>
          <w:szCs w:val="20"/>
        </w:rPr>
        <w:t>second level</w:t>
      </w:r>
      <w:r>
        <w:rPr>
          <w:rFonts w:ascii="Arial" w:hAnsi="Arial" w:cs="Arial"/>
          <w:sz w:val="20"/>
          <w:szCs w:val="20"/>
        </w:rPr>
        <w:t xml:space="preserve"> of tax (the "local" WITL).</w:t>
      </w:r>
      <w:r>
        <w:t xml:space="preserve"> </w:t>
      </w:r>
      <w:r>
        <w:br/>
      </w:r>
      <w:r>
        <w:rPr>
          <w:rFonts w:ascii="Arial" w:hAnsi="Arial" w:cs="Arial"/>
          <w:sz w:val="20"/>
          <w:szCs w:val="20"/>
        </w:rPr>
        <w:t>I think it will be clearer for clients, too</w:t>
      </w:r>
      <w:r>
        <w:rPr>
          <w:rFonts w:ascii="Arial" w:hAnsi="Arial" w:cs="Arial"/>
          <w:color w:val="004080"/>
          <w:sz w:val="20"/>
          <w:szCs w:val="20"/>
        </w:rPr>
        <w:t>.</w:t>
      </w:r>
      <w:r>
        <w:t xml:space="preserve"> </w:t>
      </w:r>
      <w:r>
        <w:br/>
      </w:r>
      <w:r>
        <w:rPr>
          <w:rFonts w:ascii="Arial" w:hAnsi="Arial" w:cs="Arial"/>
          <w:sz w:val="20"/>
          <w:szCs w:val="20"/>
        </w:rPr>
        <w:t xml:space="preserve">Otherwise could we consider to introduce a </w:t>
      </w:r>
      <w:proofErr w:type="gramStart"/>
      <w:r>
        <w:rPr>
          <w:rFonts w:ascii="Arial" w:hAnsi="Arial" w:cs="Arial"/>
          <w:sz w:val="20"/>
          <w:szCs w:val="20"/>
        </w:rPr>
        <w:t xml:space="preserve">qualifier </w:t>
      </w:r>
      <w:r>
        <w:rPr>
          <w:rFonts w:ascii="Calibri" w:hAnsi="Calibri" w:cs="Calibri"/>
        </w:rPr>
        <w:t>:92J</w:t>
      </w:r>
      <w:proofErr w:type="gramEnd"/>
      <w:r>
        <w:rPr>
          <w:rFonts w:ascii="Calibri" w:hAnsi="Calibri" w:cs="Calibri"/>
        </w:rPr>
        <w:t>::GRSS</w:t>
      </w:r>
      <w:r>
        <w:rPr>
          <w:rFonts w:ascii="Arial" w:hAnsi="Arial" w:cs="Arial"/>
          <w:sz w:val="20"/>
          <w:szCs w:val="20"/>
        </w:rPr>
        <w:t>// that identifies the component exempt from the foreign tax but - at the same time - eligible to the local jurisdiction tax?</w:t>
      </w:r>
      <w:r>
        <w:t xml:space="preserve"> </w:t>
      </w:r>
      <w:r>
        <w:br/>
      </w:r>
    </w:p>
    <w:p w:rsidR="00C70D57" w:rsidRPr="00C70D57" w:rsidRDefault="00C70D57" w:rsidP="00C70D57">
      <w:pPr>
        <w:pStyle w:val="ListParagraph"/>
        <w:numPr>
          <w:ilvl w:val="0"/>
          <w:numId w:val="1"/>
        </w:numPr>
        <w:rPr>
          <w:b/>
          <w:sz w:val="24"/>
          <w:szCs w:val="24"/>
          <w:u w:val="single"/>
        </w:rPr>
      </w:pPr>
      <w:r w:rsidRPr="00C70D57">
        <w:rPr>
          <w:b/>
          <w:sz w:val="24"/>
          <w:szCs w:val="24"/>
          <w:u w:val="single"/>
        </w:rPr>
        <w:t>Proposed Add on to the GMP1 section 8.34 on Usage of the TAXR and WITL tax rates</w:t>
      </w:r>
    </w:p>
    <w:p w:rsidR="00C70D57" w:rsidRPr="00C24D53" w:rsidRDefault="00C70D57" w:rsidP="00C70D57">
      <w:pPr>
        <w:rPr>
          <w:color w:val="0070C0"/>
          <w:u w:val="single"/>
        </w:rPr>
      </w:pPr>
      <w:r w:rsidRPr="00C24D53">
        <w:rPr>
          <w:color w:val="0070C0"/>
          <w:u w:val="single"/>
        </w:rPr>
        <w:t>Add at the end of the section 8.34:</w:t>
      </w:r>
    </w:p>
    <w:p w:rsidR="00C70D57" w:rsidRPr="00C70D57" w:rsidRDefault="00C70D57" w:rsidP="00C70D57">
      <w:pPr>
        <w:rPr>
          <w:i/>
          <w:color w:val="0070C0"/>
        </w:rPr>
      </w:pPr>
      <w:r w:rsidRPr="00C70D57">
        <w:rPr>
          <w:i/>
          <w:color w:val="0070C0"/>
        </w:rPr>
        <w:t xml:space="preserve">“The method used to calculate a dividend nett amount when both a withholding tax rate (TAXR) and second level tax rate (WITL) are provided in the event announcement message may be dependent upon local market practices. </w:t>
      </w:r>
    </w:p>
    <w:p w:rsidR="00C70D57" w:rsidRPr="00C70D57" w:rsidRDefault="00C70D57" w:rsidP="00C70D57">
      <w:pPr>
        <w:rPr>
          <w:i/>
          <w:color w:val="0070C0"/>
        </w:rPr>
      </w:pPr>
      <w:r w:rsidRPr="00C70D57">
        <w:rPr>
          <w:i/>
          <w:color w:val="0070C0"/>
        </w:rPr>
        <w:t>2 cases identified so far:</w:t>
      </w:r>
    </w:p>
    <w:p w:rsidR="00C70D57" w:rsidRPr="00C70D57" w:rsidRDefault="00C70D57" w:rsidP="00C70D57">
      <w:pPr>
        <w:pStyle w:val="ListParagraph"/>
        <w:numPr>
          <w:ilvl w:val="0"/>
          <w:numId w:val="2"/>
        </w:numPr>
        <w:rPr>
          <w:rFonts w:ascii="Times New Roman" w:hAnsi="Times New Roman" w:cs="Times New Roman"/>
          <w:i/>
          <w:color w:val="0070C0"/>
          <w:sz w:val="24"/>
          <w:szCs w:val="24"/>
          <w:lang w:eastAsia="en-GB"/>
        </w:rPr>
      </w:pPr>
      <w:proofErr w:type="gramStart"/>
      <w:r w:rsidRPr="00C70D57">
        <w:rPr>
          <w:rFonts w:ascii="Times New Roman" w:hAnsi="Times New Roman" w:cs="Times New Roman"/>
          <w:i/>
          <w:color w:val="0070C0"/>
          <w:sz w:val="24"/>
          <w:szCs w:val="24"/>
          <w:lang w:eastAsia="en-GB"/>
        </w:rPr>
        <w:t>the</w:t>
      </w:r>
      <w:proofErr w:type="gramEnd"/>
      <w:r w:rsidRPr="00C70D57">
        <w:rPr>
          <w:rFonts w:ascii="Times New Roman" w:hAnsi="Times New Roman" w:cs="Times New Roman"/>
          <w:i/>
          <w:color w:val="0070C0"/>
          <w:sz w:val="24"/>
          <w:szCs w:val="24"/>
          <w:lang w:eastAsia="en-GB"/>
        </w:rPr>
        <w:t xml:space="preserve"> second level tax rate (WITL) applies only on the amount net of the withholding tax rate (TAXR) (i.e. the resulting amount after deduction of the withholding tax on the gross dividend amount).</w:t>
      </w:r>
    </w:p>
    <w:p w:rsidR="00C70D57" w:rsidRPr="00C70D57" w:rsidRDefault="00C70D57" w:rsidP="00C70D57">
      <w:pPr>
        <w:pStyle w:val="ListParagraph"/>
        <w:numPr>
          <w:ilvl w:val="0"/>
          <w:numId w:val="2"/>
        </w:numPr>
        <w:rPr>
          <w:rFonts w:ascii="Times New Roman" w:hAnsi="Times New Roman" w:cs="Times New Roman"/>
          <w:i/>
          <w:color w:val="0070C0"/>
          <w:sz w:val="24"/>
          <w:szCs w:val="24"/>
          <w:lang w:eastAsia="en-GB"/>
        </w:rPr>
      </w:pPr>
      <w:r w:rsidRPr="00C70D57">
        <w:rPr>
          <w:rFonts w:ascii="Times New Roman" w:hAnsi="Times New Roman" w:cs="Times New Roman"/>
          <w:i/>
          <w:color w:val="0070C0"/>
          <w:sz w:val="24"/>
          <w:szCs w:val="24"/>
          <w:lang w:eastAsia="en-GB"/>
        </w:rPr>
        <w:t>Both tax rates applied on the gross dividend amount</w:t>
      </w:r>
      <w:r w:rsidRPr="00C70D57">
        <w:rPr>
          <w:rFonts w:ascii="Times New Roman" w:hAnsi="Times New Roman" w:cs="Times New Roman"/>
          <w:i/>
          <w:color w:val="0070C0"/>
          <w:sz w:val="24"/>
          <w:szCs w:val="24"/>
          <w:lang w:eastAsia="en-GB"/>
        </w:rPr>
        <w:t>”</w:t>
      </w:r>
    </w:p>
    <w:p w:rsidR="00C70D57" w:rsidRDefault="00C70D57">
      <w:bookmarkStart w:id="0" w:name="_GoBack"/>
      <w:bookmarkEnd w:id="0"/>
    </w:p>
    <w:sectPr w:rsidR="00C70D57" w:rsidSect="00B00DE0">
      <w:pgSz w:w="11906" w:h="16838"/>
      <w:pgMar w:top="567"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fault Sans Sa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28E0"/>
    <w:multiLevelType w:val="hybridMultilevel"/>
    <w:tmpl w:val="49DAC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35"/>
    <w:rsid w:val="00203E61"/>
    <w:rsid w:val="004D7F12"/>
    <w:rsid w:val="00733435"/>
    <w:rsid w:val="00761A51"/>
    <w:rsid w:val="00B00DE0"/>
    <w:rsid w:val="00C43DE1"/>
    <w:rsid w:val="00C7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57"/>
    <w:pPr>
      <w:spacing w:after="200" w:line="276"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57"/>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6657">
      <w:bodyDiv w:val="1"/>
      <w:marLeft w:val="0"/>
      <w:marRight w:val="0"/>
      <w:marTop w:val="0"/>
      <w:marBottom w:val="0"/>
      <w:divBdr>
        <w:top w:val="none" w:sz="0" w:space="0" w:color="auto"/>
        <w:left w:val="none" w:sz="0" w:space="0" w:color="auto"/>
        <w:bottom w:val="none" w:sz="0" w:space="0" w:color="auto"/>
        <w:right w:val="none" w:sz="0" w:space="0" w:color="auto"/>
      </w:divBdr>
    </w:div>
    <w:div w:id="14922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518</Words>
  <Characters>2953</Characters>
  <Application>Microsoft Office Word</Application>
  <DocSecurity>0</DocSecurity>
  <Lines>24</Lines>
  <Paragraphs>6</Paragraphs>
  <ScaleCrop>false</ScaleCrop>
  <Company>SWIFT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6</cp:revision>
  <dcterms:created xsi:type="dcterms:W3CDTF">2017-04-28T06:41:00Z</dcterms:created>
  <dcterms:modified xsi:type="dcterms:W3CDTF">2017-05-04T14:55:00Z</dcterms:modified>
</cp:coreProperties>
</file>