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204"/>
        <w:gridCol w:w="3367"/>
      </w:tblGrid>
      <w:tr w:rsidR="00AF7FAC" w:rsidRPr="00162000" w:rsidTr="00765038">
        <w:trPr>
          <w:trHeight w:val="233"/>
        </w:trPr>
        <w:tc>
          <w:tcPr>
            <w:tcW w:w="6204" w:type="dxa"/>
            <w:vMerge w:val="restart"/>
          </w:tcPr>
          <w:p w:rsidR="00096FCD" w:rsidRDefault="00096FCD" w:rsidP="00096FCD">
            <w:pPr>
              <w:pStyle w:val="ECBTitlereference"/>
              <w:jc w:val="both"/>
            </w:pPr>
            <w:bookmarkStart w:id="0" w:name="_GoBack"/>
            <w:bookmarkEnd w:id="0"/>
            <w:r>
              <w:t>AMI-SECO HARMONISATION STEERING GROUP</w:t>
            </w:r>
          </w:p>
          <w:p w:rsidR="00AF7FAC" w:rsidRPr="00A632A5" w:rsidRDefault="00096FCD" w:rsidP="00096FCD">
            <w:pPr>
              <w:pStyle w:val="ECBTitlereference"/>
              <w:rPr>
                <w:b/>
                <w:caps/>
                <w:smallCaps/>
              </w:rPr>
            </w:pPr>
            <w:r>
              <w:rPr>
                <w:b/>
                <w:caps/>
                <w:smallCaps/>
              </w:rPr>
              <w:t>Collateral Management Harmonisation Task Force</w:t>
            </w:r>
            <w:r w:rsidR="003A04AE">
              <w:rPr>
                <w:b/>
                <w:caps/>
                <w:smallCaps/>
              </w:rPr>
              <w:t xml:space="preserve"> (CMH-TF)</w:t>
            </w:r>
          </w:p>
        </w:tc>
        <w:tc>
          <w:tcPr>
            <w:tcW w:w="3367" w:type="dxa"/>
          </w:tcPr>
          <w:p w:rsidR="00AF7FAC" w:rsidRPr="00FC65F0" w:rsidRDefault="004A2A6A" w:rsidP="00FC65F0">
            <w:pPr>
              <w:pStyle w:val="ECBClassification"/>
            </w:pPr>
            <w:bookmarkStart w:id="1" w:name="Classification"/>
            <w:bookmarkEnd w:id="1"/>
            <w:r>
              <w:t>ECB-UNRESTRICTED</w:t>
            </w:r>
          </w:p>
        </w:tc>
      </w:tr>
      <w:tr w:rsidR="00AF7FAC" w:rsidRPr="00162000" w:rsidTr="00765038">
        <w:trPr>
          <w:trHeight w:val="405"/>
        </w:trPr>
        <w:tc>
          <w:tcPr>
            <w:tcW w:w="6204" w:type="dxa"/>
            <w:vMerge/>
          </w:tcPr>
          <w:p w:rsidR="00AF7FAC" w:rsidRPr="002F18BE" w:rsidRDefault="00AF7FAC" w:rsidP="00162000">
            <w:pPr>
              <w:spacing w:before="0" w:after="0" w:line="240" w:lineRule="exact"/>
              <w:rPr>
                <w:rFonts w:cs="Times New Roman"/>
              </w:rPr>
            </w:pPr>
          </w:p>
        </w:tc>
        <w:tc>
          <w:tcPr>
            <w:tcW w:w="3367" w:type="dxa"/>
          </w:tcPr>
          <w:p w:rsidR="00AF7FAC" w:rsidRPr="00FC65F0" w:rsidRDefault="00AF7FAC" w:rsidP="00096FCD">
            <w:pPr>
              <w:pStyle w:val="ECBMarking"/>
              <w:jc w:val="left"/>
            </w:pPr>
            <w:bookmarkStart w:id="2" w:name="Marking"/>
            <w:bookmarkEnd w:id="2"/>
          </w:p>
        </w:tc>
      </w:tr>
      <w:tr w:rsidR="00133ACA" w:rsidRPr="00A126CE" w:rsidTr="00765038">
        <w:tc>
          <w:tcPr>
            <w:tcW w:w="6204" w:type="dxa"/>
          </w:tcPr>
          <w:p w:rsidR="00595255" w:rsidRPr="00A126CE" w:rsidRDefault="00D80FC6" w:rsidP="00483C4E">
            <w:pPr>
              <w:pStyle w:val="ECBTitlereference"/>
            </w:pPr>
            <w:r>
              <w:t>CMHA2: Corporate Actions</w:t>
            </w:r>
          </w:p>
        </w:tc>
        <w:tc>
          <w:tcPr>
            <w:tcW w:w="3367" w:type="dxa"/>
            <w:vAlign w:val="bottom"/>
          </w:tcPr>
          <w:p w:rsidR="00133ACA" w:rsidRPr="00A126CE" w:rsidRDefault="00A960FC" w:rsidP="00F40A99">
            <w:pPr>
              <w:pStyle w:val="ECBReferenceNo"/>
            </w:pPr>
            <w:bookmarkStart w:id="3" w:name="SaveDate"/>
            <w:bookmarkEnd w:id="3"/>
            <w:r>
              <w:t xml:space="preserve">30 </w:t>
            </w:r>
            <w:r w:rsidR="00D80FC6">
              <w:t>November</w:t>
            </w:r>
            <w:r w:rsidR="004A2A6A">
              <w:t xml:space="preserve"> 2018</w:t>
            </w:r>
          </w:p>
        </w:tc>
      </w:tr>
      <w:tr w:rsidR="00133ACA" w:rsidRPr="009B6F77" w:rsidTr="00765038">
        <w:tc>
          <w:tcPr>
            <w:tcW w:w="6204" w:type="dxa"/>
          </w:tcPr>
          <w:p w:rsidR="00133ACA" w:rsidRPr="00A126CE" w:rsidRDefault="00133ACA" w:rsidP="009B6F77">
            <w:pPr>
              <w:pStyle w:val="ECBStatus"/>
            </w:pPr>
          </w:p>
        </w:tc>
        <w:tc>
          <w:tcPr>
            <w:tcW w:w="3367" w:type="dxa"/>
          </w:tcPr>
          <w:p w:rsidR="00133ACA" w:rsidRDefault="00133ACA" w:rsidP="009B6F77">
            <w:pPr>
              <w:pStyle w:val="ECBStatus"/>
            </w:pPr>
            <w:bookmarkStart w:id="4" w:name="DocumentStatus"/>
            <w:bookmarkEnd w:id="4"/>
          </w:p>
          <w:p w:rsidR="00A632A5" w:rsidRPr="009B6F77" w:rsidRDefault="00A632A5" w:rsidP="009B6F77">
            <w:pPr>
              <w:pStyle w:val="ECBStatus"/>
            </w:pPr>
          </w:p>
        </w:tc>
      </w:tr>
      <w:tr w:rsidR="005B5DA9" w:rsidRPr="00A126CE" w:rsidTr="00765038">
        <w:trPr>
          <w:gridAfter w:val="1"/>
          <w:wAfter w:w="3367" w:type="dxa"/>
        </w:trPr>
        <w:tc>
          <w:tcPr>
            <w:tcW w:w="6204" w:type="dxa"/>
          </w:tcPr>
          <w:p w:rsidR="005B5DA9" w:rsidRPr="00A126CE" w:rsidRDefault="005B5DA9" w:rsidP="00040117">
            <w:pPr>
              <w:pStyle w:val="ECBTitlereference"/>
            </w:pPr>
          </w:p>
        </w:tc>
      </w:tr>
      <w:tr w:rsidR="00133ACA" w:rsidRPr="00162000" w:rsidTr="00FD226C">
        <w:trPr>
          <w:cantSplit/>
          <w:trHeight w:val="1020"/>
        </w:trPr>
        <w:tc>
          <w:tcPr>
            <w:tcW w:w="9571" w:type="dxa"/>
            <w:gridSpan w:val="2"/>
            <w:vAlign w:val="center"/>
          </w:tcPr>
          <w:p w:rsidR="00040117" w:rsidRDefault="00D80FC6" w:rsidP="00040117">
            <w:pPr>
              <w:pStyle w:val="ECBTitle"/>
              <w:jc w:val="center"/>
            </w:pPr>
            <w:r>
              <w:t>Issues Note</w:t>
            </w:r>
            <w:r w:rsidR="004A2A6A" w:rsidRPr="004A2A6A">
              <w:t xml:space="preserve">: </w:t>
            </w:r>
          </w:p>
          <w:p w:rsidR="00133ACA" w:rsidRPr="00162000" w:rsidRDefault="00765038" w:rsidP="00040117">
            <w:pPr>
              <w:pStyle w:val="ECBTitle"/>
              <w:jc w:val="center"/>
            </w:pPr>
            <w:r>
              <w:t>CA Events where Participation Requires the Blocking of Securities</w:t>
            </w:r>
          </w:p>
        </w:tc>
      </w:tr>
    </w:tbl>
    <w:p w:rsidR="00C90EE0" w:rsidRDefault="00C90EE0">
      <w:pPr>
        <w:pStyle w:val="Heading1"/>
        <w:sectPr w:rsidR="00C90EE0" w:rsidSect="00162000">
          <w:headerReference w:type="default" r:id="rId9"/>
          <w:footerReference w:type="default" r:id="rId10"/>
          <w:headerReference w:type="first" r:id="rId11"/>
          <w:footerReference w:type="first" r:id="rId12"/>
          <w:pgSz w:w="11907" w:h="16840" w:code="9"/>
          <w:pgMar w:top="2268" w:right="1134" w:bottom="2268" w:left="1418" w:header="567" w:footer="510" w:gutter="0"/>
          <w:cols w:space="720"/>
          <w:titlePg/>
        </w:sectPr>
      </w:pPr>
    </w:p>
    <w:p w:rsidR="003A04AE" w:rsidRPr="00765038" w:rsidRDefault="003A04AE" w:rsidP="00C920D1">
      <w:pPr>
        <w:pStyle w:val="ECBBodyText"/>
        <w:jc w:val="center"/>
        <w:rPr>
          <w:i/>
        </w:rPr>
      </w:pPr>
      <w:r w:rsidRPr="00765038">
        <w:rPr>
          <w:i/>
        </w:rPr>
        <w:lastRenderedPageBreak/>
        <w:t xml:space="preserve">This note </w:t>
      </w:r>
      <w:r w:rsidR="001C1109">
        <w:rPr>
          <w:i/>
        </w:rPr>
        <w:t>analyse</w:t>
      </w:r>
      <w:r w:rsidR="00C920D1">
        <w:rPr>
          <w:i/>
        </w:rPr>
        <w:t>s</w:t>
      </w:r>
      <w:r w:rsidR="001C1109">
        <w:rPr>
          <w:i/>
        </w:rPr>
        <w:t xml:space="preserve"> </w:t>
      </w:r>
      <w:r w:rsidRPr="00765038">
        <w:rPr>
          <w:i/>
        </w:rPr>
        <w:t xml:space="preserve">CA processes, </w:t>
      </w:r>
      <w:r w:rsidR="00C920D1">
        <w:rPr>
          <w:i/>
        </w:rPr>
        <w:t xml:space="preserve">for </w:t>
      </w:r>
      <w:r w:rsidRPr="00765038">
        <w:rPr>
          <w:i/>
        </w:rPr>
        <w:t xml:space="preserve">which further follow-up work </w:t>
      </w:r>
      <w:r w:rsidR="00C920D1">
        <w:rPr>
          <w:i/>
        </w:rPr>
        <w:t xml:space="preserve">is required </w:t>
      </w:r>
      <w:r w:rsidRPr="00765038">
        <w:rPr>
          <w:i/>
        </w:rPr>
        <w:t xml:space="preserve">(as identified in the </w:t>
      </w:r>
      <w:hyperlink r:id="rId13" w:history="1">
        <w:r w:rsidRPr="00765038">
          <w:rPr>
            <w:rStyle w:val="Hyperlink"/>
            <w:i/>
            <w:u w:val="none"/>
          </w:rPr>
          <w:t>CMH-TF report on corporate actions</w:t>
        </w:r>
      </w:hyperlink>
      <w:r w:rsidR="00F81A6A">
        <w:rPr>
          <w:rStyle w:val="Hyperlink"/>
          <w:i/>
          <w:u w:val="none"/>
        </w:rPr>
        <w:t>)</w:t>
      </w:r>
      <w:r w:rsidRPr="00765038">
        <w:rPr>
          <w:i/>
        </w:rPr>
        <w:t>.</w:t>
      </w:r>
    </w:p>
    <w:p w:rsidR="009564B1" w:rsidRPr="009564B1" w:rsidRDefault="00F40A99" w:rsidP="00975890">
      <w:pPr>
        <w:pStyle w:val="ECBHeading1"/>
      </w:pPr>
      <w:r>
        <w:t>B</w:t>
      </w:r>
      <w:r w:rsidR="009564B1">
        <w:t>ackground</w:t>
      </w:r>
    </w:p>
    <w:p w:rsidR="00F40A99" w:rsidRDefault="0087523A" w:rsidP="00F40A99">
      <w:r>
        <w:t>A</w:t>
      </w:r>
      <w:r w:rsidRPr="00096FCD">
        <w:t xml:space="preserve"> harmonisation need w</w:t>
      </w:r>
      <w:r>
        <w:t>as</w:t>
      </w:r>
      <w:r w:rsidRPr="00096FCD">
        <w:t xml:space="preserve"> identified by the CMH-TF with regard to the </w:t>
      </w:r>
      <w:r>
        <w:t>blocking</w:t>
      </w:r>
      <w:r w:rsidR="00A632A5">
        <w:rPr>
          <w:rStyle w:val="FootnoteReference"/>
        </w:rPr>
        <w:footnoteReference w:id="1"/>
      </w:r>
      <w:r>
        <w:t xml:space="preserve"> of securities subject to a CA event</w:t>
      </w:r>
      <w:r w:rsidRPr="00096FCD">
        <w:t xml:space="preserve"> </w:t>
      </w:r>
      <w:r>
        <w:t>as described below.</w:t>
      </w:r>
    </w:p>
    <w:p w:rsidR="00F728B4" w:rsidRDefault="00F40A99" w:rsidP="00A632A5">
      <w:pPr>
        <w:pStyle w:val="ECBHeading1"/>
      </w:pPr>
      <w:r>
        <w:rPr>
          <w:noProof/>
        </w:rPr>
        <mc:AlternateContent>
          <mc:Choice Requires="wps">
            <w:drawing>
              <wp:anchor distT="0" distB="0" distL="114300" distR="114300" simplePos="0" relativeHeight="251659264" behindDoc="0" locked="0" layoutInCell="1" allowOverlap="1" wp14:anchorId="5C377DCD" wp14:editId="57E2086C">
                <wp:simplePos x="0" y="0"/>
                <wp:positionH relativeFrom="column">
                  <wp:posOffset>57785</wp:posOffset>
                </wp:positionH>
                <wp:positionV relativeFrom="paragraph">
                  <wp:posOffset>223520</wp:posOffset>
                </wp:positionV>
                <wp:extent cx="5949950" cy="1877060"/>
                <wp:effectExtent l="0" t="0" r="1333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877060"/>
                        </a:xfrm>
                        <a:prstGeom prst="rect">
                          <a:avLst/>
                        </a:prstGeom>
                        <a:solidFill>
                          <a:schemeClr val="accent3">
                            <a:lumMod val="20000"/>
                            <a:lumOff val="80000"/>
                          </a:schemeClr>
                        </a:solidFill>
                        <a:ln w="9525">
                          <a:solidFill>
                            <a:schemeClr val="tx1"/>
                          </a:solidFill>
                          <a:miter lim="800000"/>
                          <a:headEnd/>
                          <a:tailEnd/>
                        </a:ln>
                      </wps:spPr>
                      <wps:txbx>
                        <w:txbxContent>
                          <w:p w:rsidR="007B053D" w:rsidRDefault="007B053D" w:rsidP="00F40A99">
                            <w:pPr>
                              <w:autoSpaceDE w:val="0"/>
                              <w:autoSpaceDN w:val="0"/>
                              <w:adjustRightInd w:val="0"/>
                              <w:spacing w:after="0" w:line="240" w:lineRule="auto"/>
                              <w:rPr>
                                <w:rFonts w:cs="Arial"/>
                                <w:b/>
                                <w:bCs/>
                                <w:szCs w:val="20"/>
                              </w:rPr>
                            </w:pPr>
                            <w:r>
                              <w:rPr>
                                <w:rFonts w:cs="Arial"/>
                                <w:b/>
                                <w:bCs/>
                                <w:szCs w:val="20"/>
                              </w:rPr>
                              <w:t xml:space="preserve">Priority 2 - No. 3: </w:t>
                            </w:r>
                            <w:r w:rsidRPr="0011626D">
                              <w:rPr>
                                <w:rFonts w:cs="Arial"/>
                                <w:b/>
                                <w:bCs/>
                                <w:szCs w:val="20"/>
                              </w:rPr>
                              <w:t xml:space="preserve">CA Events where Participation Requires the Blocking of Securities </w:t>
                            </w:r>
                          </w:p>
                          <w:p w:rsidR="007B053D" w:rsidRDefault="007B053D" w:rsidP="00F40A99">
                            <w:pPr>
                              <w:autoSpaceDE w:val="0"/>
                              <w:autoSpaceDN w:val="0"/>
                              <w:adjustRightInd w:val="0"/>
                              <w:spacing w:after="0" w:line="240" w:lineRule="auto"/>
                              <w:rPr>
                                <w:rFonts w:cs="Arial"/>
                                <w:sz w:val="18"/>
                                <w:szCs w:val="20"/>
                              </w:rPr>
                            </w:pPr>
                            <w:r w:rsidRPr="00B304CD">
                              <w:rPr>
                                <w:rFonts w:cs="Arial"/>
                                <w:sz w:val="18"/>
                                <w:szCs w:val="20"/>
                                <w:u w:val="single"/>
                              </w:rPr>
                              <w:t>Description:</w:t>
                            </w:r>
                            <w:r>
                              <w:rPr>
                                <w:rFonts w:cs="Arial"/>
                                <w:sz w:val="18"/>
                                <w:szCs w:val="20"/>
                              </w:rPr>
                              <w:t xml:space="preserve"> </w:t>
                            </w:r>
                            <w:r w:rsidRPr="0011626D">
                              <w:rPr>
                                <w:rFonts w:cs="Arial"/>
                                <w:sz w:val="18"/>
                                <w:szCs w:val="20"/>
                              </w:rPr>
                              <w:t xml:space="preserve">Identification of those CA events where participation in the CA event requires the blocking of securities. </w:t>
                            </w:r>
                          </w:p>
                          <w:p w:rsidR="007B053D" w:rsidRPr="00484DE6" w:rsidRDefault="007B053D" w:rsidP="00F40A99">
                            <w:pPr>
                              <w:autoSpaceDE w:val="0"/>
                              <w:autoSpaceDN w:val="0"/>
                              <w:adjustRightInd w:val="0"/>
                              <w:spacing w:after="0" w:line="240" w:lineRule="auto"/>
                              <w:rPr>
                                <w:rFonts w:cs="Arial"/>
                                <w:b/>
                                <w:bCs/>
                                <w:sz w:val="18"/>
                                <w:szCs w:val="20"/>
                              </w:rPr>
                            </w:pPr>
                            <w:r w:rsidRPr="00B304CD">
                              <w:rPr>
                                <w:rFonts w:cs="Arial"/>
                                <w:b/>
                                <w:bCs/>
                                <w:sz w:val="18"/>
                                <w:szCs w:val="20"/>
                                <w:u w:val="single"/>
                              </w:rPr>
                              <w:t>Harmonisation Need:</w:t>
                            </w:r>
                            <w:r>
                              <w:rPr>
                                <w:rFonts w:cs="Arial"/>
                                <w:b/>
                                <w:bCs/>
                                <w:sz w:val="18"/>
                                <w:szCs w:val="20"/>
                              </w:rPr>
                              <w:t xml:space="preserve"> </w:t>
                            </w:r>
                            <w:r w:rsidRPr="0011626D">
                              <w:rPr>
                                <w:rFonts w:cs="Arial"/>
                                <w:b/>
                                <w:bCs/>
                                <w:sz w:val="18"/>
                                <w:szCs w:val="20"/>
                              </w:rPr>
                              <w:t>Further input / analysis is required in order to clarify if the same set of CA events are subject to blocking across all CSDs. Accordingly there may be a need for harmonisation in this area.</w:t>
                            </w:r>
                          </w:p>
                          <w:p w:rsidR="007B053D" w:rsidRPr="00484DE6" w:rsidRDefault="007B053D" w:rsidP="00F40A99">
                            <w:pPr>
                              <w:autoSpaceDE w:val="0"/>
                              <w:autoSpaceDN w:val="0"/>
                              <w:adjustRightInd w:val="0"/>
                              <w:spacing w:after="0" w:line="240" w:lineRule="auto"/>
                              <w:rPr>
                                <w:rFonts w:cs="Arial"/>
                                <w:b/>
                                <w:bCs/>
                                <w:sz w:val="18"/>
                                <w:szCs w:val="20"/>
                              </w:rPr>
                            </w:pPr>
                            <w:r w:rsidRPr="0011626D">
                              <w:rPr>
                                <w:rFonts w:cs="Arial"/>
                                <w:b/>
                                <w:bCs/>
                                <w:sz w:val="18"/>
                                <w:szCs w:val="20"/>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17.6pt;width:468.5pt;height:14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" fillcolor="#eaf1dd [662]" strokecolor="black [3213]">
                <v:textbox style="mso-fit-shape-to-text:t">
                  <w:txbxContent>
                    <w:p w:rsidR="007B053D" w:rsidRDefault="007B053D" w:rsidP="00F40A99">
                      <w:pPr>
                        <w:autoSpaceDE w:val="0"/>
                        <w:autoSpaceDN w:val="0"/>
                        <w:adjustRightInd w:val="0"/>
                        <w:spacing w:after="0" w:line="240" w:lineRule="auto"/>
                        <w:rPr>
                          <w:rFonts w:cs="Arial"/>
                          <w:b/>
                          <w:bCs/>
                          <w:szCs w:val="20"/>
                        </w:rPr>
                      </w:pPr>
                      <w:r>
                        <w:rPr>
                          <w:rFonts w:cs="Arial"/>
                          <w:b/>
                          <w:bCs/>
                          <w:szCs w:val="20"/>
                        </w:rPr>
                        <w:t xml:space="preserve">Priority 2 - No. 3: </w:t>
                      </w:r>
                      <w:r w:rsidRPr="0011626D">
                        <w:rPr>
                          <w:rFonts w:cs="Arial"/>
                          <w:b/>
                          <w:bCs/>
                          <w:szCs w:val="20"/>
                        </w:rPr>
                        <w:t xml:space="preserve">CA Events where Participation Requires the Blocking of Securities </w:t>
                      </w:r>
                    </w:p>
                    <w:p w:rsidR="007B053D" w:rsidRDefault="007B053D" w:rsidP="00F40A99">
                      <w:pPr>
                        <w:autoSpaceDE w:val="0"/>
                        <w:autoSpaceDN w:val="0"/>
                        <w:adjustRightInd w:val="0"/>
                        <w:spacing w:after="0" w:line="240" w:lineRule="auto"/>
                        <w:rPr>
                          <w:rFonts w:cs="Arial"/>
                          <w:sz w:val="18"/>
                          <w:szCs w:val="20"/>
                        </w:rPr>
                      </w:pPr>
                      <w:r w:rsidRPr="00B304CD">
                        <w:rPr>
                          <w:rFonts w:cs="Arial"/>
                          <w:sz w:val="18"/>
                          <w:szCs w:val="20"/>
                          <w:u w:val="single"/>
                        </w:rPr>
                        <w:t>Description:</w:t>
                      </w:r>
                      <w:r>
                        <w:rPr>
                          <w:rFonts w:cs="Arial"/>
                          <w:sz w:val="18"/>
                          <w:szCs w:val="20"/>
                        </w:rPr>
                        <w:t xml:space="preserve"> </w:t>
                      </w:r>
                      <w:r w:rsidRPr="0011626D">
                        <w:rPr>
                          <w:rFonts w:cs="Arial"/>
                          <w:sz w:val="18"/>
                          <w:szCs w:val="20"/>
                        </w:rPr>
                        <w:t xml:space="preserve">Identification of those CA events where participation in the CA event requires the blocking of securities. </w:t>
                      </w:r>
                    </w:p>
                    <w:p w:rsidR="007B053D" w:rsidRPr="00484DE6" w:rsidRDefault="007B053D" w:rsidP="00F40A99">
                      <w:pPr>
                        <w:autoSpaceDE w:val="0"/>
                        <w:autoSpaceDN w:val="0"/>
                        <w:adjustRightInd w:val="0"/>
                        <w:spacing w:after="0" w:line="240" w:lineRule="auto"/>
                        <w:rPr>
                          <w:rFonts w:cs="Arial"/>
                          <w:b/>
                          <w:bCs/>
                          <w:sz w:val="18"/>
                          <w:szCs w:val="20"/>
                        </w:rPr>
                      </w:pPr>
                      <w:r w:rsidRPr="00B304CD">
                        <w:rPr>
                          <w:rFonts w:cs="Arial"/>
                          <w:b/>
                          <w:bCs/>
                          <w:sz w:val="18"/>
                          <w:szCs w:val="20"/>
                          <w:u w:val="single"/>
                        </w:rPr>
                        <w:t>Harmonisation Need:</w:t>
                      </w:r>
                      <w:r>
                        <w:rPr>
                          <w:rFonts w:cs="Arial"/>
                          <w:b/>
                          <w:bCs/>
                          <w:sz w:val="18"/>
                          <w:szCs w:val="20"/>
                        </w:rPr>
                        <w:t xml:space="preserve"> </w:t>
                      </w:r>
                      <w:r w:rsidRPr="0011626D">
                        <w:rPr>
                          <w:rFonts w:cs="Arial"/>
                          <w:b/>
                          <w:bCs/>
                          <w:sz w:val="18"/>
                          <w:szCs w:val="20"/>
                        </w:rPr>
                        <w:t>Further input / analysis is required in order to clarify if the same set of CA events are subject to blocking across all CSDs. Accordingly there may be a need for harmonisation in this area.</w:t>
                      </w:r>
                    </w:p>
                    <w:p w:rsidR="007B053D" w:rsidRPr="00484DE6" w:rsidRDefault="007B053D" w:rsidP="00F40A99">
                      <w:pPr>
                        <w:autoSpaceDE w:val="0"/>
                        <w:autoSpaceDN w:val="0"/>
                        <w:adjustRightInd w:val="0"/>
                        <w:spacing w:after="0" w:line="240" w:lineRule="auto"/>
                        <w:rPr>
                          <w:rFonts w:cs="Arial"/>
                          <w:b/>
                          <w:bCs/>
                          <w:sz w:val="18"/>
                          <w:szCs w:val="20"/>
                        </w:rPr>
                      </w:pPr>
                      <w:r w:rsidRPr="0011626D">
                        <w:rPr>
                          <w:rFonts w:cs="Arial"/>
                          <w:b/>
                          <w:bCs/>
                          <w:sz w:val="18"/>
                          <w:szCs w:val="20"/>
                        </w:rPr>
                        <w:t>.</w:t>
                      </w:r>
                    </w:p>
                  </w:txbxContent>
                </v:textbox>
                <w10:wrap type="square"/>
              </v:shape>
            </w:pict>
          </mc:Fallback>
        </mc:AlternateContent>
      </w:r>
      <w:r w:rsidR="00F728B4">
        <w:t>Issue Description</w:t>
      </w:r>
    </w:p>
    <w:p w:rsidR="00F728B4" w:rsidRDefault="00F728B4" w:rsidP="00F728B4">
      <w:pPr>
        <w:jc w:val="both"/>
      </w:pPr>
      <w:r>
        <w:t>Blocking is typically used on elective events from the moment a clients' election has been positioned and an instruction to the agent has been sent until debit (surrender) of accepted securities must occur and payment takes place. Blocking is not used in case only reco</w:t>
      </w:r>
      <w:r w:rsidR="00F81A6A">
        <w:t>rd date positioning is required</w:t>
      </w:r>
      <w:r>
        <w:t xml:space="preserve"> </w:t>
      </w:r>
      <w:r w:rsidR="00F81A6A">
        <w:t>(T</w:t>
      </w:r>
      <w:r>
        <w:t xml:space="preserve">his method is used when </w:t>
      </w:r>
      <w:r w:rsidR="00F81A6A">
        <w:t xml:space="preserve">the </w:t>
      </w:r>
      <w:r>
        <w:t xml:space="preserve">exercise security </w:t>
      </w:r>
      <w:r w:rsidR="00F81A6A">
        <w:t xml:space="preserve">that </w:t>
      </w:r>
      <w:r>
        <w:t>does not need to be surrended by entitlement is defined only by record date holding basis (such as rights distribution, often voting etc.). The movement of securities to ensure acceptance of instruction is required in the majority of markets, however when, and how, differs</w:t>
      </w:r>
      <w:r w:rsidR="00A632A5">
        <w:t xml:space="preserve"> (see Annex 1)</w:t>
      </w:r>
      <w:r>
        <w:t xml:space="preserve">. </w:t>
      </w:r>
      <w:r w:rsidRPr="006E32B3">
        <w:t>In addition</w:t>
      </w:r>
      <w:r>
        <w:t>,</w:t>
      </w:r>
      <w:r w:rsidRPr="006E32B3">
        <w:t xml:space="preserve"> when securities are subject to blocking</w:t>
      </w:r>
      <w:r>
        <w:t>,</w:t>
      </w:r>
      <w:r w:rsidRPr="006E32B3">
        <w:t xml:space="preserve"> different message types may be sent to confirm the blocking and subsequent unblocking of these securities.</w:t>
      </w:r>
      <w:r>
        <w:t xml:space="preserve"> </w:t>
      </w:r>
    </w:p>
    <w:p w:rsidR="00F40A99" w:rsidRDefault="00D80FC6" w:rsidP="00F40A99">
      <w:pPr>
        <w:pStyle w:val="ECBHeading1"/>
      </w:pPr>
      <w:r>
        <w:lastRenderedPageBreak/>
        <w:t>Fundaments underpinning potential h</w:t>
      </w:r>
      <w:r w:rsidR="00F40A99" w:rsidRPr="00F40A99">
        <w:t>armonisation</w:t>
      </w:r>
      <w:r w:rsidR="00F40A99" w:rsidRPr="00BA02EF">
        <w:t xml:space="preserve"> proposal</w:t>
      </w:r>
      <w:r w:rsidR="000D6F33">
        <w:t xml:space="preserve"> </w:t>
      </w:r>
    </w:p>
    <w:p w:rsidR="00F40A99" w:rsidRDefault="00F77D80" w:rsidP="00975890">
      <w:pPr>
        <w:jc w:val="both"/>
      </w:pPr>
      <w:r>
        <w:t>O</w:t>
      </w:r>
      <w:r w:rsidR="00CF4A71" w:rsidRPr="00D97C67">
        <w:t>f the CA events identified as relevant to Eurosystem debt instruments</w:t>
      </w:r>
      <w:r w:rsidR="00CF4A71">
        <w:t>,</w:t>
      </w:r>
      <w:r w:rsidR="00CF4A71" w:rsidRPr="00D97C67">
        <w:t xml:space="preserve"> </w:t>
      </w:r>
      <w:r w:rsidR="00CF4A71">
        <w:t>the</w:t>
      </w:r>
      <w:r w:rsidR="00CF4A71" w:rsidRPr="007A08FC">
        <w:t xml:space="preserve"> participation in </w:t>
      </w:r>
      <w:r w:rsidR="00A632A5">
        <w:t>predefined list of</w:t>
      </w:r>
      <w:r w:rsidR="00CF4A71">
        <w:t xml:space="preserve"> </w:t>
      </w:r>
      <w:r w:rsidR="00CF4A71" w:rsidRPr="007A08FC">
        <w:t xml:space="preserve">CA events should lead to a blocking of the underlying security </w:t>
      </w:r>
      <w:r w:rsidR="00CF4A71" w:rsidRPr="00D97C67">
        <w:t>(together with the exceptions identified</w:t>
      </w:r>
      <w:r>
        <w:t>)</w:t>
      </w:r>
      <w:r w:rsidR="00CF4A71">
        <w:t xml:space="preserve">. </w:t>
      </w:r>
      <w:r w:rsidR="00CF4A71" w:rsidRPr="00CF4A71">
        <w:t xml:space="preserve">It is understood that the blocking is performed automatically if participating in any of the </w:t>
      </w:r>
      <w:r>
        <w:t>identified</w:t>
      </w:r>
      <w:r w:rsidR="00CF4A71" w:rsidRPr="00CF4A71">
        <w:t xml:space="preserve"> event types i.e. the customer does not have to request a blocking of securities. The standard market practice </w:t>
      </w:r>
      <w:r>
        <w:t xml:space="preserve">should be </w:t>
      </w:r>
      <w:r w:rsidR="00CF4A71" w:rsidRPr="00CF4A71">
        <w:t>based on an ISO 20022 message by which market participants are notified of a blocking/unblocking of securities</w:t>
      </w:r>
      <w:r w:rsidR="007E2BAC">
        <w:t>.</w:t>
      </w:r>
      <w:r w:rsidR="007E2BAC" w:rsidRPr="007E2BAC">
        <w:t xml:space="preserve"> </w:t>
      </w:r>
      <w:r w:rsidR="00F40A99" w:rsidRPr="009928F4">
        <w:t>Based on the feedback received from (I)CSDs in ECSDA, the following harmonisation proposal is made</w:t>
      </w:r>
      <w:r w:rsidR="007259D3" w:rsidRPr="007259D3">
        <w:t xml:space="preserve"> </w:t>
      </w:r>
      <w:r w:rsidR="007259D3">
        <w:t xml:space="preserve">for </w:t>
      </w:r>
      <w:r w:rsidR="00D80FC6">
        <w:t>blocking of securities</w:t>
      </w:r>
      <w:r w:rsidR="007259D3">
        <w:t xml:space="preserve"> in T2S markets.</w:t>
      </w:r>
    </w:p>
    <w:p w:rsidR="00D80FC6" w:rsidRDefault="00D80FC6" w:rsidP="00975890">
      <w:pPr>
        <w:jc w:val="both"/>
      </w:pPr>
    </w:p>
    <w:p w:rsidR="00B7249E" w:rsidRPr="00593674" w:rsidRDefault="007259D3" w:rsidP="00593674">
      <w:pPr>
        <w:pStyle w:val="ListParagraph"/>
        <w:numPr>
          <w:ilvl w:val="0"/>
          <w:numId w:val="41"/>
        </w:numPr>
      </w:pPr>
      <w:r w:rsidRPr="00593674">
        <w:rPr>
          <w:b/>
        </w:rPr>
        <w:t xml:space="preserve">Securities should be blocked upon </w:t>
      </w:r>
      <w:r w:rsidR="002A34E0" w:rsidRPr="00593674">
        <w:rPr>
          <w:b/>
        </w:rPr>
        <w:t xml:space="preserve">receipt of an </w:t>
      </w:r>
      <w:r w:rsidRPr="00593674">
        <w:rPr>
          <w:b/>
        </w:rPr>
        <w:t xml:space="preserve">instruction on </w:t>
      </w:r>
      <w:r w:rsidR="00A960FC">
        <w:rPr>
          <w:b/>
        </w:rPr>
        <w:t>certain</w:t>
      </w:r>
      <w:r w:rsidR="00A960FC" w:rsidRPr="00593674">
        <w:rPr>
          <w:b/>
        </w:rPr>
        <w:t xml:space="preserve"> </w:t>
      </w:r>
      <w:r w:rsidRPr="00593674">
        <w:rPr>
          <w:b/>
        </w:rPr>
        <w:t>elective event</w:t>
      </w:r>
      <w:r w:rsidR="00A960FC">
        <w:rPr>
          <w:b/>
        </w:rPr>
        <w:t>s</w:t>
      </w:r>
      <w:r w:rsidRPr="00593674">
        <w:rPr>
          <w:b/>
        </w:rPr>
        <w:t xml:space="preserve"> </w:t>
      </w:r>
    </w:p>
    <w:p w:rsidR="005B5DA9" w:rsidRPr="007259D3" w:rsidRDefault="007B053D" w:rsidP="00B7249E">
      <w:pPr>
        <w:pStyle w:val="ListParagraph"/>
        <w:ind w:left="360"/>
      </w:pPr>
      <w:r w:rsidRPr="00B7249E">
        <w:t>This</w:t>
      </w:r>
      <w:r>
        <w:t xml:space="preserve"> is a </w:t>
      </w:r>
      <w:r w:rsidR="002A34E0">
        <w:t>blocking of the instructed positions</w:t>
      </w:r>
      <w:r w:rsidRPr="007B053D">
        <w:t xml:space="preserve"> </w:t>
      </w:r>
      <w:r>
        <w:t xml:space="preserve">so that clients cannot instruct. </w:t>
      </w:r>
      <w:r w:rsidR="007259D3">
        <w:t>I</w:t>
      </w:r>
      <w:r w:rsidR="007259D3" w:rsidRPr="002A34E0">
        <w:rPr>
          <w:bCs/>
        </w:rPr>
        <w:t>f there is no record date (RD), on an elective event, there is a blocking of securities; if there is a RD, there is a blocking only if instruction is received before the RD</w:t>
      </w:r>
      <w:r w:rsidR="007124C0">
        <w:rPr>
          <w:rStyle w:val="FootnoteReference"/>
          <w:bCs/>
        </w:rPr>
        <w:footnoteReference w:id="2"/>
      </w:r>
      <w:r w:rsidR="007259D3" w:rsidRPr="002A34E0">
        <w:rPr>
          <w:bCs/>
        </w:rPr>
        <w:t xml:space="preserve">. The table illustrates this: </w:t>
      </w:r>
    </w:p>
    <w:tbl>
      <w:tblPr>
        <w:tblW w:w="4542" w:type="pct"/>
        <w:tblInd w:w="664" w:type="dxa"/>
        <w:tblLayout w:type="fixed"/>
        <w:tblCellMar>
          <w:left w:w="0" w:type="dxa"/>
          <w:right w:w="0" w:type="dxa"/>
        </w:tblCellMar>
        <w:tblLook w:val="04A0" w:firstRow="1" w:lastRow="0" w:firstColumn="1" w:lastColumn="0" w:noHBand="0" w:noVBand="1"/>
      </w:tblPr>
      <w:tblGrid>
        <w:gridCol w:w="1000"/>
        <w:gridCol w:w="1160"/>
        <w:gridCol w:w="6534"/>
      </w:tblGrid>
      <w:tr w:rsidR="007259D3" w:rsidRPr="00975890" w:rsidTr="00975890">
        <w:trPr>
          <w:trHeight w:val="205"/>
          <w:tblHeader/>
        </w:trPr>
        <w:tc>
          <w:tcPr>
            <w:tcW w:w="575" w:type="pct"/>
            <w:shd w:val="clear" w:color="auto" w:fill="366092"/>
            <w:noWrap/>
            <w:tcMar>
              <w:top w:w="0" w:type="dxa"/>
              <w:left w:w="108" w:type="dxa"/>
              <w:bottom w:w="0" w:type="dxa"/>
              <w:right w:w="108" w:type="dxa"/>
            </w:tcMar>
            <w:vAlign w:val="center"/>
            <w:hideMark/>
          </w:tcPr>
          <w:p w:rsidR="007259D3" w:rsidRPr="00975890" w:rsidRDefault="007259D3" w:rsidP="007259D3">
            <w:pPr>
              <w:spacing w:line="240" w:lineRule="auto"/>
              <w:rPr>
                <w:b/>
                <w:bCs/>
                <w:color w:val="FFFFFF" w:themeColor="background1"/>
                <w:sz w:val="16"/>
                <w:szCs w:val="16"/>
              </w:rPr>
            </w:pPr>
            <w:r w:rsidRPr="00975890">
              <w:rPr>
                <w:b/>
                <w:bCs/>
                <w:color w:val="FFFFFF" w:themeColor="background1"/>
                <w:sz w:val="16"/>
                <w:szCs w:val="16"/>
              </w:rPr>
              <w:t>CA Event</w:t>
            </w:r>
          </w:p>
        </w:tc>
        <w:tc>
          <w:tcPr>
            <w:tcW w:w="667" w:type="pct"/>
            <w:shd w:val="clear" w:color="auto" w:fill="366092"/>
            <w:noWrap/>
            <w:tcMar>
              <w:top w:w="0" w:type="dxa"/>
              <w:left w:w="108" w:type="dxa"/>
              <w:bottom w:w="0" w:type="dxa"/>
              <w:right w:w="108" w:type="dxa"/>
            </w:tcMar>
            <w:vAlign w:val="center"/>
            <w:hideMark/>
          </w:tcPr>
          <w:p w:rsidR="007259D3" w:rsidRPr="00975890" w:rsidRDefault="007259D3" w:rsidP="007259D3">
            <w:pPr>
              <w:spacing w:line="240" w:lineRule="auto"/>
              <w:rPr>
                <w:b/>
                <w:bCs/>
                <w:color w:val="FFFFFF" w:themeColor="background1"/>
                <w:sz w:val="16"/>
                <w:szCs w:val="16"/>
              </w:rPr>
            </w:pPr>
            <w:r w:rsidRPr="00975890">
              <w:rPr>
                <w:b/>
                <w:bCs/>
                <w:color w:val="FFFFFF" w:themeColor="background1"/>
                <w:sz w:val="16"/>
                <w:szCs w:val="16"/>
              </w:rPr>
              <w:t>Mandatory / Voluntary</w:t>
            </w:r>
          </w:p>
        </w:tc>
        <w:tc>
          <w:tcPr>
            <w:tcW w:w="3758" w:type="pct"/>
            <w:shd w:val="clear" w:color="auto" w:fill="366092"/>
            <w:noWrap/>
            <w:tcMar>
              <w:top w:w="0" w:type="dxa"/>
              <w:left w:w="108" w:type="dxa"/>
              <w:bottom w:w="0" w:type="dxa"/>
              <w:right w:w="108" w:type="dxa"/>
            </w:tcMar>
            <w:vAlign w:val="center"/>
            <w:hideMark/>
          </w:tcPr>
          <w:p w:rsidR="007259D3" w:rsidRPr="00975890" w:rsidRDefault="007259D3" w:rsidP="007259D3">
            <w:pPr>
              <w:spacing w:line="240" w:lineRule="auto"/>
              <w:rPr>
                <w:b/>
                <w:bCs/>
                <w:color w:val="FFFFFF" w:themeColor="background1"/>
                <w:sz w:val="16"/>
                <w:szCs w:val="16"/>
              </w:rPr>
            </w:pPr>
            <w:r w:rsidRPr="00975890">
              <w:rPr>
                <w:b/>
                <w:bCs/>
                <w:color w:val="FFFFFF" w:themeColor="background1"/>
                <w:sz w:val="16"/>
                <w:szCs w:val="16"/>
              </w:rPr>
              <w:t>CMH-TF Proposal: CA events for which participation should lead to a blocking of the underlying security</w:t>
            </w:r>
          </w:p>
        </w:tc>
      </w:tr>
      <w:tr w:rsidR="007259D3" w:rsidRPr="00975890" w:rsidTr="00975890">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BIDS</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VOLU</w:t>
            </w:r>
          </w:p>
        </w:tc>
        <w:tc>
          <w:tcPr>
            <w:tcW w:w="3758" w:type="pct"/>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7259D3" w:rsidRPr="00975890" w:rsidRDefault="007259D3" w:rsidP="007259D3">
            <w:pPr>
              <w:spacing w:line="240" w:lineRule="auto"/>
              <w:rPr>
                <w:sz w:val="16"/>
                <w:szCs w:val="16"/>
              </w:rPr>
            </w:pPr>
            <w:r w:rsidRPr="00975890">
              <w:rPr>
                <w:sz w:val="16"/>
                <w:szCs w:val="16"/>
              </w:rPr>
              <w:t>Yes, blocking</w:t>
            </w:r>
          </w:p>
        </w:tc>
      </w:tr>
      <w:tr w:rsidR="007259D3" w:rsidRPr="00975890" w:rsidTr="00975890">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BMET</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259D3" w:rsidRPr="00975890" w:rsidRDefault="007259D3" w:rsidP="007259D3">
            <w:pPr>
              <w:spacing w:line="240" w:lineRule="auto"/>
              <w:rPr>
                <w:sz w:val="16"/>
                <w:szCs w:val="16"/>
              </w:rPr>
            </w:pPr>
            <w:r w:rsidRPr="00975890">
              <w:rPr>
                <w:sz w:val="16"/>
                <w:szCs w:val="16"/>
              </w:rPr>
              <w:t>If RD is in the past, no blocking. If RD in the future, blocking until RD. If no RD, blocking</w:t>
            </w:r>
          </w:p>
        </w:tc>
      </w:tr>
      <w:tr w:rsidR="007259D3" w:rsidRPr="00975890" w:rsidTr="00975890">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BPUT</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259D3" w:rsidRPr="00975890" w:rsidRDefault="007259D3" w:rsidP="007259D3">
            <w:pPr>
              <w:spacing w:line="240" w:lineRule="auto"/>
              <w:rPr>
                <w:sz w:val="16"/>
                <w:szCs w:val="16"/>
              </w:rPr>
            </w:pPr>
            <w:r w:rsidRPr="00975890">
              <w:rPr>
                <w:sz w:val="16"/>
                <w:szCs w:val="16"/>
              </w:rPr>
              <w:t>Yes, blocking</w:t>
            </w:r>
          </w:p>
        </w:tc>
      </w:tr>
      <w:tr w:rsidR="007259D3" w:rsidRPr="00975890" w:rsidTr="00975890">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CERT</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259D3" w:rsidRPr="00975890" w:rsidRDefault="007259D3" w:rsidP="007259D3">
            <w:pPr>
              <w:spacing w:line="240" w:lineRule="auto"/>
              <w:rPr>
                <w:sz w:val="16"/>
                <w:szCs w:val="16"/>
              </w:rPr>
            </w:pPr>
            <w:r w:rsidRPr="00975890">
              <w:rPr>
                <w:sz w:val="16"/>
                <w:szCs w:val="16"/>
              </w:rPr>
              <w:t> Yes, blocking</w:t>
            </w:r>
          </w:p>
        </w:tc>
      </w:tr>
      <w:tr w:rsidR="007259D3" w:rsidRPr="00975890" w:rsidTr="00975890">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CMET</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259D3" w:rsidRPr="00975890" w:rsidRDefault="007259D3" w:rsidP="007259D3">
            <w:pPr>
              <w:spacing w:line="240" w:lineRule="auto"/>
              <w:rPr>
                <w:sz w:val="16"/>
                <w:szCs w:val="16"/>
              </w:rPr>
            </w:pPr>
            <w:r w:rsidRPr="00975890">
              <w:rPr>
                <w:sz w:val="16"/>
                <w:szCs w:val="16"/>
              </w:rPr>
              <w:t>If RD is in the past, no blocking. If RD in the future, blocking until RD. If no RD, blocking</w:t>
            </w:r>
          </w:p>
        </w:tc>
      </w:tr>
      <w:tr w:rsidR="007259D3" w:rsidRPr="00975890" w:rsidTr="00975890">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CONS</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259D3" w:rsidRPr="00975890" w:rsidRDefault="007259D3" w:rsidP="007259D3">
            <w:pPr>
              <w:spacing w:line="240" w:lineRule="auto"/>
              <w:rPr>
                <w:sz w:val="16"/>
                <w:szCs w:val="16"/>
              </w:rPr>
            </w:pPr>
            <w:r w:rsidRPr="00975890">
              <w:rPr>
                <w:sz w:val="16"/>
                <w:szCs w:val="16"/>
              </w:rPr>
              <w:t>If RD is in the past, no blocking. If RD in the future, blocking until RD. If no RD, blocking</w:t>
            </w:r>
          </w:p>
        </w:tc>
      </w:tr>
      <w:tr w:rsidR="007259D3" w:rsidRPr="00975890" w:rsidTr="00975890">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DSCL</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259D3" w:rsidRPr="00975890" w:rsidRDefault="007259D3" w:rsidP="007259D3">
            <w:pPr>
              <w:spacing w:line="240" w:lineRule="auto"/>
              <w:rPr>
                <w:sz w:val="16"/>
                <w:szCs w:val="16"/>
              </w:rPr>
            </w:pPr>
            <w:r w:rsidRPr="00975890">
              <w:rPr>
                <w:sz w:val="16"/>
                <w:szCs w:val="16"/>
              </w:rPr>
              <w:t>If RD is in the past, no blocking. If RD in the future, blocking until RD. If no RD, blocking</w:t>
            </w:r>
          </w:p>
        </w:tc>
      </w:tr>
      <w:tr w:rsidR="007259D3" w:rsidRPr="00975890" w:rsidTr="00975890">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DTCH</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259D3" w:rsidRPr="00975890" w:rsidRDefault="007259D3" w:rsidP="007259D3">
            <w:pPr>
              <w:spacing w:line="240" w:lineRule="auto"/>
              <w:rPr>
                <w:sz w:val="16"/>
                <w:szCs w:val="16"/>
              </w:rPr>
            </w:pPr>
            <w:r w:rsidRPr="00975890">
              <w:rPr>
                <w:sz w:val="16"/>
                <w:szCs w:val="16"/>
              </w:rPr>
              <w:t>Yes, blocking</w:t>
            </w:r>
          </w:p>
        </w:tc>
      </w:tr>
      <w:tr w:rsidR="007259D3" w:rsidRPr="00975890" w:rsidTr="00975890">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EXOF</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259D3" w:rsidRPr="00975890" w:rsidRDefault="007259D3" w:rsidP="007259D3">
            <w:pPr>
              <w:spacing w:line="240" w:lineRule="auto"/>
              <w:rPr>
                <w:sz w:val="16"/>
                <w:szCs w:val="16"/>
              </w:rPr>
            </w:pPr>
            <w:r w:rsidRPr="00975890">
              <w:rPr>
                <w:sz w:val="16"/>
                <w:szCs w:val="16"/>
              </w:rPr>
              <w:t>Yes, blocking</w:t>
            </w:r>
          </w:p>
        </w:tc>
      </w:tr>
      <w:tr w:rsidR="007259D3" w:rsidRPr="00975890" w:rsidTr="00975890">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EXOF</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259D3" w:rsidRPr="00975890" w:rsidRDefault="007259D3" w:rsidP="007259D3">
            <w:pPr>
              <w:spacing w:line="240" w:lineRule="auto"/>
              <w:rPr>
                <w:sz w:val="16"/>
                <w:szCs w:val="16"/>
              </w:rPr>
            </w:pPr>
            <w:r w:rsidRPr="00975890">
              <w:rPr>
                <w:sz w:val="16"/>
                <w:szCs w:val="16"/>
              </w:rPr>
              <w:t>Yes, blocking</w:t>
            </w:r>
          </w:p>
        </w:tc>
      </w:tr>
      <w:tr w:rsidR="007259D3" w:rsidRPr="00975890" w:rsidTr="00975890">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EXTM</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259D3" w:rsidRPr="00975890" w:rsidRDefault="007259D3" w:rsidP="007259D3">
            <w:pPr>
              <w:spacing w:line="240" w:lineRule="auto"/>
              <w:rPr>
                <w:sz w:val="16"/>
                <w:szCs w:val="16"/>
              </w:rPr>
            </w:pPr>
            <w:r w:rsidRPr="00975890">
              <w:rPr>
                <w:sz w:val="16"/>
                <w:szCs w:val="16"/>
              </w:rPr>
              <w:t>Yes, blocking</w:t>
            </w:r>
          </w:p>
        </w:tc>
      </w:tr>
      <w:tr w:rsidR="007259D3" w:rsidRPr="00975890" w:rsidTr="00975890">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INTR</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259D3" w:rsidRPr="00975890" w:rsidRDefault="007259D3" w:rsidP="007259D3">
            <w:pPr>
              <w:spacing w:line="240" w:lineRule="auto"/>
              <w:rPr>
                <w:sz w:val="16"/>
                <w:szCs w:val="16"/>
              </w:rPr>
            </w:pPr>
            <w:r w:rsidRPr="00975890">
              <w:rPr>
                <w:sz w:val="16"/>
                <w:szCs w:val="16"/>
              </w:rPr>
              <w:t>Yes, blocking</w:t>
            </w:r>
          </w:p>
        </w:tc>
      </w:tr>
      <w:tr w:rsidR="007259D3" w:rsidRPr="00975890" w:rsidTr="00975890">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LIQU</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259D3" w:rsidRPr="00975890" w:rsidRDefault="007259D3" w:rsidP="007259D3">
            <w:pPr>
              <w:spacing w:line="240" w:lineRule="auto"/>
              <w:rPr>
                <w:sz w:val="16"/>
                <w:szCs w:val="16"/>
              </w:rPr>
            </w:pPr>
            <w:r w:rsidRPr="00975890">
              <w:rPr>
                <w:sz w:val="16"/>
                <w:szCs w:val="16"/>
              </w:rPr>
              <w:t>Yes, blocking</w:t>
            </w:r>
          </w:p>
        </w:tc>
      </w:tr>
      <w:tr w:rsidR="007259D3" w:rsidRPr="00975890" w:rsidTr="00975890">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MCAL</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259D3" w:rsidRPr="00975890" w:rsidRDefault="007259D3" w:rsidP="007259D3">
            <w:pPr>
              <w:spacing w:line="240" w:lineRule="auto"/>
              <w:rPr>
                <w:sz w:val="16"/>
                <w:szCs w:val="16"/>
              </w:rPr>
            </w:pPr>
            <w:r w:rsidRPr="00975890">
              <w:rPr>
                <w:sz w:val="16"/>
                <w:szCs w:val="16"/>
              </w:rPr>
              <w:t>Yes, blocking</w:t>
            </w:r>
          </w:p>
        </w:tc>
      </w:tr>
      <w:tr w:rsidR="007259D3" w:rsidRPr="00975890" w:rsidTr="00975890">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MEET</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259D3" w:rsidRPr="00975890" w:rsidRDefault="007259D3" w:rsidP="007259D3">
            <w:pPr>
              <w:spacing w:line="240" w:lineRule="auto"/>
              <w:rPr>
                <w:sz w:val="16"/>
                <w:szCs w:val="16"/>
              </w:rPr>
            </w:pPr>
            <w:r w:rsidRPr="00975890">
              <w:rPr>
                <w:sz w:val="16"/>
                <w:szCs w:val="16"/>
              </w:rPr>
              <w:t>If RD is in the past, no blocking. If RD in the future, blocking until RD. If no RD, blocking</w:t>
            </w:r>
          </w:p>
        </w:tc>
      </w:tr>
      <w:tr w:rsidR="007259D3" w:rsidRPr="00975890" w:rsidTr="00975890">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MRGR</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259D3" w:rsidRPr="00975890" w:rsidRDefault="007259D3" w:rsidP="007259D3">
            <w:pPr>
              <w:spacing w:line="240" w:lineRule="auto"/>
              <w:rPr>
                <w:sz w:val="16"/>
                <w:szCs w:val="16"/>
              </w:rPr>
            </w:pPr>
            <w:r w:rsidRPr="00975890">
              <w:rPr>
                <w:sz w:val="16"/>
                <w:szCs w:val="16"/>
              </w:rPr>
              <w:t>No RD =&gt; blocking</w:t>
            </w:r>
          </w:p>
        </w:tc>
      </w:tr>
      <w:tr w:rsidR="007259D3" w:rsidRPr="00975890" w:rsidTr="00975890">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OMET</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259D3" w:rsidRPr="00975890" w:rsidRDefault="007259D3" w:rsidP="007259D3">
            <w:pPr>
              <w:spacing w:line="240" w:lineRule="auto"/>
              <w:rPr>
                <w:sz w:val="16"/>
                <w:szCs w:val="16"/>
              </w:rPr>
            </w:pPr>
            <w:r w:rsidRPr="00975890">
              <w:rPr>
                <w:sz w:val="16"/>
                <w:szCs w:val="16"/>
              </w:rPr>
              <w:t>If RD is in the past, no blocking. If RD in the future, blocking until RD. If no RD, blocking</w:t>
            </w:r>
          </w:p>
        </w:tc>
      </w:tr>
      <w:tr w:rsidR="007259D3" w:rsidRPr="00975890" w:rsidTr="00975890">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lastRenderedPageBreak/>
              <w:t>OTHR</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259D3" w:rsidRPr="00975890" w:rsidRDefault="007259D3" w:rsidP="007259D3">
            <w:pPr>
              <w:spacing w:line="240" w:lineRule="auto"/>
              <w:rPr>
                <w:sz w:val="16"/>
                <w:szCs w:val="16"/>
              </w:rPr>
            </w:pPr>
            <w:r w:rsidRPr="00975890">
              <w:rPr>
                <w:sz w:val="16"/>
                <w:szCs w:val="16"/>
              </w:rPr>
              <w:t>If RD is in the past, no blocking. If RD in the future, blocking until RD. If no RD, blocking</w:t>
            </w:r>
          </w:p>
        </w:tc>
      </w:tr>
      <w:tr w:rsidR="007259D3" w:rsidRPr="00975890" w:rsidTr="00975890">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OTHR</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259D3" w:rsidRPr="00975890" w:rsidRDefault="007259D3" w:rsidP="007259D3">
            <w:pPr>
              <w:spacing w:line="240" w:lineRule="auto"/>
              <w:rPr>
                <w:sz w:val="16"/>
                <w:szCs w:val="16"/>
              </w:rPr>
            </w:pPr>
            <w:r w:rsidRPr="00975890">
              <w:rPr>
                <w:sz w:val="16"/>
                <w:szCs w:val="16"/>
              </w:rPr>
              <w:t>If RD is in the past, no blocking. If RD in the future, blocking until RD. If no RD, blocking</w:t>
            </w:r>
          </w:p>
        </w:tc>
      </w:tr>
      <w:tr w:rsidR="007259D3" w:rsidRPr="00975890" w:rsidTr="00975890">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REDM</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259D3" w:rsidRPr="00975890" w:rsidRDefault="007259D3" w:rsidP="007259D3">
            <w:pPr>
              <w:spacing w:line="240" w:lineRule="auto"/>
              <w:rPr>
                <w:sz w:val="16"/>
                <w:szCs w:val="16"/>
              </w:rPr>
            </w:pPr>
            <w:r w:rsidRPr="00975890">
              <w:rPr>
                <w:sz w:val="16"/>
                <w:szCs w:val="16"/>
              </w:rPr>
              <w:t>Yes, blocking</w:t>
            </w:r>
          </w:p>
        </w:tc>
      </w:tr>
      <w:tr w:rsidR="007259D3" w:rsidRPr="00975890" w:rsidTr="00975890">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TEND</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259D3" w:rsidRPr="00975890" w:rsidRDefault="007259D3" w:rsidP="007259D3">
            <w:pPr>
              <w:spacing w:line="240" w:lineRule="auto"/>
              <w:rPr>
                <w:sz w:val="16"/>
                <w:szCs w:val="16"/>
              </w:rPr>
            </w:pPr>
            <w:r w:rsidRPr="00975890">
              <w:rPr>
                <w:sz w:val="16"/>
                <w:szCs w:val="16"/>
              </w:rPr>
              <w:t>Yes, blocking</w:t>
            </w:r>
          </w:p>
        </w:tc>
      </w:tr>
      <w:tr w:rsidR="007259D3" w:rsidRPr="00975890" w:rsidTr="00975890">
        <w:trPr>
          <w:trHeight w:val="410"/>
        </w:trPr>
        <w:tc>
          <w:tcPr>
            <w:tcW w:w="575" w:type="pct"/>
            <w:tcBorders>
              <w:top w:val="nil"/>
              <w:left w:val="nil"/>
              <w:bottom w:val="single" w:sz="8" w:space="0" w:color="auto"/>
              <w:right w:val="nil"/>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XMET</w:t>
            </w:r>
          </w:p>
        </w:tc>
        <w:tc>
          <w:tcPr>
            <w:tcW w:w="667" w:type="pct"/>
            <w:tcBorders>
              <w:top w:val="nil"/>
              <w:left w:val="single" w:sz="8" w:space="0" w:color="16365C"/>
              <w:bottom w:val="single" w:sz="8" w:space="0" w:color="auto"/>
              <w:right w:val="single" w:sz="8" w:space="0" w:color="16365C"/>
            </w:tcBorders>
            <w:tcMar>
              <w:top w:w="0" w:type="dxa"/>
              <w:left w:w="108" w:type="dxa"/>
              <w:bottom w:w="0" w:type="dxa"/>
              <w:right w:w="108" w:type="dxa"/>
            </w:tcMar>
            <w:vAlign w:val="center"/>
            <w:hideMark/>
          </w:tcPr>
          <w:p w:rsidR="007259D3" w:rsidRPr="00975890" w:rsidRDefault="007259D3" w:rsidP="007259D3">
            <w:pPr>
              <w:spacing w:line="240" w:lineRule="auto"/>
              <w:rPr>
                <w:b/>
                <w:bCs/>
                <w:sz w:val="16"/>
                <w:szCs w:val="16"/>
              </w:rPr>
            </w:pPr>
            <w:r w:rsidRPr="00975890">
              <w:rPr>
                <w:b/>
                <w:bCs/>
                <w:sz w:val="16"/>
                <w:szCs w:val="16"/>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259D3" w:rsidRPr="00975890" w:rsidRDefault="007259D3" w:rsidP="007259D3">
            <w:pPr>
              <w:spacing w:line="240" w:lineRule="auto"/>
              <w:rPr>
                <w:sz w:val="16"/>
                <w:szCs w:val="16"/>
              </w:rPr>
            </w:pPr>
            <w:r w:rsidRPr="00975890">
              <w:rPr>
                <w:sz w:val="16"/>
                <w:szCs w:val="16"/>
              </w:rPr>
              <w:t>If RD is in the past, no blocking. If RD in the future, blocking until RD. If no RD, blocking</w:t>
            </w:r>
          </w:p>
        </w:tc>
      </w:tr>
    </w:tbl>
    <w:p w:rsidR="00A977D4" w:rsidRPr="00593674" w:rsidRDefault="00A977D4" w:rsidP="00593674">
      <w:pPr>
        <w:pStyle w:val="ListParagraph"/>
        <w:ind w:left="360"/>
        <w:rPr>
          <w:b/>
        </w:rPr>
      </w:pPr>
    </w:p>
    <w:p w:rsidR="00B7249E" w:rsidRPr="00593674" w:rsidRDefault="00A977D4" w:rsidP="00B7249E">
      <w:pPr>
        <w:pStyle w:val="ListParagraph"/>
        <w:numPr>
          <w:ilvl w:val="0"/>
          <w:numId w:val="41"/>
        </w:numPr>
        <w:rPr>
          <w:b/>
        </w:rPr>
      </w:pPr>
      <w:r>
        <w:rPr>
          <w:b/>
        </w:rPr>
        <w:t>Reporting of Blocking in T2S Markets</w:t>
      </w:r>
    </w:p>
    <w:p w:rsidR="00B7249E" w:rsidRDefault="00B7249E" w:rsidP="00B7249E">
      <w:pPr>
        <w:pStyle w:val="ListParagraph"/>
        <w:numPr>
          <w:ilvl w:val="1"/>
          <w:numId w:val="41"/>
        </w:numPr>
      </w:pPr>
      <w:r>
        <w:t>Depending on the message subscription options of the T2S account holder the following message types may be received  following the processing of a CA:</w:t>
      </w:r>
    </w:p>
    <w:p w:rsidR="00B7249E" w:rsidRDefault="00A960FC" w:rsidP="00593674">
      <w:pPr>
        <w:pStyle w:val="ListParagraph"/>
        <w:numPr>
          <w:ilvl w:val="2"/>
          <w:numId w:val="41"/>
        </w:numPr>
      </w:pPr>
      <w:r>
        <w:t>The</w:t>
      </w:r>
      <w:r w:rsidR="00B7249E">
        <w:t xml:space="preserve"> blocking results in a restricted usage of the securities in the same account, </w:t>
      </w:r>
      <w:r>
        <w:t xml:space="preserve">after which </w:t>
      </w:r>
      <w:r w:rsidR="00B7249E">
        <w:t>intra-position movement messages (semt.013, semt.014 and semt.015) can be generated to the account owner informing them of the securities movement (if the account owner subscribes to receive such messages).</w:t>
      </w:r>
    </w:p>
    <w:p w:rsidR="00A977D4" w:rsidRPr="00593674" w:rsidRDefault="00A977D4" w:rsidP="00593674">
      <w:pPr>
        <w:pStyle w:val="ListParagraph"/>
        <w:numPr>
          <w:ilvl w:val="1"/>
          <w:numId w:val="41"/>
        </w:numPr>
      </w:pPr>
      <w:r w:rsidRPr="00593674">
        <w:t xml:space="preserve">For clients receiving their reports in ISO 20022 directly from T2S, the </w:t>
      </w:r>
      <w:r w:rsidR="00B7249E">
        <w:t xml:space="preserve">statement of holdings </w:t>
      </w:r>
      <w:r w:rsidRPr="00593674">
        <w:t xml:space="preserve">report should show the relevant positions remaining on the relevant safekeeping account and blocked with one of the blocking sub-positions below (even if blocked position has been booked on a specific sub-account). Accordingly from a statement of holdings point of view (semt.002 message) will see </w:t>
      </w:r>
      <w:r w:rsidR="00725892" w:rsidRPr="00593674">
        <w:t>a sub-balance which equals the amount of securities blocked. The different qualifiers available include:</w:t>
      </w:r>
    </w:p>
    <w:p w:rsidR="00A977D4" w:rsidRPr="00593674" w:rsidRDefault="00A977D4" w:rsidP="00593674">
      <w:pPr>
        <w:pStyle w:val="ListParagraph"/>
        <w:numPr>
          <w:ilvl w:val="2"/>
          <w:numId w:val="41"/>
        </w:numPr>
      </w:pPr>
      <w:r w:rsidRPr="00593674">
        <w:t>BLCA - Blocked for Corporate Action</w:t>
      </w:r>
    </w:p>
    <w:p w:rsidR="00A977D4" w:rsidRPr="00593674" w:rsidRDefault="00A977D4" w:rsidP="00593674">
      <w:pPr>
        <w:pStyle w:val="ListParagraph"/>
        <w:numPr>
          <w:ilvl w:val="2"/>
          <w:numId w:val="41"/>
        </w:numPr>
      </w:pPr>
      <w:r w:rsidRPr="00593674">
        <w:t>BLOK – Blocked (from settlement activities)</w:t>
      </w:r>
    </w:p>
    <w:p w:rsidR="00A977D4" w:rsidRPr="00593674" w:rsidRDefault="00A977D4" w:rsidP="00593674">
      <w:pPr>
        <w:pStyle w:val="ListParagraph"/>
        <w:numPr>
          <w:ilvl w:val="2"/>
          <w:numId w:val="41"/>
        </w:numPr>
      </w:pPr>
      <w:r w:rsidRPr="00593674">
        <w:t>DRAW – Drawn (blocked for Redemption)</w:t>
      </w:r>
    </w:p>
    <w:p w:rsidR="00A977D4" w:rsidRPr="00A977D4" w:rsidRDefault="00A977D4" w:rsidP="00593674">
      <w:pPr>
        <w:pStyle w:val="ListParagraph"/>
        <w:numPr>
          <w:ilvl w:val="2"/>
          <w:numId w:val="41"/>
        </w:numPr>
        <w:rPr>
          <w:b/>
        </w:rPr>
      </w:pPr>
      <w:r w:rsidRPr="00593674">
        <w:t>RSTR – Restricted (blocked for Certification)</w:t>
      </w:r>
    </w:p>
    <w:p w:rsidR="00A977D4" w:rsidRDefault="00A977D4" w:rsidP="00593674">
      <w:pPr>
        <w:pStyle w:val="ListParagraph"/>
        <w:ind w:left="360"/>
        <w:rPr>
          <w:b/>
        </w:rPr>
      </w:pPr>
    </w:p>
    <w:tbl>
      <w:tblPr>
        <w:tblW w:w="0" w:type="auto"/>
        <w:shd w:val="clear" w:color="auto" w:fill="FFFFFF"/>
        <w:tblCellMar>
          <w:left w:w="0" w:type="dxa"/>
          <w:right w:w="0" w:type="dxa"/>
        </w:tblCellMar>
        <w:tblLook w:val="04A0" w:firstRow="1" w:lastRow="0" w:firstColumn="1" w:lastColumn="0" w:noHBand="0" w:noVBand="1"/>
      </w:tblPr>
      <w:tblGrid>
        <w:gridCol w:w="4119"/>
        <w:gridCol w:w="5387"/>
      </w:tblGrid>
      <w:tr w:rsidR="00B7249E" w:rsidRPr="00B7249E" w:rsidTr="00593674">
        <w:tc>
          <w:tcPr>
            <w:tcW w:w="4119" w:type="dxa"/>
            <w:tcBorders>
              <w:top w:val="single" w:sz="6" w:space="0" w:color="C8C8C8"/>
              <w:left w:val="single" w:sz="6" w:space="0" w:color="C8C8C8"/>
              <w:bottom w:val="single" w:sz="6" w:space="0" w:color="C8C8C8"/>
              <w:right w:val="single" w:sz="6" w:space="0" w:color="C8C8C8"/>
            </w:tcBorders>
            <w:shd w:val="clear" w:color="auto" w:fill="17365D" w:themeFill="text2" w:themeFillShade="BF"/>
            <w:tcMar>
              <w:top w:w="75" w:type="dxa"/>
              <w:left w:w="150" w:type="dxa"/>
              <w:bottom w:w="75" w:type="dxa"/>
              <w:right w:w="150" w:type="dxa"/>
            </w:tcMar>
            <w:vAlign w:val="bottom"/>
            <w:hideMark/>
          </w:tcPr>
          <w:p w:rsidR="00D63BD0" w:rsidRPr="00593674" w:rsidRDefault="00D63BD0" w:rsidP="00D63BD0">
            <w:pPr>
              <w:pStyle w:val="ListParagraph"/>
              <w:ind w:left="360"/>
              <w:rPr>
                <w:b/>
                <w:sz w:val="18"/>
              </w:rPr>
            </w:pPr>
            <w:r w:rsidRPr="00593674">
              <w:rPr>
                <w:b/>
                <w:bCs/>
                <w:sz w:val="18"/>
              </w:rPr>
              <w:t>Blocking type</w:t>
            </w:r>
          </w:p>
        </w:tc>
        <w:tc>
          <w:tcPr>
            <w:tcW w:w="5387" w:type="dxa"/>
            <w:tcBorders>
              <w:top w:val="single" w:sz="6" w:space="0" w:color="C8C8C8"/>
              <w:left w:val="single" w:sz="6" w:space="0" w:color="C8C8C8"/>
              <w:bottom w:val="single" w:sz="6" w:space="0" w:color="C8C8C8"/>
              <w:right w:val="single" w:sz="6" w:space="0" w:color="C8C8C8"/>
            </w:tcBorders>
            <w:shd w:val="clear" w:color="auto" w:fill="17365D" w:themeFill="text2" w:themeFillShade="BF"/>
            <w:tcMar>
              <w:top w:w="75" w:type="dxa"/>
              <w:left w:w="150" w:type="dxa"/>
              <w:bottom w:w="75" w:type="dxa"/>
              <w:right w:w="150" w:type="dxa"/>
            </w:tcMar>
            <w:vAlign w:val="bottom"/>
            <w:hideMark/>
          </w:tcPr>
          <w:p w:rsidR="00D63BD0" w:rsidRPr="00593674" w:rsidRDefault="00D63BD0" w:rsidP="00D63BD0">
            <w:pPr>
              <w:pStyle w:val="ListParagraph"/>
              <w:ind w:left="360"/>
              <w:rPr>
                <w:b/>
                <w:sz w:val="18"/>
              </w:rPr>
            </w:pPr>
            <w:r w:rsidRPr="00593674">
              <w:rPr>
                <w:b/>
                <w:bCs/>
                <w:sz w:val="18"/>
              </w:rPr>
              <w:t>Corporate event type (CAEV)</w:t>
            </w:r>
          </w:p>
        </w:tc>
      </w:tr>
      <w:tr w:rsidR="00B7249E" w:rsidRPr="00B7249E" w:rsidTr="00593674">
        <w:trPr>
          <w:trHeight w:val="1010"/>
        </w:trPr>
        <w:tc>
          <w:tcPr>
            <w:tcW w:w="4119" w:type="dxa"/>
            <w:tcBorders>
              <w:top w:val="single" w:sz="6" w:space="0" w:color="C8C8C8"/>
              <w:left w:val="single" w:sz="6" w:space="0" w:color="C8C8C8"/>
              <w:bottom w:val="single" w:sz="6" w:space="0" w:color="C8C8C8"/>
              <w:right w:val="single" w:sz="6" w:space="0" w:color="C8C8C8"/>
            </w:tcBorders>
            <w:shd w:val="clear" w:color="auto" w:fill="DBE5F1" w:themeFill="accent1" w:themeFillTint="33"/>
            <w:tcMar>
              <w:top w:w="75" w:type="dxa"/>
              <w:left w:w="150" w:type="dxa"/>
              <w:bottom w:w="75" w:type="dxa"/>
              <w:right w:w="150" w:type="dxa"/>
            </w:tcMar>
            <w:vAlign w:val="bottom"/>
            <w:hideMark/>
          </w:tcPr>
          <w:p w:rsidR="00D63BD0" w:rsidRPr="00593674" w:rsidRDefault="00D63BD0" w:rsidP="00D63BD0">
            <w:pPr>
              <w:pStyle w:val="ListParagraph"/>
              <w:ind w:left="360"/>
              <w:rPr>
                <w:b/>
                <w:sz w:val="18"/>
              </w:rPr>
            </w:pPr>
            <w:r w:rsidRPr="00593674">
              <w:rPr>
                <w:b/>
                <w:sz w:val="18"/>
              </w:rPr>
              <w:t>BLCA - Blocked for corporate actions</w:t>
            </w:r>
          </w:p>
        </w:tc>
        <w:tc>
          <w:tcPr>
            <w:tcW w:w="5387" w:type="dxa"/>
            <w:tcBorders>
              <w:top w:val="single" w:sz="6" w:space="0" w:color="C8C8C8"/>
              <w:left w:val="single" w:sz="6" w:space="0" w:color="C8C8C8"/>
              <w:bottom w:val="single" w:sz="6" w:space="0" w:color="C8C8C8"/>
              <w:right w:val="single" w:sz="6" w:space="0" w:color="C8C8C8"/>
            </w:tcBorders>
            <w:shd w:val="clear" w:color="auto" w:fill="FFFFFF"/>
            <w:tcMar>
              <w:top w:w="75" w:type="dxa"/>
              <w:left w:w="150" w:type="dxa"/>
              <w:bottom w:w="75" w:type="dxa"/>
              <w:right w:w="150" w:type="dxa"/>
            </w:tcMar>
            <w:vAlign w:val="bottom"/>
            <w:hideMark/>
          </w:tcPr>
          <w:p w:rsidR="00D63BD0" w:rsidRPr="00593674" w:rsidRDefault="00D63BD0" w:rsidP="00D63BD0">
            <w:pPr>
              <w:pStyle w:val="ListParagraph"/>
              <w:ind w:left="360"/>
              <w:rPr>
                <w:b/>
                <w:sz w:val="18"/>
              </w:rPr>
            </w:pPr>
            <w:r w:rsidRPr="00593674">
              <w:rPr>
                <w:b/>
                <w:sz w:val="18"/>
              </w:rPr>
              <w:t>Any reorganisation event requiring a position to be blocked</w:t>
            </w:r>
            <w:r w:rsidRPr="00593674">
              <w:rPr>
                <w:b/>
                <w:sz w:val="18"/>
              </w:rPr>
              <w:br/>
              <w:t>(for example, EXOF, TEND, MRGR, DVOP etc)</w:t>
            </w:r>
          </w:p>
        </w:tc>
      </w:tr>
      <w:tr w:rsidR="00B7249E" w:rsidRPr="00B7249E" w:rsidTr="00593674">
        <w:tc>
          <w:tcPr>
            <w:tcW w:w="4119" w:type="dxa"/>
            <w:tcBorders>
              <w:top w:val="single" w:sz="6" w:space="0" w:color="C8C8C8"/>
              <w:left w:val="single" w:sz="6" w:space="0" w:color="C8C8C8"/>
              <w:bottom w:val="single" w:sz="6" w:space="0" w:color="C8C8C8"/>
              <w:right w:val="single" w:sz="6" w:space="0" w:color="C8C8C8"/>
            </w:tcBorders>
            <w:shd w:val="clear" w:color="auto" w:fill="DBE5F1" w:themeFill="accent1" w:themeFillTint="33"/>
            <w:tcMar>
              <w:top w:w="75" w:type="dxa"/>
              <w:left w:w="150" w:type="dxa"/>
              <w:bottom w:w="75" w:type="dxa"/>
              <w:right w:w="150" w:type="dxa"/>
            </w:tcMar>
            <w:vAlign w:val="bottom"/>
            <w:hideMark/>
          </w:tcPr>
          <w:p w:rsidR="00D63BD0" w:rsidRPr="00593674" w:rsidRDefault="00D63BD0" w:rsidP="00D63BD0">
            <w:pPr>
              <w:pStyle w:val="ListParagraph"/>
              <w:ind w:left="360"/>
              <w:rPr>
                <w:b/>
                <w:sz w:val="18"/>
              </w:rPr>
            </w:pPr>
            <w:r w:rsidRPr="00593674">
              <w:rPr>
                <w:b/>
                <w:sz w:val="18"/>
              </w:rPr>
              <w:t>BLOK - Blocked from settlement activity</w:t>
            </w:r>
          </w:p>
        </w:tc>
        <w:tc>
          <w:tcPr>
            <w:tcW w:w="5387" w:type="dxa"/>
            <w:tcBorders>
              <w:top w:val="single" w:sz="6" w:space="0" w:color="C8C8C8"/>
              <w:left w:val="single" w:sz="6" w:space="0" w:color="C8C8C8"/>
              <w:bottom w:val="single" w:sz="6" w:space="0" w:color="C8C8C8"/>
              <w:right w:val="single" w:sz="6" w:space="0" w:color="C8C8C8"/>
            </w:tcBorders>
            <w:shd w:val="clear" w:color="auto" w:fill="FFFFFF"/>
            <w:tcMar>
              <w:top w:w="75" w:type="dxa"/>
              <w:left w:w="150" w:type="dxa"/>
              <w:bottom w:w="75" w:type="dxa"/>
              <w:right w:w="150" w:type="dxa"/>
            </w:tcMar>
            <w:vAlign w:val="bottom"/>
            <w:hideMark/>
          </w:tcPr>
          <w:p w:rsidR="00D63BD0" w:rsidRPr="00593674" w:rsidRDefault="00D63BD0" w:rsidP="00D63BD0">
            <w:pPr>
              <w:pStyle w:val="ListParagraph"/>
              <w:ind w:left="360"/>
              <w:rPr>
                <w:b/>
                <w:sz w:val="18"/>
              </w:rPr>
            </w:pPr>
            <w:r w:rsidRPr="00593674">
              <w:rPr>
                <w:b/>
                <w:sz w:val="18"/>
              </w:rPr>
              <w:t xml:space="preserve">MEET, CMET, BMET, XMET, CONS </w:t>
            </w:r>
          </w:p>
        </w:tc>
      </w:tr>
      <w:tr w:rsidR="00B7249E" w:rsidRPr="00B7249E" w:rsidTr="00593674">
        <w:tc>
          <w:tcPr>
            <w:tcW w:w="4119" w:type="dxa"/>
            <w:tcBorders>
              <w:top w:val="single" w:sz="6" w:space="0" w:color="C8C8C8"/>
              <w:left w:val="single" w:sz="6" w:space="0" w:color="C8C8C8"/>
              <w:bottom w:val="single" w:sz="6" w:space="0" w:color="C8C8C8"/>
              <w:right w:val="single" w:sz="6" w:space="0" w:color="C8C8C8"/>
            </w:tcBorders>
            <w:shd w:val="clear" w:color="auto" w:fill="DBE5F1" w:themeFill="accent1" w:themeFillTint="33"/>
            <w:tcMar>
              <w:top w:w="75" w:type="dxa"/>
              <w:left w:w="150" w:type="dxa"/>
              <w:bottom w:w="75" w:type="dxa"/>
              <w:right w:w="150" w:type="dxa"/>
            </w:tcMar>
            <w:vAlign w:val="bottom"/>
            <w:hideMark/>
          </w:tcPr>
          <w:p w:rsidR="00D63BD0" w:rsidRPr="00593674" w:rsidRDefault="00D63BD0" w:rsidP="00D63BD0">
            <w:pPr>
              <w:pStyle w:val="ListParagraph"/>
              <w:ind w:left="360"/>
              <w:rPr>
                <w:b/>
                <w:sz w:val="18"/>
              </w:rPr>
            </w:pPr>
            <w:r w:rsidRPr="00593674">
              <w:rPr>
                <w:b/>
                <w:sz w:val="18"/>
              </w:rPr>
              <w:t>DRAW - Blocked for redemption</w:t>
            </w:r>
          </w:p>
        </w:tc>
        <w:tc>
          <w:tcPr>
            <w:tcW w:w="5387" w:type="dxa"/>
            <w:tcBorders>
              <w:top w:val="single" w:sz="6" w:space="0" w:color="C8C8C8"/>
              <w:left w:val="single" w:sz="6" w:space="0" w:color="C8C8C8"/>
              <w:bottom w:val="single" w:sz="6" w:space="0" w:color="C8C8C8"/>
              <w:right w:val="single" w:sz="6" w:space="0" w:color="C8C8C8"/>
            </w:tcBorders>
            <w:shd w:val="clear" w:color="auto" w:fill="FFFFFF"/>
            <w:tcMar>
              <w:top w:w="75" w:type="dxa"/>
              <w:left w:w="150" w:type="dxa"/>
              <w:bottom w:w="75" w:type="dxa"/>
              <w:right w:w="150" w:type="dxa"/>
            </w:tcMar>
            <w:vAlign w:val="bottom"/>
            <w:hideMark/>
          </w:tcPr>
          <w:p w:rsidR="00D63BD0" w:rsidRPr="00593674" w:rsidRDefault="00D63BD0" w:rsidP="00D63BD0">
            <w:pPr>
              <w:pStyle w:val="ListParagraph"/>
              <w:ind w:left="360"/>
              <w:rPr>
                <w:b/>
                <w:sz w:val="18"/>
              </w:rPr>
            </w:pPr>
            <w:r w:rsidRPr="00593674">
              <w:rPr>
                <w:b/>
                <w:sz w:val="18"/>
              </w:rPr>
              <w:t>DRAW</w:t>
            </w:r>
          </w:p>
        </w:tc>
      </w:tr>
      <w:tr w:rsidR="00B7249E" w:rsidRPr="00B7249E" w:rsidTr="00593674">
        <w:tc>
          <w:tcPr>
            <w:tcW w:w="4119" w:type="dxa"/>
            <w:tcBorders>
              <w:top w:val="single" w:sz="6" w:space="0" w:color="C8C8C8"/>
              <w:left w:val="single" w:sz="6" w:space="0" w:color="C8C8C8"/>
              <w:bottom w:val="single" w:sz="6" w:space="0" w:color="C8C8C8"/>
              <w:right w:val="single" w:sz="6" w:space="0" w:color="C8C8C8"/>
            </w:tcBorders>
            <w:shd w:val="clear" w:color="auto" w:fill="DBE5F1" w:themeFill="accent1" w:themeFillTint="33"/>
            <w:tcMar>
              <w:top w:w="75" w:type="dxa"/>
              <w:left w:w="150" w:type="dxa"/>
              <w:bottom w:w="75" w:type="dxa"/>
              <w:right w:w="150" w:type="dxa"/>
            </w:tcMar>
            <w:vAlign w:val="bottom"/>
            <w:hideMark/>
          </w:tcPr>
          <w:p w:rsidR="00D63BD0" w:rsidRPr="00593674" w:rsidRDefault="00D63BD0" w:rsidP="00D63BD0">
            <w:pPr>
              <w:pStyle w:val="ListParagraph"/>
              <w:ind w:left="360"/>
              <w:rPr>
                <w:b/>
                <w:sz w:val="18"/>
              </w:rPr>
            </w:pPr>
            <w:r w:rsidRPr="00593674">
              <w:rPr>
                <w:b/>
                <w:sz w:val="18"/>
              </w:rPr>
              <w:lastRenderedPageBreak/>
              <w:t>RSTR - Blocked for certification</w:t>
            </w:r>
          </w:p>
        </w:tc>
        <w:tc>
          <w:tcPr>
            <w:tcW w:w="5387" w:type="dxa"/>
            <w:tcBorders>
              <w:top w:val="single" w:sz="6" w:space="0" w:color="C8C8C8"/>
              <w:left w:val="single" w:sz="6" w:space="0" w:color="C8C8C8"/>
              <w:bottom w:val="single" w:sz="6" w:space="0" w:color="C8C8C8"/>
              <w:right w:val="single" w:sz="6" w:space="0" w:color="C8C8C8"/>
            </w:tcBorders>
            <w:shd w:val="clear" w:color="auto" w:fill="FFFFFF"/>
            <w:tcMar>
              <w:top w:w="75" w:type="dxa"/>
              <w:left w:w="150" w:type="dxa"/>
              <w:bottom w:w="75" w:type="dxa"/>
              <w:right w:w="150" w:type="dxa"/>
            </w:tcMar>
            <w:vAlign w:val="bottom"/>
            <w:hideMark/>
          </w:tcPr>
          <w:p w:rsidR="00D63BD0" w:rsidRPr="00593674" w:rsidRDefault="00D63BD0" w:rsidP="00D63BD0">
            <w:pPr>
              <w:pStyle w:val="ListParagraph"/>
              <w:ind w:left="360"/>
              <w:rPr>
                <w:b/>
                <w:sz w:val="18"/>
              </w:rPr>
            </w:pPr>
            <w:r w:rsidRPr="00593674">
              <w:rPr>
                <w:b/>
                <w:sz w:val="18"/>
              </w:rPr>
              <w:t>CERT</w:t>
            </w:r>
          </w:p>
        </w:tc>
      </w:tr>
    </w:tbl>
    <w:p w:rsidR="00D63BD0" w:rsidRDefault="00D63BD0" w:rsidP="00593674">
      <w:pPr>
        <w:pStyle w:val="ListParagraph"/>
        <w:ind w:left="360"/>
        <w:rPr>
          <w:b/>
        </w:rPr>
      </w:pPr>
    </w:p>
    <w:p w:rsidR="00D63BD0" w:rsidRDefault="00D63BD0" w:rsidP="00593674">
      <w:pPr>
        <w:pStyle w:val="ListParagraph"/>
        <w:ind w:left="360"/>
        <w:rPr>
          <w:b/>
        </w:rPr>
      </w:pPr>
      <w:r>
        <w:rPr>
          <w:b/>
        </w:rPr>
        <w:t>This will be represented in T2S as follows:</w:t>
      </w:r>
    </w:p>
    <w:p w:rsidR="00D63BD0" w:rsidRPr="00D63BD0" w:rsidRDefault="00D63BD0" w:rsidP="00D63BD0">
      <w:pPr>
        <w:pStyle w:val="ListParagraph"/>
        <w:ind w:left="360"/>
        <w:rPr>
          <w:b/>
        </w:rPr>
      </w:pPr>
    </w:p>
    <w:p w:rsidR="00D63BD0" w:rsidRPr="00D63BD0" w:rsidRDefault="004C205A" w:rsidP="00D63BD0">
      <w:pPr>
        <w:pStyle w:val="ListParagraph"/>
        <w:ind w:left="360"/>
        <w:rPr>
          <w:b/>
        </w:rPr>
      </w:pPr>
      <w:r>
        <w:rPr>
          <w:b/>
        </w:rPr>
        <w:t>&lt;ISIN&gt; IT01234567890</w:t>
      </w:r>
    </w:p>
    <w:p w:rsidR="00D63BD0" w:rsidRPr="00D63BD0" w:rsidRDefault="00D63BD0" w:rsidP="00D63BD0">
      <w:pPr>
        <w:pStyle w:val="ListParagraph"/>
        <w:ind w:left="360"/>
        <w:rPr>
          <w:b/>
        </w:rPr>
      </w:pPr>
      <w:r w:rsidRPr="00D63BD0">
        <w:rPr>
          <w:b/>
        </w:rPr>
        <w:t>…</w:t>
      </w:r>
    </w:p>
    <w:p w:rsidR="00D63BD0" w:rsidRPr="00D63BD0" w:rsidRDefault="00D63BD0" w:rsidP="00D63BD0">
      <w:pPr>
        <w:pStyle w:val="ListParagraph"/>
        <w:ind w:left="360"/>
        <w:rPr>
          <w:b/>
        </w:rPr>
      </w:pPr>
      <w:r w:rsidRPr="00D63BD0">
        <w:rPr>
          <w:b/>
        </w:rPr>
        <w:t>&lt;SfkpgAcct&gt; DAKV1234</w:t>
      </w:r>
      <w:r w:rsidR="004C205A">
        <w:rPr>
          <w:b/>
        </w:rPr>
        <w:t>5678</w:t>
      </w:r>
    </w:p>
    <w:p w:rsidR="00D63BD0" w:rsidRPr="00D63BD0" w:rsidRDefault="00D63BD0" w:rsidP="00D63BD0">
      <w:pPr>
        <w:pStyle w:val="ListParagraph"/>
        <w:ind w:left="360"/>
        <w:rPr>
          <w:b/>
        </w:rPr>
      </w:pPr>
      <w:r w:rsidRPr="00D63BD0">
        <w:rPr>
          <w:b/>
        </w:rPr>
        <w:t>…</w:t>
      </w:r>
    </w:p>
    <w:p w:rsidR="00D63BD0" w:rsidRDefault="00D63BD0" w:rsidP="00593674">
      <w:pPr>
        <w:pStyle w:val="ListParagraph"/>
        <w:ind w:left="360"/>
        <w:rPr>
          <w:b/>
        </w:rPr>
      </w:pPr>
      <w:r w:rsidRPr="00D63BD0">
        <w:rPr>
          <w:b/>
        </w:rPr>
        <w:t xml:space="preserve">&lt;SubBalanceType&gt; BLCA </w:t>
      </w:r>
      <w:r w:rsidR="004C205A">
        <w:rPr>
          <w:b/>
        </w:rPr>
        <w:t>10</w:t>
      </w:r>
      <w:r w:rsidRPr="00D63BD0">
        <w:rPr>
          <w:b/>
        </w:rPr>
        <w:t>0000,</w:t>
      </w:r>
    </w:p>
    <w:p w:rsidR="00D63BD0" w:rsidRPr="00F1601B" w:rsidRDefault="00D63BD0" w:rsidP="00593674">
      <w:pPr>
        <w:pStyle w:val="ListParagraph"/>
        <w:ind w:left="360"/>
        <w:rPr>
          <w:b/>
        </w:rPr>
      </w:pPr>
    </w:p>
    <w:p w:rsidR="00F40A99" w:rsidRDefault="00F40A99" w:rsidP="00F1601B">
      <w:pPr>
        <w:pStyle w:val="ListParagraph"/>
        <w:ind w:left="360"/>
        <w:rPr>
          <w:b/>
        </w:rPr>
      </w:pPr>
    </w:p>
    <w:p w:rsidR="00A960FC" w:rsidRPr="00A960FC" w:rsidRDefault="00A960FC" w:rsidP="00A960FC">
      <w:pPr>
        <w:pStyle w:val="ListParagraph"/>
        <w:numPr>
          <w:ilvl w:val="1"/>
          <w:numId w:val="41"/>
        </w:numPr>
      </w:pPr>
      <w:r>
        <w:t>In additional to the settlement and reconciliation messages mentioned above a harmonisation proposal for reporting of blocking via corporate actions messages is currently under consideration whereby a flag/indicator could potentially be added in the MT564/CANO to show that securities will be blocked when instructed (or alternatively having a flag indicating that securities would not be blocked).</w:t>
      </w:r>
      <w:r w:rsidR="00447ACF">
        <w:t xml:space="preserve"> The feasibility of adopting this flag across markets is currently being assessed.</w:t>
      </w:r>
    </w:p>
    <w:p w:rsidR="00B84628" w:rsidRDefault="00B84628" w:rsidP="005916C7">
      <w:pPr>
        <w:jc w:val="both"/>
        <w:rPr>
          <w:b/>
        </w:rPr>
      </w:pPr>
    </w:p>
    <w:p w:rsidR="00F1601B" w:rsidRDefault="00F1601B">
      <w:pPr>
        <w:spacing w:before="0" w:after="0" w:line="240" w:lineRule="auto"/>
        <w:rPr>
          <w:b/>
        </w:rPr>
      </w:pPr>
      <w:r>
        <w:rPr>
          <w:b/>
        </w:rPr>
        <w:br w:type="page"/>
      </w:r>
    </w:p>
    <w:p w:rsidR="00A632A5" w:rsidRDefault="00A632A5" w:rsidP="005916C7">
      <w:pPr>
        <w:jc w:val="both"/>
        <w:rPr>
          <w:b/>
        </w:rPr>
      </w:pPr>
      <w:r>
        <w:rPr>
          <w:b/>
        </w:rPr>
        <w:lastRenderedPageBreak/>
        <w:t>Annex 1: Current market practices</w:t>
      </w:r>
    </w:p>
    <w:p w:rsidR="00A632A5" w:rsidRDefault="00A632A5" w:rsidP="00D80FC6">
      <w:pPr>
        <w:pStyle w:val="ListParagraph"/>
        <w:numPr>
          <w:ilvl w:val="0"/>
          <w:numId w:val="36"/>
        </w:numPr>
        <w:jc w:val="both"/>
      </w:pPr>
      <w:r>
        <w:t>Spain - For all events where a client election is required, financial intermediaries need to block the instructed position in T2S.</w:t>
      </w:r>
      <w:r w:rsidR="00D80FC6" w:rsidRPr="00D80FC6">
        <w:rPr>
          <w:color w:val="FF0000"/>
        </w:rPr>
        <w:t xml:space="preserve"> </w:t>
      </w:r>
      <w:r w:rsidR="00D80FC6" w:rsidRPr="00F1601B">
        <w:t xml:space="preserve">Accordingly there are no corporate actions in Iberclear </w:t>
      </w:r>
      <w:r w:rsidR="00D80FC6" w:rsidRPr="00D80FC6">
        <w:t>for which participation should lead to a blocking of the underlying security in another account. Participants have to move their holdings with restrictions to a sub-balance in the same account in order to participate in the voluntary corporate action. Once the securities are in that sub-balance, participants cannot use them for securities movement or settlement, so it is similar to a blocking.</w:t>
      </w:r>
      <w:r w:rsidR="00D80FC6">
        <w:t xml:space="preserve"> </w:t>
      </w:r>
      <w:r w:rsidR="00D80FC6" w:rsidRPr="00D80FC6">
        <w:t>Furthermore, movement of securities is done by Iberclear with the communication of a semt.013 message.</w:t>
      </w:r>
      <w:r w:rsidR="00D80FC6">
        <w:t xml:space="preserve"> </w:t>
      </w:r>
      <w:r w:rsidR="00D80FC6" w:rsidRPr="00D80FC6">
        <w:t>Finally, participants have to send MT565 to the issuer’s agent in order to participate in the voluntary corporate action, as well as transfer their holdings to a specific sub-balance identified in the CA announcement as it was described before</w:t>
      </w:r>
    </w:p>
    <w:p w:rsidR="00A632A5" w:rsidRDefault="00A632A5" w:rsidP="00A632A5">
      <w:pPr>
        <w:pStyle w:val="ListParagraph"/>
        <w:numPr>
          <w:ilvl w:val="0"/>
          <w:numId w:val="36"/>
        </w:numPr>
        <w:jc w:val="both"/>
      </w:pPr>
      <w:r>
        <w:t>Portugal - The blocking of elected positions in T2S take place after the market instruction is accepted and are instructed by Interbolsa. For tender offer events in Euronext, position needs to be surrendered to a specified Euronext account</w:t>
      </w:r>
    </w:p>
    <w:p w:rsidR="00D80FC6" w:rsidRDefault="00D80FC6" w:rsidP="00D80FC6">
      <w:pPr>
        <w:pStyle w:val="ListParagraph"/>
        <w:numPr>
          <w:ilvl w:val="0"/>
          <w:numId w:val="36"/>
        </w:numPr>
        <w:jc w:val="both"/>
      </w:pPr>
      <w:r>
        <w:t xml:space="preserve">Finland - </w:t>
      </w:r>
      <w:r w:rsidRPr="00D80FC6">
        <w:t>blocked securities are not transferred to another securities account or sub account. Instead, instructed securities are kept as blocked on the same account to which the instruction to participate in the event was sent. Please correct the table above.</w:t>
      </w:r>
    </w:p>
    <w:p w:rsidR="00A632A5" w:rsidRDefault="00A632A5" w:rsidP="00A632A5">
      <w:pPr>
        <w:pStyle w:val="ListParagraph"/>
        <w:numPr>
          <w:ilvl w:val="0"/>
          <w:numId w:val="36"/>
        </w:numPr>
        <w:jc w:val="both"/>
      </w:pPr>
      <w:r>
        <w:t>Germany - When ongoing tenders or exchange offers take place, the securities are moved to Cascade (CBF system) on a daily basis, while for capital increase events, securities and cash are normally blocked and sent to the CSD and paying agent respectively close to the market deadline of the event.</w:t>
      </w:r>
    </w:p>
    <w:p w:rsidR="00A632A5" w:rsidRDefault="00A632A5" w:rsidP="00A632A5">
      <w:pPr>
        <w:pStyle w:val="ListParagraph"/>
        <w:numPr>
          <w:ilvl w:val="0"/>
          <w:numId w:val="36"/>
        </w:numPr>
        <w:jc w:val="both"/>
      </w:pPr>
      <w:r>
        <w:t>Switzerland - Swiss market securities are moved to SIX SIS webmax platform on ongoing basis (if ongoing events i.e. ongoing tenders/exchanges) or at market deadline date, cash holding is taken from the custodian’s account with Six SIS.</w:t>
      </w:r>
    </w:p>
    <w:p w:rsidR="00A632A5" w:rsidRDefault="00A632A5" w:rsidP="00A632A5">
      <w:pPr>
        <w:pStyle w:val="ListParagraph"/>
        <w:numPr>
          <w:ilvl w:val="0"/>
          <w:numId w:val="36"/>
        </w:numPr>
        <w:jc w:val="both"/>
      </w:pPr>
      <w:r>
        <w:t xml:space="preserve">Austria - Austrian market holdings (securities and/or cash) are moved to OEKB close to market deadline date. </w:t>
      </w:r>
    </w:p>
    <w:p w:rsidR="00A632A5" w:rsidRDefault="00A632A5" w:rsidP="00A632A5">
      <w:pPr>
        <w:pStyle w:val="ListParagraph"/>
        <w:numPr>
          <w:ilvl w:val="0"/>
          <w:numId w:val="36"/>
        </w:numPr>
        <w:jc w:val="both"/>
      </w:pPr>
      <w:r>
        <w:t xml:space="preserve">ESES markets - All voluntary events will require transfer of securities to the agent in order to participate in the CA event. Some mandatory events cannot be processed STP via T2S due to technical limitations in the market, for example mergers (MRGR) where the ratio is unknown at announcement and cash dividends (DVCAs) on US securities (due to tax reasons) cannot be processed without manual intervention by the custodian. </w:t>
      </w:r>
    </w:p>
    <w:p w:rsidR="00D80FC6" w:rsidRPr="00D80FC6" w:rsidRDefault="00D80FC6" w:rsidP="00A632A5">
      <w:pPr>
        <w:pStyle w:val="ListParagraph"/>
        <w:numPr>
          <w:ilvl w:val="0"/>
          <w:numId w:val="36"/>
        </w:numPr>
        <w:jc w:val="both"/>
      </w:pPr>
      <w:r w:rsidRPr="00D80FC6">
        <w:t xml:space="preserve">Nasdaq CSD markets (EE, LV, MT) - </w:t>
      </w:r>
      <w:r w:rsidRPr="00F1601B">
        <w:t>Nasdaq CSD blocks securities for elective events, but doesn’t transfer the securities to another account, in T2S from position available (AWAS) to blocked (BLOK).</w:t>
      </w:r>
    </w:p>
    <w:p w:rsidR="00A632A5" w:rsidRDefault="00A632A5" w:rsidP="005916C7">
      <w:pPr>
        <w:jc w:val="both"/>
        <w:rPr>
          <w:b/>
        </w:rPr>
      </w:pPr>
    </w:p>
    <w:sectPr w:rsidR="00A632A5" w:rsidSect="00162000">
      <w:footerReference w:type="default" r:id="rId14"/>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01" w:rsidRDefault="00C03801">
      <w:pPr>
        <w:spacing w:before="0" w:after="0" w:line="240" w:lineRule="auto"/>
      </w:pPr>
      <w:r>
        <w:separator/>
      </w:r>
    </w:p>
  </w:endnote>
  <w:endnote w:type="continuationSeparator" w:id="0">
    <w:p w:rsidR="00C03801" w:rsidRDefault="00C0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ndny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3D" w:rsidRDefault="007B053D"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593674">
      <w:rPr>
        <w:sz w:val="14"/>
      </w:rPr>
      <w:t>CMH-TF Issues Note - CA Events Requiring Blocking of Securities rev2</w:t>
    </w:r>
    <w:r w:rsidRPr="00264109">
      <w:rPr>
        <w:sz w:val="14"/>
      </w:rPr>
      <w:fldChar w:fldCharType="end"/>
    </w:r>
    <w:r>
      <w:rPr>
        <w:sz w:val="14"/>
      </w:rPr>
      <w:tab/>
    </w:r>
    <w:r>
      <w:t xml:space="preserve">Page </w:t>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rsidR="00593674">
      <w:t>5</w:t>
    </w:r>
    <w:r>
      <w:fldChar w:fldCharType="end"/>
    </w:r>
  </w:p>
  <w:p w:rsidR="007B053D" w:rsidRDefault="007B053D" w:rsidP="00143A07">
    <w:pPr>
      <w:pStyle w:val="Footer"/>
      <w:jc w:val="both"/>
    </w:pPr>
    <w:r>
      <w:tab/>
    </w:r>
    <w:r w:rsidRPr="00850385">
      <w:rPr>
        <w:sz w:val="12"/>
        <w:szCs w:val="12"/>
      </w:rPr>
      <w:t xml:space="preserve">Last printed: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593674">
      <w:rPr>
        <w:sz w:val="12"/>
        <w:szCs w:val="12"/>
      </w:rPr>
      <w:t>03/09/2018 10:29:00</w:t>
    </w:r>
    <w:r w:rsidRPr="00850385">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3D" w:rsidRPr="004E0087" w:rsidRDefault="007B053D" w:rsidP="00162000">
    <w:pPr>
      <w:pStyle w:val="Footer"/>
      <w:tabs>
        <w:tab w:val="right" w:pos="9356"/>
      </w:tabs>
      <w:spacing w:line="200" w:lineRule="exact"/>
      <w:jc w:val="both"/>
      <w:rPr>
        <w:szCs w:val="17"/>
      </w:rPr>
    </w:pPr>
    <w:r>
      <w:rPr>
        <w:szCs w:val="17"/>
      </w:rPr>
      <w:t>Collateral Management Harmonisation Task Force</w:t>
    </w:r>
    <w:r w:rsidRPr="004E0087">
      <w:rPr>
        <w:szCs w:val="17"/>
      </w:rPr>
      <w:tab/>
      <w:t xml:space="preserve">Page </w:t>
    </w:r>
    <w:r w:rsidRPr="004E0087">
      <w:rPr>
        <w:szCs w:val="17"/>
      </w:rPr>
      <w:fldChar w:fldCharType="begin"/>
    </w:r>
    <w:r w:rsidRPr="004E0087">
      <w:rPr>
        <w:szCs w:val="17"/>
      </w:rPr>
      <w:instrText xml:space="preserve"> PAGE </w:instrText>
    </w:r>
    <w:r w:rsidRPr="004E0087">
      <w:rPr>
        <w:szCs w:val="17"/>
      </w:rPr>
      <w:fldChar w:fldCharType="separate"/>
    </w:r>
    <w:r w:rsidR="00036E56">
      <w:rPr>
        <w:szCs w:val="17"/>
      </w:rPr>
      <w:t>1</w:t>
    </w:r>
    <w:r w:rsidRPr="004E0087">
      <w:rPr>
        <w:szCs w:val="17"/>
      </w:rPr>
      <w:fldChar w:fldCharType="end"/>
    </w:r>
    <w:r w:rsidRPr="004E0087">
      <w:rPr>
        <w:szCs w:val="17"/>
      </w:rPr>
      <w:t xml:space="preserve"> of </w:t>
    </w:r>
    <w:r w:rsidRPr="004E0087">
      <w:rPr>
        <w:szCs w:val="17"/>
      </w:rPr>
      <w:fldChar w:fldCharType="begin"/>
    </w:r>
    <w:r w:rsidRPr="004E0087">
      <w:rPr>
        <w:szCs w:val="17"/>
      </w:rPr>
      <w:instrText xml:space="preserve"> NUMPAGES </w:instrText>
    </w:r>
    <w:r w:rsidRPr="004E0087">
      <w:rPr>
        <w:szCs w:val="17"/>
      </w:rPr>
      <w:fldChar w:fldCharType="separate"/>
    </w:r>
    <w:r w:rsidR="00036E56">
      <w:rPr>
        <w:szCs w:val="17"/>
      </w:rPr>
      <w:t>5</w:t>
    </w:r>
    <w:r w:rsidRPr="004E0087">
      <w:rPr>
        <w:szCs w:val="17"/>
      </w:rPr>
      <w:fldChar w:fldCharType="end"/>
    </w:r>
  </w:p>
  <w:p w:rsidR="007B053D" w:rsidRPr="004E0087" w:rsidRDefault="007B053D" w:rsidP="00162000">
    <w:pPr>
      <w:pStyle w:val="Footer"/>
      <w:tabs>
        <w:tab w:val="right" w:pos="9356"/>
      </w:tabs>
      <w:spacing w:line="200" w:lineRule="exact"/>
      <w:jc w:val="both"/>
      <w:rPr>
        <w:szCs w:val="17"/>
      </w:rPr>
    </w:pPr>
    <w:r w:rsidRPr="004E0087">
      <w:rPr>
        <w:szCs w:val="17"/>
      </w:rPr>
      <w:tab/>
    </w:r>
    <w:r w:rsidRPr="004E0087">
      <w:rPr>
        <w:szCs w:val="17"/>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3D" w:rsidRPr="004E0087" w:rsidRDefault="007B053D" w:rsidP="00162000">
    <w:pPr>
      <w:pStyle w:val="Footer"/>
      <w:tabs>
        <w:tab w:val="right" w:pos="9356"/>
      </w:tabs>
      <w:spacing w:line="200" w:lineRule="exact"/>
      <w:ind w:left="284" w:hanging="284"/>
      <w:jc w:val="both"/>
      <w:rPr>
        <w:szCs w:val="17"/>
      </w:rPr>
    </w:pPr>
    <w:r w:rsidRPr="001C5E0A">
      <w:rPr>
        <w:szCs w:val="17"/>
      </w:rPr>
      <w:t>Collateral Management Harmonisation Task Force</w:t>
    </w:r>
    <w:r w:rsidRPr="004E0087">
      <w:rPr>
        <w:szCs w:val="17"/>
      </w:rPr>
      <w:tab/>
      <w:t xml:space="preserve">Page </w:t>
    </w:r>
    <w:r w:rsidRPr="004E0087">
      <w:rPr>
        <w:szCs w:val="17"/>
      </w:rPr>
      <w:fldChar w:fldCharType="begin"/>
    </w:r>
    <w:r w:rsidRPr="004E0087">
      <w:rPr>
        <w:szCs w:val="17"/>
      </w:rPr>
      <w:instrText xml:space="preserve"> PAGE </w:instrText>
    </w:r>
    <w:r w:rsidRPr="004E0087">
      <w:rPr>
        <w:szCs w:val="17"/>
      </w:rPr>
      <w:fldChar w:fldCharType="separate"/>
    </w:r>
    <w:r w:rsidR="00036E56">
      <w:rPr>
        <w:szCs w:val="17"/>
      </w:rPr>
      <w:t>5</w:t>
    </w:r>
    <w:r w:rsidRPr="004E0087">
      <w:rPr>
        <w:szCs w:val="17"/>
      </w:rPr>
      <w:fldChar w:fldCharType="end"/>
    </w:r>
    <w:r w:rsidRPr="004E0087">
      <w:rPr>
        <w:szCs w:val="17"/>
      </w:rPr>
      <w:t xml:space="preserve"> of </w:t>
    </w:r>
    <w:r w:rsidRPr="004E0087">
      <w:rPr>
        <w:szCs w:val="17"/>
      </w:rPr>
      <w:fldChar w:fldCharType="begin"/>
    </w:r>
    <w:r w:rsidRPr="004E0087">
      <w:rPr>
        <w:szCs w:val="17"/>
      </w:rPr>
      <w:instrText xml:space="preserve"> NUMPAGES </w:instrText>
    </w:r>
    <w:r w:rsidRPr="004E0087">
      <w:rPr>
        <w:szCs w:val="17"/>
      </w:rPr>
      <w:fldChar w:fldCharType="separate"/>
    </w:r>
    <w:r w:rsidR="00036E56">
      <w:rPr>
        <w:szCs w:val="17"/>
      </w:rPr>
      <w:t>5</w:t>
    </w:r>
    <w:r w:rsidRPr="004E0087">
      <w:rPr>
        <w:szCs w:val="17"/>
      </w:rPr>
      <w:fldChar w:fldCharType="end"/>
    </w:r>
  </w:p>
  <w:p w:rsidR="007B053D" w:rsidRDefault="007B053D" w:rsidP="00E46E94">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01" w:rsidRDefault="00C03801">
      <w:pPr>
        <w:spacing w:before="0" w:after="0" w:line="240" w:lineRule="auto"/>
      </w:pPr>
      <w:r>
        <w:separator/>
      </w:r>
    </w:p>
  </w:footnote>
  <w:footnote w:type="continuationSeparator" w:id="0">
    <w:p w:rsidR="00C03801" w:rsidRDefault="00C03801">
      <w:pPr>
        <w:spacing w:before="0" w:after="0" w:line="240" w:lineRule="auto"/>
      </w:pPr>
      <w:r>
        <w:continuationSeparator/>
      </w:r>
    </w:p>
  </w:footnote>
  <w:footnote w:id="1">
    <w:p w:rsidR="00A632A5" w:rsidRDefault="00A632A5">
      <w:pPr>
        <w:pStyle w:val="FootnoteText"/>
      </w:pPr>
      <w:r>
        <w:rPr>
          <w:rStyle w:val="FootnoteReference"/>
        </w:rPr>
        <w:footnoteRef/>
      </w:r>
      <w:r>
        <w:t xml:space="preserve"> Blocking r</w:t>
      </w:r>
      <w:r>
        <w:rPr>
          <w:rFonts w:cs="Arial"/>
          <w:color w:val="222222"/>
          <w:shd w:val="clear" w:color="auto" w:fill="FFFFFF"/>
        </w:rPr>
        <w:t>efers to a period of time in which an investor's </w:t>
      </w:r>
      <w:r w:rsidRPr="00A632A5">
        <w:rPr>
          <w:rFonts w:cs="Arial"/>
          <w:bCs/>
          <w:color w:val="222222"/>
          <w:shd w:val="clear" w:color="auto" w:fill="FFFFFF"/>
        </w:rPr>
        <w:t>securities</w:t>
      </w:r>
      <w:r>
        <w:rPr>
          <w:rFonts w:cs="Arial"/>
          <w:color w:val="222222"/>
          <w:shd w:val="clear" w:color="auto" w:fill="FFFFFF"/>
        </w:rPr>
        <w:t> are prevented from being accessed.</w:t>
      </w:r>
    </w:p>
  </w:footnote>
  <w:footnote w:id="2">
    <w:p w:rsidR="007124C0" w:rsidRDefault="007124C0">
      <w:pPr>
        <w:pStyle w:val="FootnoteText"/>
      </w:pPr>
      <w:r>
        <w:rPr>
          <w:rStyle w:val="FootnoteReference"/>
        </w:rPr>
        <w:footnoteRef/>
      </w:r>
      <w:r>
        <w:t xml:space="preserve"> </w:t>
      </w:r>
      <w:r>
        <w:tab/>
      </w:r>
      <w:r w:rsidRPr="007124C0">
        <w:t>Some event types (e.g. DSCL or CONS) exist with or without record date. So, the table with the list of CA</w:t>
      </w:r>
      <w:r>
        <w:t xml:space="preserve"> Events</w:t>
      </w:r>
      <w:r w:rsidRPr="007124C0">
        <w:t xml:space="preserve"> cover most of the cases but that there are exceptions (blocking depends on the presence of a record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3D" w:rsidRPr="00162000" w:rsidRDefault="007B053D" w:rsidP="00162000">
    <w:pPr>
      <w:pStyle w:val="Header"/>
      <w:spacing w:before="0" w:after="0" w:line="240" w:lineRule="exact"/>
      <w:jc w:val="right"/>
      <w:rPr>
        <w:rFonts w:cs="Arial"/>
        <w:b/>
        <w:sz w:val="20"/>
        <w:szCs w:val="20"/>
        <w:lang w:val="en-US"/>
      </w:rPr>
    </w:pPr>
    <w:bookmarkStart w:id="5" w:name="ClassificationHeader"/>
    <w:bookmarkEnd w:id="5"/>
    <w:r>
      <w:rPr>
        <w:rFonts w:cs="Arial"/>
        <w:b/>
        <w:caps/>
        <w:sz w:val="20"/>
        <w:szCs w:val="20"/>
        <w:lang w:val="en-US"/>
      </w:rPr>
      <w:t>ECB-UNRESTRICTED</w:t>
    </w:r>
    <w:bookmarkStart w:id="6" w:name="MarkingHeader"/>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3D" w:rsidRDefault="007B053D" w:rsidP="00483C4E">
    <w:pPr>
      <w:pStyle w:val="Header"/>
      <w:rPr>
        <w:lang w:val="en-US"/>
      </w:rPr>
    </w:pPr>
    <w:r>
      <w:rPr>
        <w:noProof/>
      </w:rPr>
      <w:drawing>
        <wp:inline distT="0" distB="0" distL="0" distR="0" wp14:anchorId="3F101FA8" wp14:editId="689B3D94">
          <wp:extent cx="2216785" cy="793750"/>
          <wp:effectExtent l="0" t="0" r="0" b="6350"/>
          <wp:docPr id="5" name="Picture 5" descr="ECB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_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785" cy="793750"/>
                  </a:xfrm>
                  <a:prstGeom prst="rect">
                    <a:avLst/>
                  </a:prstGeom>
                  <a:noFill/>
                  <a:ln>
                    <a:noFill/>
                  </a:ln>
                </pic:spPr>
              </pic:pic>
            </a:graphicData>
          </a:graphic>
        </wp:inline>
      </w:drawing>
    </w:r>
  </w:p>
  <w:p w:rsidR="007B053D" w:rsidRDefault="007B053D"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5">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6">
    <w:nsid w:val="28087626"/>
    <w:multiLevelType w:val="hybridMultilevel"/>
    <w:tmpl w:val="E022F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47B70885"/>
    <w:multiLevelType w:val="singleLevel"/>
    <w:tmpl w:val="BC5A49FA"/>
    <w:lvl w:ilvl="0">
      <w:start w:val="1"/>
      <w:numFmt w:val="lowerRoman"/>
      <w:lvlText w:val="(%1)"/>
      <w:lvlJc w:val="left"/>
      <w:pPr>
        <w:tabs>
          <w:tab w:val="num" w:pos="720"/>
        </w:tabs>
        <w:ind w:left="720" w:hanging="720"/>
      </w:pPr>
    </w:lvl>
  </w:abstractNum>
  <w:abstractNum w:abstractNumId="11">
    <w:nsid w:val="4E63648E"/>
    <w:multiLevelType w:val="hybridMultilevel"/>
    <w:tmpl w:val="AD54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7BA3EB1"/>
    <w:multiLevelType w:val="hybridMultilevel"/>
    <w:tmpl w:val="1D26B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2475FA"/>
    <w:multiLevelType w:val="singleLevel"/>
    <w:tmpl w:val="B800853E"/>
    <w:lvl w:ilvl="0">
      <w:start w:val="1"/>
      <w:numFmt w:val="decimal"/>
      <w:lvlText w:val="Annex %1:"/>
      <w:lvlJc w:val="left"/>
      <w:pPr>
        <w:tabs>
          <w:tab w:val="num" w:pos="1191"/>
        </w:tabs>
        <w:ind w:left="1191" w:hanging="1191"/>
      </w:pPr>
    </w:lvl>
  </w:abstractNum>
  <w:abstractNum w:abstractNumId="16">
    <w:nsid w:val="5D6C379F"/>
    <w:multiLevelType w:val="hybridMultilevel"/>
    <w:tmpl w:val="12CC8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9">
    <w:nsid w:val="6E7D7469"/>
    <w:multiLevelType w:val="multilevel"/>
    <w:tmpl w:val="5DAACC2E"/>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21">
    <w:nsid w:val="712620CE"/>
    <w:multiLevelType w:val="hybridMultilevel"/>
    <w:tmpl w:val="9098921E"/>
    <w:lvl w:ilvl="0" w:tplc="073CD0E0">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6B14380"/>
    <w:multiLevelType w:val="hybridMultilevel"/>
    <w:tmpl w:val="32E4D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A5056F"/>
    <w:multiLevelType w:val="hybridMultilevel"/>
    <w:tmpl w:val="C4F0E788"/>
    <w:lvl w:ilvl="0" w:tplc="E38E56AA">
      <w:start w:val="1"/>
      <w:numFmt w:val="lowerLetter"/>
      <w:pStyle w:val="ECBlist1"/>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0"/>
  </w:num>
  <w:num w:numId="3">
    <w:abstractNumId w:val="17"/>
  </w:num>
  <w:num w:numId="4">
    <w:abstractNumId w:val="23"/>
  </w:num>
  <w:num w:numId="5">
    <w:abstractNumId w:val="19"/>
  </w:num>
  <w:num w:numId="6">
    <w:abstractNumId w:val="7"/>
  </w:num>
  <w:num w:numId="7">
    <w:abstractNumId w:val="10"/>
  </w:num>
  <w:num w:numId="8">
    <w:abstractNumId w:val="0"/>
  </w:num>
  <w:num w:numId="9">
    <w:abstractNumId w:val="5"/>
  </w:num>
  <w:num w:numId="10">
    <w:abstractNumId w:val="20"/>
  </w:num>
  <w:num w:numId="11">
    <w:abstractNumId w:val="17"/>
  </w:num>
  <w:num w:numId="12">
    <w:abstractNumId w:val="23"/>
  </w:num>
  <w:num w:numId="13">
    <w:abstractNumId w:val="19"/>
  </w:num>
  <w:num w:numId="14">
    <w:abstractNumId w:val="18"/>
  </w:num>
  <w:num w:numId="15">
    <w:abstractNumId w:val="7"/>
  </w:num>
  <w:num w:numId="16">
    <w:abstractNumId w:val="10"/>
  </w:num>
  <w:num w:numId="17">
    <w:abstractNumId w:val="0"/>
  </w:num>
  <w:num w:numId="18">
    <w:abstractNumId w:val="4"/>
  </w:num>
  <w:num w:numId="19">
    <w:abstractNumId w:val="12"/>
  </w:num>
  <w:num w:numId="20">
    <w:abstractNumId w:val="8"/>
  </w:num>
  <w:num w:numId="21">
    <w:abstractNumId w:val="2"/>
  </w:num>
  <w:num w:numId="22">
    <w:abstractNumId w:val="13"/>
  </w:num>
  <w:num w:numId="23">
    <w:abstractNumId w:val="1"/>
  </w:num>
  <w:num w:numId="24">
    <w:abstractNumId w:val="15"/>
  </w:num>
  <w:num w:numId="25">
    <w:abstractNumId w:val="9"/>
  </w:num>
  <w:num w:numId="26">
    <w:abstractNumId w:val="19"/>
  </w:num>
  <w:num w:numId="27">
    <w:abstractNumId w:val="19"/>
  </w:num>
  <w:num w:numId="28">
    <w:abstractNumId w:val="19"/>
  </w:num>
  <w:num w:numId="29">
    <w:abstractNumId w:val="19"/>
  </w:num>
  <w:num w:numId="30">
    <w:abstractNumId w:val="19"/>
  </w:num>
  <w:num w:numId="31">
    <w:abstractNumId w:val="22"/>
  </w:num>
  <w:num w:numId="32">
    <w:abstractNumId w:val="3"/>
  </w:num>
  <w:num w:numId="33">
    <w:abstractNumId w:val="25"/>
  </w:num>
  <w:num w:numId="34">
    <w:abstractNumId w:val="21"/>
  </w:num>
  <w:num w:numId="35">
    <w:abstractNumId w:val="24"/>
  </w:num>
  <w:num w:numId="36">
    <w:abstractNumId w:val="11"/>
  </w:num>
  <w:num w:numId="37">
    <w:abstractNumId w:val="16"/>
  </w:num>
  <w:num w:numId="38">
    <w:abstractNumId w:val="14"/>
  </w:num>
  <w:num w:numId="39">
    <w:abstractNumId w:val="19"/>
  </w:num>
  <w:num w:numId="40">
    <w:abstractNumId w:val="19"/>
  </w:num>
  <w:num w:numId="41">
    <w:abstractNumId w:val="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w:docVars>
  <w:rsids>
    <w:rsidRoot w:val="004A2A6A"/>
    <w:rsid w:val="00010310"/>
    <w:rsid w:val="00010A4E"/>
    <w:rsid w:val="00036E56"/>
    <w:rsid w:val="00040117"/>
    <w:rsid w:val="00071495"/>
    <w:rsid w:val="00096FCD"/>
    <w:rsid w:val="000A16E1"/>
    <w:rsid w:val="000C60DC"/>
    <w:rsid w:val="000D6F33"/>
    <w:rsid w:val="000E6E53"/>
    <w:rsid w:val="0011029F"/>
    <w:rsid w:val="00110E6C"/>
    <w:rsid w:val="0011626D"/>
    <w:rsid w:val="00130FF1"/>
    <w:rsid w:val="00133ACA"/>
    <w:rsid w:val="00143A07"/>
    <w:rsid w:val="001447D3"/>
    <w:rsid w:val="001501B2"/>
    <w:rsid w:val="00153BCB"/>
    <w:rsid w:val="00162000"/>
    <w:rsid w:val="00185851"/>
    <w:rsid w:val="001A29C8"/>
    <w:rsid w:val="001C1109"/>
    <w:rsid w:val="001C47C6"/>
    <w:rsid w:val="001C5E0A"/>
    <w:rsid w:val="001E7871"/>
    <w:rsid w:val="00201470"/>
    <w:rsid w:val="00207D2C"/>
    <w:rsid w:val="002337DD"/>
    <w:rsid w:val="002845A5"/>
    <w:rsid w:val="002A34E0"/>
    <w:rsid w:val="002B76C9"/>
    <w:rsid w:val="002C09D7"/>
    <w:rsid w:val="002C1156"/>
    <w:rsid w:val="002C1905"/>
    <w:rsid w:val="002C2635"/>
    <w:rsid w:val="002D37C3"/>
    <w:rsid w:val="002E204B"/>
    <w:rsid w:val="002F06F8"/>
    <w:rsid w:val="002F16F3"/>
    <w:rsid w:val="002F18BE"/>
    <w:rsid w:val="003151D2"/>
    <w:rsid w:val="00327D10"/>
    <w:rsid w:val="00350142"/>
    <w:rsid w:val="003724C9"/>
    <w:rsid w:val="003730DD"/>
    <w:rsid w:val="00377871"/>
    <w:rsid w:val="003829E7"/>
    <w:rsid w:val="003946B7"/>
    <w:rsid w:val="003A04AE"/>
    <w:rsid w:val="003A7C00"/>
    <w:rsid w:val="003D1F4C"/>
    <w:rsid w:val="003D5291"/>
    <w:rsid w:val="003E3200"/>
    <w:rsid w:val="003F2EF7"/>
    <w:rsid w:val="003F5C2C"/>
    <w:rsid w:val="004022D8"/>
    <w:rsid w:val="004425D9"/>
    <w:rsid w:val="0044592B"/>
    <w:rsid w:val="00446AB7"/>
    <w:rsid w:val="00447ACF"/>
    <w:rsid w:val="0046108E"/>
    <w:rsid w:val="00466BC9"/>
    <w:rsid w:val="00470EA3"/>
    <w:rsid w:val="004744D6"/>
    <w:rsid w:val="00475650"/>
    <w:rsid w:val="0047738B"/>
    <w:rsid w:val="00483C4E"/>
    <w:rsid w:val="00496DB9"/>
    <w:rsid w:val="004A2A6A"/>
    <w:rsid w:val="004A44B0"/>
    <w:rsid w:val="004A7B60"/>
    <w:rsid w:val="004B023B"/>
    <w:rsid w:val="004B7F4B"/>
    <w:rsid w:val="004C205A"/>
    <w:rsid w:val="004D2896"/>
    <w:rsid w:val="004E0087"/>
    <w:rsid w:val="004E368F"/>
    <w:rsid w:val="004E67BD"/>
    <w:rsid w:val="00512ED7"/>
    <w:rsid w:val="00517679"/>
    <w:rsid w:val="005243B5"/>
    <w:rsid w:val="00547B1D"/>
    <w:rsid w:val="00551AB1"/>
    <w:rsid w:val="005554FA"/>
    <w:rsid w:val="00561E33"/>
    <w:rsid w:val="00565764"/>
    <w:rsid w:val="005916C7"/>
    <w:rsid w:val="00593674"/>
    <w:rsid w:val="00595255"/>
    <w:rsid w:val="005B5DA9"/>
    <w:rsid w:val="005B72B9"/>
    <w:rsid w:val="005D6497"/>
    <w:rsid w:val="005E760F"/>
    <w:rsid w:val="005E7647"/>
    <w:rsid w:val="00617839"/>
    <w:rsid w:val="00625065"/>
    <w:rsid w:val="006374EC"/>
    <w:rsid w:val="00652F9D"/>
    <w:rsid w:val="0066782B"/>
    <w:rsid w:val="00682937"/>
    <w:rsid w:val="006B5F24"/>
    <w:rsid w:val="006B70D6"/>
    <w:rsid w:val="006E32B3"/>
    <w:rsid w:val="006E4069"/>
    <w:rsid w:val="006E7885"/>
    <w:rsid w:val="006F35A7"/>
    <w:rsid w:val="006F7096"/>
    <w:rsid w:val="006F7CC7"/>
    <w:rsid w:val="007124C0"/>
    <w:rsid w:val="00725892"/>
    <w:rsid w:val="007259D3"/>
    <w:rsid w:val="007311AB"/>
    <w:rsid w:val="00756A9E"/>
    <w:rsid w:val="00765038"/>
    <w:rsid w:val="007852E9"/>
    <w:rsid w:val="00795C7B"/>
    <w:rsid w:val="007A08FC"/>
    <w:rsid w:val="007A5F67"/>
    <w:rsid w:val="007B053D"/>
    <w:rsid w:val="007D1E35"/>
    <w:rsid w:val="007E2BAC"/>
    <w:rsid w:val="00802B1E"/>
    <w:rsid w:val="0080396D"/>
    <w:rsid w:val="0080475E"/>
    <w:rsid w:val="0082459E"/>
    <w:rsid w:val="00824691"/>
    <w:rsid w:val="00845158"/>
    <w:rsid w:val="00847BA6"/>
    <w:rsid w:val="00856BB5"/>
    <w:rsid w:val="008658B0"/>
    <w:rsid w:val="008659CF"/>
    <w:rsid w:val="00870A94"/>
    <w:rsid w:val="00874FC9"/>
    <w:rsid w:val="0087523A"/>
    <w:rsid w:val="00875B4D"/>
    <w:rsid w:val="008A07CE"/>
    <w:rsid w:val="008A14C6"/>
    <w:rsid w:val="008B6BFA"/>
    <w:rsid w:val="008C45CB"/>
    <w:rsid w:val="009378C8"/>
    <w:rsid w:val="00941FD4"/>
    <w:rsid w:val="009564B1"/>
    <w:rsid w:val="00956863"/>
    <w:rsid w:val="00974635"/>
    <w:rsid w:val="00975890"/>
    <w:rsid w:val="00990976"/>
    <w:rsid w:val="009A5777"/>
    <w:rsid w:val="009B6F77"/>
    <w:rsid w:val="009C653E"/>
    <w:rsid w:val="009D60C6"/>
    <w:rsid w:val="009E1C3D"/>
    <w:rsid w:val="00A126CE"/>
    <w:rsid w:val="00A12CA3"/>
    <w:rsid w:val="00A176F1"/>
    <w:rsid w:val="00A25FFD"/>
    <w:rsid w:val="00A31889"/>
    <w:rsid w:val="00A42EBB"/>
    <w:rsid w:val="00A53B90"/>
    <w:rsid w:val="00A632A5"/>
    <w:rsid w:val="00A83FD3"/>
    <w:rsid w:val="00A85B7B"/>
    <w:rsid w:val="00A960FC"/>
    <w:rsid w:val="00A972A5"/>
    <w:rsid w:val="00A977D4"/>
    <w:rsid w:val="00AA20DF"/>
    <w:rsid w:val="00AA58E7"/>
    <w:rsid w:val="00AC4F75"/>
    <w:rsid w:val="00AF14DA"/>
    <w:rsid w:val="00AF7FAC"/>
    <w:rsid w:val="00B0064B"/>
    <w:rsid w:val="00B304CD"/>
    <w:rsid w:val="00B61E1A"/>
    <w:rsid w:val="00B7249E"/>
    <w:rsid w:val="00B75675"/>
    <w:rsid w:val="00B84628"/>
    <w:rsid w:val="00B92D15"/>
    <w:rsid w:val="00B94642"/>
    <w:rsid w:val="00BA4CEF"/>
    <w:rsid w:val="00BA6AFA"/>
    <w:rsid w:val="00BB0B39"/>
    <w:rsid w:val="00BE7154"/>
    <w:rsid w:val="00BF0436"/>
    <w:rsid w:val="00BF14F7"/>
    <w:rsid w:val="00BF3C58"/>
    <w:rsid w:val="00BF4EF3"/>
    <w:rsid w:val="00C03801"/>
    <w:rsid w:val="00C2726F"/>
    <w:rsid w:val="00C434D5"/>
    <w:rsid w:val="00C527B0"/>
    <w:rsid w:val="00C831BB"/>
    <w:rsid w:val="00C83B5F"/>
    <w:rsid w:val="00C90EE0"/>
    <w:rsid w:val="00C920D1"/>
    <w:rsid w:val="00C9780F"/>
    <w:rsid w:val="00CB0E60"/>
    <w:rsid w:val="00CC655D"/>
    <w:rsid w:val="00CC7FEC"/>
    <w:rsid w:val="00CD7331"/>
    <w:rsid w:val="00CE072E"/>
    <w:rsid w:val="00CE494B"/>
    <w:rsid w:val="00CF1DF0"/>
    <w:rsid w:val="00CF4A71"/>
    <w:rsid w:val="00CF78C5"/>
    <w:rsid w:val="00D2531F"/>
    <w:rsid w:val="00D541DA"/>
    <w:rsid w:val="00D54FA5"/>
    <w:rsid w:val="00D57460"/>
    <w:rsid w:val="00D63BD0"/>
    <w:rsid w:val="00D80FC6"/>
    <w:rsid w:val="00D97C67"/>
    <w:rsid w:val="00DA0266"/>
    <w:rsid w:val="00DB0B4F"/>
    <w:rsid w:val="00DB0F6C"/>
    <w:rsid w:val="00DD5341"/>
    <w:rsid w:val="00DF21D3"/>
    <w:rsid w:val="00E00152"/>
    <w:rsid w:val="00E00734"/>
    <w:rsid w:val="00E070B3"/>
    <w:rsid w:val="00E106F9"/>
    <w:rsid w:val="00E217B3"/>
    <w:rsid w:val="00E32143"/>
    <w:rsid w:val="00E3435A"/>
    <w:rsid w:val="00E36F2E"/>
    <w:rsid w:val="00E46217"/>
    <w:rsid w:val="00E46E94"/>
    <w:rsid w:val="00E531E8"/>
    <w:rsid w:val="00E539EA"/>
    <w:rsid w:val="00E54CC7"/>
    <w:rsid w:val="00E54D6D"/>
    <w:rsid w:val="00E55D21"/>
    <w:rsid w:val="00E6106B"/>
    <w:rsid w:val="00E63B52"/>
    <w:rsid w:val="00E73245"/>
    <w:rsid w:val="00E96513"/>
    <w:rsid w:val="00EA7336"/>
    <w:rsid w:val="00EC6489"/>
    <w:rsid w:val="00F0106A"/>
    <w:rsid w:val="00F1151B"/>
    <w:rsid w:val="00F1601B"/>
    <w:rsid w:val="00F40A99"/>
    <w:rsid w:val="00F44734"/>
    <w:rsid w:val="00F65486"/>
    <w:rsid w:val="00F7104E"/>
    <w:rsid w:val="00F71301"/>
    <w:rsid w:val="00F728B4"/>
    <w:rsid w:val="00F75813"/>
    <w:rsid w:val="00F77D80"/>
    <w:rsid w:val="00F81A6A"/>
    <w:rsid w:val="00F872CC"/>
    <w:rsid w:val="00F90798"/>
    <w:rsid w:val="00FB2D17"/>
    <w:rsid w:val="00FB72C2"/>
    <w:rsid w:val="00FC5E66"/>
    <w:rsid w:val="00FC65F0"/>
    <w:rsid w:val="00FD226C"/>
    <w:rsid w:val="00FD4FEF"/>
    <w:rsid w:val="00FE0D1E"/>
    <w:rsid w:val="00FE3218"/>
    <w:rsid w:val="00FE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spacing w:before="340" w:after="120"/>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FC65F0"/>
    <w:pPr>
      <w:pageBreakBefore/>
      <w:numPr>
        <w:ilvl w:val="0"/>
        <w:numId w:val="32"/>
      </w:numPr>
      <w:tabs>
        <w:tab w:val="left" w:pos="1134"/>
      </w:tabs>
      <w:ind w:left="357" w:hanging="357"/>
    </w:pPr>
    <w:rPr>
      <w:szCs w:val="22"/>
    </w:rPr>
  </w:style>
  <w:style w:type="paragraph" w:customStyle="1" w:styleId="ECBlist1">
    <w:name w:val="ECB list 1"/>
    <w:basedOn w:val="List"/>
    <w:rsid w:val="0080396D"/>
    <w:pPr>
      <w:numPr>
        <w:numId w:val="33"/>
      </w:numPr>
      <w:ind w:left="567" w:hanging="567"/>
    </w:pPr>
    <w:rPr>
      <w:b/>
    </w:rPr>
  </w:style>
  <w:style w:type="paragraph" w:styleId="List">
    <w:name w:val="List"/>
    <w:basedOn w:val="Normal"/>
    <w:uiPriority w:val="99"/>
    <w:semiHidden/>
    <w:unhideWhenUsed/>
    <w:rsid w:val="00FC65F0"/>
    <w:pPr>
      <w:ind w:left="283" w:hanging="283"/>
      <w:contextualSpacing/>
    </w:pPr>
  </w:style>
  <w:style w:type="paragraph" w:customStyle="1" w:styleId="ECBList2">
    <w:name w:val="ECB List 2"/>
    <w:basedOn w:val="ECBlist1"/>
    <w:rsid w:val="0080396D"/>
    <w:pPr>
      <w:numPr>
        <w:numId w:val="34"/>
      </w:numPr>
      <w:ind w:left="1134" w:hanging="567"/>
    </w:pPr>
  </w:style>
  <w:style w:type="paragraph" w:styleId="Footer">
    <w:name w:val="footer"/>
    <w:basedOn w:val="Normal"/>
    <w:link w:val="FooterChar"/>
    <w:uiPriority w:val="99"/>
    <w:rsid w:val="00FC65F0"/>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paragraph" w:customStyle="1" w:styleId="ECBMarking">
    <w:name w:val="ECB Marking"/>
    <w:basedOn w:val="Normal"/>
    <w:qFormat/>
    <w:rsid w:val="0080396D"/>
    <w:pPr>
      <w:jc w:val="right"/>
    </w:pPr>
    <w:rPr>
      <w:b/>
    </w:rPr>
  </w:style>
  <w:style w:type="paragraph" w:customStyle="1" w:styleId="ECBBodyText">
    <w:name w:val="ECB Body Text"/>
    <w:basedOn w:val="Normal"/>
    <w:link w:val="ECBBodyTextChar"/>
    <w:qFormat/>
    <w:rsid w:val="00CF78C5"/>
    <w:pPr>
      <w:spacing w:line="240" w:lineRule="atLeast"/>
    </w:pPr>
  </w:style>
  <w:style w:type="character" w:customStyle="1" w:styleId="ECBBodyTextChar">
    <w:name w:val="ECB Body Text Char"/>
    <w:link w:val="ECBBodyText"/>
    <w:rsid w:val="00CF78C5"/>
    <w:rPr>
      <w:rFonts w:ascii="Arial" w:hAnsi="Arial" w:cs="Sendnya"/>
      <w:szCs w:val="22"/>
    </w:rPr>
  </w:style>
  <w:style w:type="paragraph" w:customStyle="1" w:styleId="ECBTitlereference">
    <w:name w:val="ECB Title/ reference"/>
    <w:basedOn w:val="Normal"/>
    <w:rsid w:val="0080396D"/>
    <w:pPr>
      <w:spacing w:before="0" w:after="0" w:line="240" w:lineRule="atLeast"/>
    </w:pPr>
    <w:rPr>
      <w:rFonts w:cs="Times New Roman"/>
      <w:sz w:val="17"/>
      <w:szCs w:val="20"/>
    </w:rPr>
  </w:style>
  <w:style w:type="paragraph" w:customStyle="1" w:styleId="ECBStatus">
    <w:name w:val="ECB Status"/>
    <w:basedOn w:val="Normal"/>
    <w:qFormat/>
    <w:rsid w:val="0080396D"/>
    <w:pPr>
      <w:spacing w:before="0" w:after="0" w:line="240" w:lineRule="atLeast"/>
      <w:jc w:val="right"/>
    </w:pPr>
    <w:rPr>
      <w:b/>
    </w:rPr>
  </w:style>
  <w:style w:type="paragraph" w:customStyle="1" w:styleId="ECBReferenceNo">
    <w:name w:val="ECB Reference No."/>
    <w:basedOn w:val="Normal"/>
    <w:rsid w:val="0080396D"/>
    <w:pPr>
      <w:spacing w:before="0" w:after="0" w:line="240" w:lineRule="atLeast"/>
      <w:jc w:val="right"/>
    </w:pPr>
    <w:rPr>
      <w:rFonts w:cs="Times New Roman"/>
      <w:sz w:val="17"/>
      <w:szCs w:val="20"/>
    </w:rPr>
  </w:style>
  <w:style w:type="paragraph" w:customStyle="1" w:styleId="ECBTitle">
    <w:name w:val="ECB Title"/>
    <w:basedOn w:val="Normal"/>
    <w:rsid w:val="0080396D"/>
    <w:rPr>
      <w:rFonts w:cs="Times New Roman"/>
      <w:b/>
      <w:bCs/>
      <w:sz w:val="24"/>
      <w:szCs w:val="20"/>
    </w:rPr>
  </w:style>
  <w:style w:type="paragraph" w:customStyle="1" w:styleId="ECBHeading1">
    <w:name w:val="ECB Heading 1"/>
    <w:basedOn w:val="Heading1"/>
    <w:rsid w:val="0080396D"/>
    <w:rPr>
      <w:rFonts w:cs="Times New Roman"/>
      <w:szCs w:val="20"/>
    </w:rPr>
  </w:style>
  <w:style w:type="paragraph" w:customStyle="1" w:styleId="ECBHeading2">
    <w:name w:val="ECB Heading 2"/>
    <w:basedOn w:val="Heading2"/>
    <w:rsid w:val="0080396D"/>
    <w:rPr>
      <w:rFonts w:cs="Times New Roman"/>
      <w:szCs w:val="20"/>
    </w:rPr>
  </w:style>
  <w:style w:type="paragraph" w:customStyle="1" w:styleId="ECBHeading3">
    <w:name w:val="ECB Heading 3"/>
    <w:basedOn w:val="Heading3"/>
    <w:rsid w:val="0080396D"/>
    <w:rPr>
      <w:rFonts w:cs="Times New Roman"/>
      <w:szCs w:val="20"/>
    </w:rPr>
  </w:style>
  <w:style w:type="paragraph" w:customStyle="1" w:styleId="ECBClassification">
    <w:name w:val="ECB Classification"/>
    <w:basedOn w:val="Normal"/>
    <w:qFormat/>
    <w:rsid w:val="00FC65F0"/>
    <w:pPr>
      <w:jc w:val="right"/>
    </w:pPr>
    <w:rPr>
      <w:b/>
    </w:rPr>
  </w:style>
  <w:style w:type="paragraph" w:customStyle="1" w:styleId="StyleBefore0ptAfter0ptLinespacingExactly12pt">
    <w:name w:val="Style Before:  0 pt After:  0 pt Line spacing:  Exactly 12 pt"/>
    <w:basedOn w:val="Normal"/>
    <w:rsid w:val="0080396D"/>
    <w:pPr>
      <w:spacing w:before="0" w:after="0" w:line="240" w:lineRule="atLeast"/>
    </w:pPr>
    <w:rPr>
      <w:rFonts w:cs="Times New Roman"/>
      <w:szCs w:val="20"/>
    </w:rPr>
  </w:style>
  <w:style w:type="character" w:styleId="Hyperlink">
    <w:name w:val="Hyperlink"/>
    <w:basedOn w:val="DefaultParagraphFont"/>
    <w:uiPriority w:val="99"/>
    <w:unhideWhenUsed/>
    <w:rsid w:val="004A2A6A"/>
    <w:rPr>
      <w:color w:val="0000FF" w:themeColor="hyperlink"/>
      <w:u w:val="single"/>
    </w:rPr>
  </w:style>
  <w:style w:type="character" w:customStyle="1" w:styleId="FooterChar">
    <w:name w:val="Footer Char"/>
    <w:basedOn w:val="DefaultParagraphFont"/>
    <w:link w:val="Footer"/>
    <w:uiPriority w:val="99"/>
    <w:rsid w:val="00483C4E"/>
    <w:rPr>
      <w:rFonts w:ascii="Arial" w:hAnsi="Arial" w:cs="Sendnya"/>
      <w:noProof/>
      <w:snapToGrid w:val="0"/>
      <w:sz w:val="17"/>
      <w:szCs w:val="16"/>
    </w:rPr>
  </w:style>
  <w:style w:type="table" w:styleId="TableGrid">
    <w:name w:val="Table Grid"/>
    <w:basedOn w:val="TableNormal"/>
    <w:uiPriority w:val="59"/>
    <w:rsid w:val="00D97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A08FC"/>
    <w:pPr>
      <w:ind w:left="720"/>
      <w:contextualSpacing/>
    </w:pPr>
  </w:style>
  <w:style w:type="character" w:styleId="PlaceholderText">
    <w:name w:val="Placeholder Text"/>
    <w:basedOn w:val="DefaultParagraphFont"/>
    <w:uiPriority w:val="99"/>
    <w:semiHidden/>
    <w:rsid w:val="009E1C3D"/>
    <w:rPr>
      <w:color w:val="808080"/>
    </w:rPr>
  </w:style>
  <w:style w:type="character" w:styleId="CommentReference">
    <w:name w:val="annotation reference"/>
    <w:basedOn w:val="DefaultParagraphFont"/>
    <w:uiPriority w:val="99"/>
    <w:semiHidden/>
    <w:unhideWhenUsed/>
    <w:rsid w:val="008A14C6"/>
    <w:rPr>
      <w:sz w:val="16"/>
      <w:szCs w:val="16"/>
    </w:rPr>
  </w:style>
  <w:style w:type="paragraph" w:styleId="CommentText">
    <w:name w:val="annotation text"/>
    <w:basedOn w:val="Normal"/>
    <w:link w:val="CommentTextChar"/>
    <w:uiPriority w:val="99"/>
    <w:semiHidden/>
    <w:unhideWhenUsed/>
    <w:rsid w:val="008A14C6"/>
    <w:pPr>
      <w:spacing w:line="240" w:lineRule="auto"/>
    </w:pPr>
    <w:rPr>
      <w:szCs w:val="20"/>
    </w:rPr>
  </w:style>
  <w:style w:type="character" w:customStyle="1" w:styleId="CommentTextChar">
    <w:name w:val="Comment Text Char"/>
    <w:basedOn w:val="DefaultParagraphFont"/>
    <w:link w:val="CommentText"/>
    <w:uiPriority w:val="99"/>
    <w:semiHidden/>
    <w:rsid w:val="008A14C6"/>
    <w:rPr>
      <w:rFonts w:ascii="Arial" w:hAnsi="Arial" w:cs="Sendnya"/>
    </w:rPr>
  </w:style>
  <w:style w:type="paragraph" w:styleId="CommentSubject">
    <w:name w:val="annotation subject"/>
    <w:basedOn w:val="CommentText"/>
    <w:next w:val="CommentText"/>
    <w:link w:val="CommentSubjectChar"/>
    <w:uiPriority w:val="99"/>
    <w:semiHidden/>
    <w:unhideWhenUsed/>
    <w:rsid w:val="008A14C6"/>
    <w:rPr>
      <w:b/>
      <w:bCs/>
    </w:rPr>
  </w:style>
  <w:style w:type="character" w:customStyle="1" w:styleId="CommentSubjectChar">
    <w:name w:val="Comment Subject Char"/>
    <w:basedOn w:val="CommentTextChar"/>
    <w:link w:val="CommentSubject"/>
    <w:uiPriority w:val="99"/>
    <w:semiHidden/>
    <w:rsid w:val="008A14C6"/>
    <w:rPr>
      <w:rFonts w:ascii="Arial" w:hAnsi="Arial" w:cs="Sendnya"/>
      <w:b/>
      <w:bCs/>
    </w:rPr>
  </w:style>
  <w:style w:type="paragraph" w:styleId="Revision">
    <w:name w:val="Revision"/>
    <w:hidden/>
    <w:uiPriority w:val="99"/>
    <w:semiHidden/>
    <w:rsid w:val="00B75675"/>
    <w:rPr>
      <w:rFonts w:ascii="Arial" w:hAnsi="Arial" w:cs="Sendny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spacing w:before="340" w:after="120"/>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FC65F0"/>
    <w:pPr>
      <w:pageBreakBefore/>
      <w:numPr>
        <w:ilvl w:val="0"/>
        <w:numId w:val="32"/>
      </w:numPr>
      <w:tabs>
        <w:tab w:val="left" w:pos="1134"/>
      </w:tabs>
      <w:ind w:left="357" w:hanging="357"/>
    </w:pPr>
    <w:rPr>
      <w:szCs w:val="22"/>
    </w:rPr>
  </w:style>
  <w:style w:type="paragraph" w:customStyle="1" w:styleId="ECBlist1">
    <w:name w:val="ECB list 1"/>
    <w:basedOn w:val="List"/>
    <w:rsid w:val="0080396D"/>
    <w:pPr>
      <w:numPr>
        <w:numId w:val="33"/>
      </w:numPr>
      <w:ind w:left="567" w:hanging="567"/>
    </w:pPr>
    <w:rPr>
      <w:b/>
    </w:rPr>
  </w:style>
  <w:style w:type="paragraph" w:styleId="List">
    <w:name w:val="List"/>
    <w:basedOn w:val="Normal"/>
    <w:uiPriority w:val="99"/>
    <w:semiHidden/>
    <w:unhideWhenUsed/>
    <w:rsid w:val="00FC65F0"/>
    <w:pPr>
      <w:ind w:left="283" w:hanging="283"/>
      <w:contextualSpacing/>
    </w:pPr>
  </w:style>
  <w:style w:type="paragraph" w:customStyle="1" w:styleId="ECBList2">
    <w:name w:val="ECB List 2"/>
    <w:basedOn w:val="ECBlist1"/>
    <w:rsid w:val="0080396D"/>
    <w:pPr>
      <w:numPr>
        <w:numId w:val="34"/>
      </w:numPr>
      <w:ind w:left="1134" w:hanging="567"/>
    </w:pPr>
  </w:style>
  <w:style w:type="paragraph" w:styleId="Footer">
    <w:name w:val="footer"/>
    <w:basedOn w:val="Normal"/>
    <w:link w:val="FooterChar"/>
    <w:uiPriority w:val="99"/>
    <w:rsid w:val="00FC65F0"/>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paragraph" w:customStyle="1" w:styleId="ECBMarking">
    <w:name w:val="ECB Marking"/>
    <w:basedOn w:val="Normal"/>
    <w:qFormat/>
    <w:rsid w:val="0080396D"/>
    <w:pPr>
      <w:jc w:val="right"/>
    </w:pPr>
    <w:rPr>
      <w:b/>
    </w:rPr>
  </w:style>
  <w:style w:type="paragraph" w:customStyle="1" w:styleId="ECBBodyText">
    <w:name w:val="ECB Body Text"/>
    <w:basedOn w:val="Normal"/>
    <w:link w:val="ECBBodyTextChar"/>
    <w:qFormat/>
    <w:rsid w:val="00CF78C5"/>
    <w:pPr>
      <w:spacing w:line="240" w:lineRule="atLeast"/>
    </w:pPr>
  </w:style>
  <w:style w:type="character" w:customStyle="1" w:styleId="ECBBodyTextChar">
    <w:name w:val="ECB Body Text Char"/>
    <w:link w:val="ECBBodyText"/>
    <w:rsid w:val="00CF78C5"/>
    <w:rPr>
      <w:rFonts w:ascii="Arial" w:hAnsi="Arial" w:cs="Sendnya"/>
      <w:szCs w:val="22"/>
    </w:rPr>
  </w:style>
  <w:style w:type="paragraph" w:customStyle="1" w:styleId="ECBTitlereference">
    <w:name w:val="ECB Title/ reference"/>
    <w:basedOn w:val="Normal"/>
    <w:rsid w:val="0080396D"/>
    <w:pPr>
      <w:spacing w:before="0" w:after="0" w:line="240" w:lineRule="atLeast"/>
    </w:pPr>
    <w:rPr>
      <w:rFonts w:cs="Times New Roman"/>
      <w:sz w:val="17"/>
      <w:szCs w:val="20"/>
    </w:rPr>
  </w:style>
  <w:style w:type="paragraph" w:customStyle="1" w:styleId="ECBStatus">
    <w:name w:val="ECB Status"/>
    <w:basedOn w:val="Normal"/>
    <w:qFormat/>
    <w:rsid w:val="0080396D"/>
    <w:pPr>
      <w:spacing w:before="0" w:after="0" w:line="240" w:lineRule="atLeast"/>
      <w:jc w:val="right"/>
    </w:pPr>
    <w:rPr>
      <w:b/>
    </w:rPr>
  </w:style>
  <w:style w:type="paragraph" w:customStyle="1" w:styleId="ECBReferenceNo">
    <w:name w:val="ECB Reference No."/>
    <w:basedOn w:val="Normal"/>
    <w:rsid w:val="0080396D"/>
    <w:pPr>
      <w:spacing w:before="0" w:after="0" w:line="240" w:lineRule="atLeast"/>
      <w:jc w:val="right"/>
    </w:pPr>
    <w:rPr>
      <w:rFonts w:cs="Times New Roman"/>
      <w:sz w:val="17"/>
      <w:szCs w:val="20"/>
    </w:rPr>
  </w:style>
  <w:style w:type="paragraph" w:customStyle="1" w:styleId="ECBTitle">
    <w:name w:val="ECB Title"/>
    <w:basedOn w:val="Normal"/>
    <w:rsid w:val="0080396D"/>
    <w:rPr>
      <w:rFonts w:cs="Times New Roman"/>
      <w:b/>
      <w:bCs/>
      <w:sz w:val="24"/>
      <w:szCs w:val="20"/>
    </w:rPr>
  </w:style>
  <w:style w:type="paragraph" w:customStyle="1" w:styleId="ECBHeading1">
    <w:name w:val="ECB Heading 1"/>
    <w:basedOn w:val="Heading1"/>
    <w:rsid w:val="0080396D"/>
    <w:rPr>
      <w:rFonts w:cs="Times New Roman"/>
      <w:szCs w:val="20"/>
    </w:rPr>
  </w:style>
  <w:style w:type="paragraph" w:customStyle="1" w:styleId="ECBHeading2">
    <w:name w:val="ECB Heading 2"/>
    <w:basedOn w:val="Heading2"/>
    <w:rsid w:val="0080396D"/>
    <w:rPr>
      <w:rFonts w:cs="Times New Roman"/>
      <w:szCs w:val="20"/>
    </w:rPr>
  </w:style>
  <w:style w:type="paragraph" w:customStyle="1" w:styleId="ECBHeading3">
    <w:name w:val="ECB Heading 3"/>
    <w:basedOn w:val="Heading3"/>
    <w:rsid w:val="0080396D"/>
    <w:rPr>
      <w:rFonts w:cs="Times New Roman"/>
      <w:szCs w:val="20"/>
    </w:rPr>
  </w:style>
  <w:style w:type="paragraph" w:customStyle="1" w:styleId="ECBClassification">
    <w:name w:val="ECB Classification"/>
    <w:basedOn w:val="Normal"/>
    <w:qFormat/>
    <w:rsid w:val="00FC65F0"/>
    <w:pPr>
      <w:jc w:val="right"/>
    </w:pPr>
    <w:rPr>
      <w:b/>
    </w:rPr>
  </w:style>
  <w:style w:type="paragraph" w:customStyle="1" w:styleId="StyleBefore0ptAfter0ptLinespacingExactly12pt">
    <w:name w:val="Style Before:  0 pt After:  0 pt Line spacing:  Exactly 12 pt"/>
    <w:basedOn w:val="Normal"/>
    <w:rsid w:val="0080396D"/>
    <w:pPr>
      <w:spacing w:before="0" w:after="0" w:line="240" w:lineRule="atLeast"/>
    </w:pPr>
    <w:rPr>
      <w:rFonts w:cs="Times New Roman"/>
      <w:szCs w:val="20"/>
    </w:rPr>
  </w:style>
  <w:style w:type="character" w:styleId="Hyperlink">
    <w:name w:val="Hyperlink"/>
    <w:basedOn w:val="DefaultParagraphFont"/>
    <w:uiPriority w:val="99"/>
    <w:unhideWhenUsed/>
    <w:rsid w:val="004A2A6A"/>
    <w:rPr>
      <w:color w:val="0000FF" w:themeColor="hyperlink"/>
      <w:u w:val="single"/>
    </w:rPr>
  </w:style>
  <w:style w:type="character" w:customStyle="1" w:styleId="FooterChar">
    <w:name w:val="Footer Char"/>
    <w:basedOn w:val="DefaultParagraphFont"/>
    <w:link w:val="Footer"/>
    <w:uiPriority w:val="99"/>
    <w:rsid w:val="00483C4E"/>
    <w:rPr>
      <w:rFonts w:ascii="Arial" w:hAnsi="Arial" w:cs="Sendnya"/>
      <w:noProof/>
      <w:snapToGrid w:val="0"/>
      <w:sz w:val="17"/>
      <w:szCs w:val="16"/>
    </w:rPr>
  </w:style>
  <w:style w:type="table" w:styleId="TableGrid">
    <w:name w:val="Table Grid"/>
    <w:basedOn w:val="TableNormal"/>
    <w:uiPriority w:val="59"/>
    <w:rsid w:val="00D97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A08FC"/>
    <w:pPr>
      <w:ind w:left="720"/>
      <w:contextualSpacing/>
    </w:pPr>
  </w:style>
  <w:style w:type="character" w:styleId="PlaceholderText">
    <w:name w:val="Placeholder Text"/>
    <w:basedOn w:val="DefaultParagraphFont"/>
    <w:uiPriority w:val="99"/>
    <w:semiHidden/>
    <w:rsid w:val="009E1C3D"/>
    <w:rPr>
      <w:color w:val="808080"/>
    </w:rPr>
  </w:style>
  <w:style w:type="character" w:styleId="CommentReference">
    <w:name w:val="annotation reference"/>
    <w:basedOn w:val="DefaultParagraphFont"/>
    <w:uiPriority w:val="99"/>
    <w:semiHidden/>
    <w:unhideWhenUsed/>
    <w:rsid w:val="008A14C6"/>
    <w:rPr>
      <w:sz w:val="16"/>
      <w:szCs w:val="16"/>
    </w:rPr>
  </w:style>
  <w:style w:type="paragraph" w:styleId="CommentText">
    <w:name w:val="annotation text"/>
    <w:basedOn w:val="Normal"/>
    <w:link w:val="CommentTextChar"/>
    <w:uiPriority w:val="99"/>
    <w:semiHidden/>
    <w:unhideWhenUsed/>
    <w:rsid w:val="008A14C6"/>
    <w:pPr>
      <w:spacing w:line="240" w:lineRule="auto"/>
    </w:pPr>
    <w:rPr>
      <w:szCs w:val="20"/>
    </w:rPr>
  </w:style>
  <w:style w:type="character" w:customStyle="1" w:styleId="CommentTextChar">
    <w:name w:val="Comment Text Char"/>
    <w:basedOn w:val="DefaultParagraphFont"/>
    <w:link w:val="CommentText"/>
    <w:uiPriority w:val="99"/>
    <w:semiHidden/>
    <w:rsid w:val="008A14C6"/>
    <w:rPr>
      <w:rFonts w:ascii="Arial" w:hAnsi="Arial" w:cs="Sendnya"/>
    </w:rPr>
  </w:style>
  <w:style w:type="paragraph" w:styleId="CommentSubject">
    <w:name w:val="annotation subject"/>
    <w:basedOn w:val="CommentText"/>
    <w:next w:val="CommentText"/>
    <w:link w:val="CommentSubjectChar"/>
    <w:uiPriority w:val="99"/>
    <w:semiHidden/>
    <w:unhideWhenUsed/>
    <w:rsid w:val="008A14C6"/>
    <w:rPr>
      <w:b/>
      <w:bCs/>
    </w:rPr>
  </w:style>
  <w:style w:type="character" w:customStyle="1" w:styleId="CommentSubjectChar">
    <w:name w:val="Comment Subject Char"/>
    <w:basedOn w:val="CommentTextChar"/>
    <w:link w:val="CommentSubject"/>
    <w:uiPriority w:val="99"/>
    <w:semiHidden/>
    <w:rsid w:val="008A14C6"/>
    <w:rPr>
      <w:rFonts w:ascii="Arial" w:hAnsi="Arial" w:cs="Sendnya"/>
      <w:b/>
      <w:bCs/>
    </w:rPr>
  </w:style>
  <w:style w:type="paragraph" w:styleId="Revision">
    <w:name w:val="Revision"/>
    <w:hidden/>
    <w:uiPriority w:val="99"/>
    <w:semiHidden/>
    <w:rsid w:val="00B75675"/>
    <w:rPr>
      <w:rFonts w:ascii="Arial" w:hAnsi="Arial" w:cs="Sendny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289">
      <w:bodyDiv w:val="1"/>
      <w:marLeft w:val="0"/>
      <w:marRight w:val="0"/>
      <w:marTop w:val="0"/>
      <w:marBottom w:val="0"/>
      <w:divBdr>
        <w:top w:val="none" w:sz="0" w:space="0" w:color="auto"/>
        <w:left w:val="none" w:sz="0" w:space="0" w:color="auto"/>
        <w:bottom w:val="none" w:sz="0" w:space="0" w:color="auto"/>
        <w:right w:val="none" w:sz="0" w:space="0" w:color="auto"/>
      </w:divBdr>
    </w:div>
    <w:div w:id="640885268">
      <w:bodyDiv w:val="1"/>
      <w:marLeft w:val="0"/>
      <w:marRight w:val="0"/>
      <w:marTop w:val="0"/>
      <w:marBottom w:val="0"/>
      <w:divBdr>
        <w:top w:val="none" w:sz="0" w:space="0" w:color="auto"/>
        <w:left w:val="none" w:sz="0" w:space="0" w:color="auto"/>
        <w:bottom w:val="none" w:sz="0" w:space="0" w:color="auto"/>
        <w:right w:val="none" w:sz="0" w:space="0" w:color="auto"/>
      </w:divBdr>
    </w:div>
    <w:div w:id="659188957">
      <w:bodyDiv w:val="1"/>
      <w:marLeft w:val="0"/>
      <w:marRight w:val="0"/>
      <w:marTop w:val="0"/>
      <w:marBottom w:val="0"/>
      <w:divBdr>
        <w:top w:val="none" w:sz="0" w:space="0" w:color="auto"/>
        <w:left w:val="none" w:sz="0" w:space="0" w:color="auto"/>
        <w:bottom w:val="none" w:sz="0" w:space="0" w:color="auto"/>
        <w:right w:val="none" w:sz="0" w:space="0" w:color="auto"/>
      </w:divBdr>
    </w:div>
    <w:div w:id="908078085">
      <w:bodyDiv w:val="1"/>
      <w:marLeft w:val="0"/>
      <w:marRight w:val="0"/>
      <w:marTop w:val="0"/>
      <w:marBottom w:val="0"/>
      <w:divBdr>
        <w:top w:val="none" w:sz="0" w:space="0" w:color="auto"/>
        <w:left w:val="none" w:sz="0" w:space="0" w:color="auto"/>
        <w:bottom w:val="none" w:sz="0" w:space="0" w:color="auto"/>
        <w:right w:val="none" w:sz="0" w:space="0" w:color="auto"/>
      </w:divBdr>
    </w:div>
    <w:div w:id="13963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europa.eu/paym/initiatives/shared/docs/d5f88-ami-seco-2018-06-22-item-04.1-cmh-tf-report-on-corporate-action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4BB2-A467-46B9-84E0-934F36D8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Template>
  <TotalTime>0</TotalTime>
  <Pages>5</Pages>
  <Words>1405</Words>
  <Characters>7459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Generic</vt:lpstr>
    </vt:vector>
  </TitlesOfParts>
  <Company>European Central Bank</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dc:title>
  <dc:creator>McNamara, Gary</dc:creator>
  <cp:lastModifiedBy>Themejian, Karine</cp:lastModifiedBy>
  <cp:revision>2</cp:revision>
  <cp:lastPrinted>2018-09-03T09:29:00Z</cp:lastPrinted>
  <dcterms:created xsi:type="dcterms:W3CDTF">2018-11-30T14:52:00Z</dcterms:created>
  <dcterms:modified xsi:type="dcterms:W3CDTF">2018-11-30T14:52:00Z</dcterms:modified>
</cp:coreProperties>
</file>