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6204"/>
        <w:gridCol w:w="3367"/>
      </w:tblGrid>
      <w:tr w:rsidR="00A37E88" w:rsidRPr="00A37E88" w:rsidTr="00FB0446">
        <w:trPr>
          <w:trHeight w:val="233"/>
        </w:trPr>
        <w:tc>
          <w:tcPr>
            <w:tcW w:w="6204" w:type="dxa"/>
            <w:vMerge w:val="restart"/>
          </w:tcPr>
          <w:p w:rsidR="00A37E88" w:rsidRPr="00A37E88" w:rsidRDefault="00A37E88" w:rsidP="00A37E88">
            <w:pPr>
              <w:widowControl w:val="0"/>
              <w:adjustRightInd w:val="0"/>
              <w:spacing w:after="0" w:line="240" w:lineRule="atLeast"/>
              <w:jc w:val="both"/>
              <w:textAlignment w:val="baseline"/>
              <w:rPr>
                <w:rFonts w:ascii="Arial" w:eastAsia="Times New Roman" w:hAnsi="Arial" w:cs="Times New Roman"/>
                <w:sz w:val="17"/>
                <w:szCs w:val="20"/>
                <w:lang w:eastAsia="en-GB"/>
              </w:rPr>
            </w:pPr>
            <w:r w:rsidRPr="00A37E88">
              <w:rPr>
                <w:rFonts w:ascii="Arial" w:eastAsia="Times New Roman" w:hAnsi="Arial" w:cs="Times New Roman"/>
                <w:sz w:val="17"/>
                <w:szCs w:val="20"/>
                <w:lang w:eastAsia="en-GB"/>
              </w:rPr>
              <w:t>AMI-SECO HARMONISATION STEERING GROUP</w:t>
            </w:r>
          </w:p>
          <w:p w:rsidR="00A37E88" w:rsidRPr="00A37E88" w:rsidRDefault="00A37E88" w:rsidP="00A37E88">
            <w:pPr>
              <w:widowControl w:val="0"/>
              <w:adjustRightInd w:val="0"/>
              <w:spacing w:after="0" w:line="240" w:lineRule="atLeast"/>
              <w:jc w:val="both"/>
              <w:textAlignment w:val="baseline"/>
              <w:rPr>
                <w:rFonts w:ascii="Arial" w:eastAsia="Times New Roman" w:hAnsi="Arial" w:cs="Times New Roman"/>
                <w:b/>
                <w:caps/>
                <w:smallCaps/>
                <w:sz w:val="17"/>
                <w:szCs w:val="20"/>
                <w:lang w:eastAsia="en-GB"/>
              </w:rPr>
            </w:pPr>
            <w:r w:rsidRPr="00A37E88">
              <w:rPr>
                <w:rFonts w:ascii="Arial" w:eastAsia="Times New Roman" w:hAnsi="Arial" w:cs="Times New Roman"/>
                <w:b/>
                <w:caps/>
                <w:smallCaps/>
                <w:sz w:val="17"/>
                <w:szCs w:val="20"/>
                <w:lang w:eastAsia="en-GB"/>
              </w:rPr>
              <w:t>Collateral Management Harmonisation Task Force (CMH-TF)</w:t>
            </w:r>
          </w:p>
          <w:p w:rsidR="00A37E88" w:rsidRPr="00A37E88" w:rsidRDefault="00A37E88" w:rsidP="00A37E88">
            <w:pPr>
              <w:widowControl w:val="0"/>
              <w:adjustRightInd w:val="0"/>
              <w:spacing w:after="0" w:line="240" w:lineRule="atLeast"/>
              <w:jc w:val="both"/>
              <w:textAlignment w:val="baseline"/>
              <w:rPr>
                <w:rFonts w:ascii="Arial" w:eastAsia="Times New Roman" w:hAnsi="Arial" w:cs="Times New Roman"/>
                <w:b/>
                <w:caps/>
                <w:smallCaps/>
                <w:sz w:val="17"/>
                <w:szCs w:val="20"/>
                <w:lang w:val="en-US" w:eastAsia="en-GB"/>
              </w:rPr>
            </w:pPr>
            <w:r w:rsidRPr="00A37E88">
              <w:rPr>
                <w:rFonts w:ascii="Wingdings" w:eastAsia="Times New Roman" w:hAnsi="Wingdings" w:cs="Times New Roman"/>
                <w:color w:val="1F497D"/>
                <w:sz w:val="17"/>
                <w:szCs w:val="20"/>
                <w:lang w:val="en-IE" w:eastAsia="en-IE"/>
              </w:rPr>
              <w:t></w:t>
            </w:r>
            <w:r w:rsidRPr="00A37E88">
              <w:rPr>
                <w:rFonts w:ascii="Arial" w:eastAsia="Times New Roman" w:hAnsi="Arial" w:cs="Times New Roman"/>
                <w:sz w:val="16"/>
                <w:szCs w:val="20"/>
                <w:lang w:eastAsia="en-GB"/>
              </w:rPr>
              <w:t xml:space="preserve"> </w:t>
            </w:r>
            <w:hyperlink r:id="rId9" w:history="1">
              <w:r w:rsidRPr="00A37E88">
                <w:rPr>
                  <w:rFonts w:ascii="Arial" w:eastAsia="Times New Roman" w:hAnsi="Arial" w:cs="Times New Roman"/>
                  <w:color w:val="0000FF" w:themeColor="hyperlink"/>
                  <w:sz w:val="16"/>
                  <w:szCs w:val="20"/>
                  <w:u w:val="single"/>
                  <w:lang w:eastAsia="en-GB"/>
                </w:rPr>
                <w:t>collateral_management_harmonisation@ecb.europa.eu</w:t>
              </w:r>
            </w:hyperlink>
            <w:r w:rsidRPr="00A37E88">
              <w:rPr>
                <w:rFonts w:ascii="Arial" w:eastAsia="Times New Roman" w:hAnsi="Arial" w:cs="Times New Roman"/>
                <w:sz w:val="16"/>
                <w:szCs w:val="20"/>
                <w:lang w:eastAsia="en-GB"/>
              </w:rPr>
              <w:t xml:space="preserve">    </w:t>
            </w:r>
          </w:p>
        </w:tc>
        <w:tc>
          <w:tcPr>
            <w:tcW w:w="3367" w:type="dxa"/>
          </w:tcPr>
          <w:p w:rsidR="00A37E88" w:rsidRPr="00A37E88" w:rsidRDefault="00A37E88" w:rsidP="00A37E88">
            <w:pPr>
              <w:widowControl w:val="0"/>
              <w:adjustRightInd w:val="0"/>
              <w:spacing w:before="60" w:after="60" w:line="340" w:lineRule="atLeast"/>
              <w:jc w:val="right"/>
              <w:textAlignment w:val="baseline"/>
              <w:rPr>
                <w:rFonts w:ascii="Arial" w:eastAsia="Times New Roman" w:hAnsi="Arial" w:cs="Times New Roman"/>
                <w:b/>
                <w:sz w:val="20"/>
                <w:lang w:eastAsia="en-GB"/>
              </w:rPr>
            </w:pPr>
            <w:bookmarkStart w:id="0" w:name="Classification"/>
            <w:bookmarkEnd w:id="0"/>
            <w:r w:rsidRPr="00A37E88">
              <w:rPr>
                <w:rFonts w:ascii="Arial" w:eastAsia="Times New Roman" w:hAnsi="Arial" w:cs="Times New Roman"/>
                <w:b/>
                <w:sz w:val="20"/>
                <w:lang w:eastAsia="en-GB"/>
              </w:rPr>
              <w:t>ECB-UNRESTRICTED</w:t>
            </w:r>
          </w:p>
        </w:tc>
      </w:tr>
      <w:tr w:rsidR="00A37E88" w:rsidRPr="00A37E88" w:rsidTr="00FB0446">
        <w:trPr>
          <w:trHeight w:val="405"/>
        </w:trPr>
        <w:tc>
          <w:tcPr>
            <w:tcW w:w="6204" w:type="dxa"/>
            <w:vMerge/>
          </w:tcPr>
          <w:p w:rsidR="00A37E88" w:rsidRPr="00A37E88" w:rsidRDefault="00A37E88" w:rsidP="00A37E88">
            <w:pPr>
              <w:widowControl w:val="0"/>
              <w:adjustRightInd w:val="0"/>
              <w:spacing w:after="0" w:line="240" w:lineRule="exact"/>
              <w:jc w:val="both"/>
              <w:textAlignment w:val="baseline"/>
              <w:rPr>
                <w:rFonts w:ascii="Arial" w:eastAsia="Times New Roman" w:hAnsi="Arial" w:cs="Times New Roman"/>
                <w:sz w:val="20"/>
                <w:lang w:eastAsia="en-GB"/>
              </w:rPr>
            </w:pPr>
          </w:p>
        </w:tc>
        <w:tc>
          <w:tcPr>
            <w:tcW w:w="3367" w:type="dxa"/>
          </w:tcPr>
          <w:p w:rsidR="00A37E88" w:rsidRPr="00A37E88" w:rsidRDefault="00A37E88" w:rsidP="00A37E88">
            <w:pPr>
              <w:widowControl w:val="0"/>
              <w:adjustRightInd w:val="0"/>
              <w:spacing w:before="60" w:after="60" w:line="340" w:lineRule="atLeast"/>
              <w:textAlignment w:val="baseline"/>
              <w:rPr>
                <w:rFonts w:ascii="Arial" w:eastAsia="Times New Roman" w:hAnsi="Arial" w:cs="Times New Roman"/>
                <w:b/>
                <w:sz w:val="20"/>
                <w:lang w:eastAsia="en-GB"/>
              </w:rPr>
            </w:pPr>
            <w:bookmarkStart w:id="1" w:name="Marking"/>
            <w:bookmarkEnd w:id="1"/>
          </w:p>
        </w:tc>
      </w:tr>
      <w:tr w:rsidR="00A37E88" w:rsidRPr="00A37E88" w:rsidTr="00FB0446">
        <w:tc>
          <w:tcPr>
            <w:tcW w:w="6204" w:type="dxa"/>
          </w:tcPr>
          <w:p w:rsidR="00A37E88" w:rsidRPr="00A37E88" w:rsidRDefault="00A37E88" w:rsidP="00A37E88">
            <w:pPr>
              <w:widowControl w:val="0"/>
              <w:adjustRightInd w:val="0"/>
              <w:spacing w:after="0" w:line="240" w:lineRule="atLeast"/>
              <w:jc w:val="both"/>
              <w:textAlignment w:val="baseline"/>
              <w:rPr>
                <w:rFonts w:ascii="Arial" w:eastAsia="Times New Roman" w:hAnsi="Arial" w:cs="Times New Roman"/>
                <w:sz w:val="17"/>
                <w:szCs w:val="20"/>
                <w:lang w:eastAsia="en-GB"/>
              </w:rPr>
            </w:pPr>
            <w:r w:rsidRPr="00A37E88">
              <w:rPr>
                <w:rFonts w:ascii="Arial" w:eastAsia="Times New Roman" w:hAnsi="Arial" w:cs="Times New Roman"/>
                <w:sz w:val="17"/>
                <w:szCs w:val="20"/>
                <w:lang w:eastAsia="en-GB"/>
              </w:rPr>
              <w:t>CMHA</w:t>
            </w:r>
            <w:r>
              <w:rPr>
                <w:rFonts w:ascii="Arial" w:eastAsia="Times New Roman" w:hAnsi="Arial" w:cs="Times New Roman"/>
                <w:sz w:val="17"/>
                <w:szCs w:val="20"/>
                <w:lang w:eastAsia="en-GB"/>
              </w:rPr>
              <w:t>2</w:t>
            </w:r>
            <w:r w:rsidRPr="00A37E88">
              <w:rPr>
                <w:rFonts w:ascii="Arial" w:eastAsia="Times New Roman" w:hAnsi="Arial" w:cs="Times New Roman"/>
                <w:sz w:val="17"/>
                <w:szCs w:val="20"/>
                <w:lang w:eastAsia="en-GB"/>
              </w:rPr>
              <w:t xml:space="preserve">: </w:t>
            </w:r>
            <w:r>
              <w:rPr>
                <w:rFonts w:ascii="Arial" w:eastAsia="Times New Roman" w:hAnsi="Arial" w:cs="Times New Roman"/>
                <w:sz w:val="17"/>
                <w:szCs w:val="20"/>
                <w:lang w:eastAsia="en-GB"/>
              </w:rPr>
              <w:t>Corporate Actions</w:t>
            </w:r>
          </w:p>
        </w:tc>
        <w:tc>
          <w:tcPr>
            <w:tcW w:w="3367" w:type="dxa"/>
            <w:vAlign w:val="bottom"/>
          </w:tcPr>
          <w:p w:rsidR="00A37E88" w:rsidRPr="00A37E88" w:rsidRDefault="00A37E88" w:rsidP="00A37E88">
            <w:pPr>
              <w:widowControl w:val="0"/>
              <w:adjustRightInd w:val="0"/>
              <w:spacing w:after="0" w:line="240" w:lineRule="atLeast"/>
              <w:jc w:val="right"/>
              <w:textAlignment w:val="baseline"/>
              <w:rPr>
                <w:rFonts w:ascii="Arial" w:eastAsia="Times New Roman" w:hAnsi="Arial" w:cs="Times New Roman"/>
                <w:sz w:val="17"/>
                <w:szCs w:val="20"/>
                <w:lang w:eastAsia="en-GB"/>
              </w:rPr>
            </w:pPr>
            <w:bookmarkStart w:id="2" w:name="SaveDate"/>
            <w:bookmarkEnd w:id="2"/>
            <w:r w:rsidRPr="00A37E88">
              <w:rPr>
                <w:rFonts w:ascii="Arial" w:eastAsia="Times New Roman" w:hAnsi="Arial" w:cs="Times New Roman"/>
                <w:sz w:val="17"/>
                <w:szCs w:val="20"/>
                <w:lang w:eastAsia="en-GB"/>
              </w:rPr>
              <w:t xml:space="preserve"> November 2018</w:t>
            </w:r>
          </w:p>
        </w:tc>
      </w:tr>
      <w:tr w:rsidR="00A37E88" w:rsidRPr="00A37E88" w:rsidTr="00FB0446">
        <w:tc>
          <w:tcPr>
            <w:tcW w:w="6204" w:type="dxa"/>
          </w:tcPr>
          <w:p w:rsidR="00A37E88" w:rsidRPr="00A37E88" w:rsidRDefault="00A37E88" w:rsidP="00A37E88">
            <w:pPr>
              <w:widowControl w:val="0"/>
              <w:adjustRightInd w:val="0"/>
              <w:spacing w:after="0" w:line="240" w:lineRule="atLeast"/>
              <w:jc w:val="right"/>
              <w:textAlignment w:val="baseline"/>
              <w:rPr>
                <w:rFonts w:ascii="Arial" w:eastAsia="Times New Roman" w:hAnsi="Arial" w:cs="Times New Roman"/>
                <w:b/>
                <w:sz w:val="20"/>
                <w:lang w:eastAsia="en-GB"/>
              </w:rPr>
            </w:pPr>
          </w:p>
        </w:tc>
        <w:tc>
          <w:tcPr>
            <w:tcW w:w="3367" w:type="dxa"/>
          </w:tcPr>
          <w:p w:rsidR="00A37E88" w:rsidRPr="00A37E88" w:rsidRDefault="00A37E88" w:rsidP="00A37E88">
            <w:pPr>
              <w:widowControl w:val="0"/>
              <w:adjustRightInd w:val="0"/>
              <w:spacing w:after="0" w:line="240" w:lineRule="atLeast"/>
              <w:jc w:val="right"/>
              <w:textAlignment w:val="baseline"/>
              <w:rPr>
                <w:rFonts w:ascii="Arial" w:eastAsia="Times New Roman" w:hAnsi="Arial" w:cs="Times New Roman"/>
                <w:b/>
                <w:sz w:val="20"/>
                <w:lang w:eastAsia="en-GB"/>
              </w:rPr>
            </w:pPr>
            <w:bookmarkStart w:id="3" w:name="DocumentStatus"/>
            <w:bookmarkEnd w:id="3"/>
          </w:p>
        </w:tc>
      </w:tr>
      <w:tr w:rsidR="00A37E88" w:rsidRPr="00A37E88" w:rsidTr="00FB0446">
        <w:tc>
          <w:tcPr>
            <w:tcW w:w="6204" w:type="dxa"/>
          </w:tcPr>
          <w:p w:rsidR="00A37E88" w:rsidRPr="00A37E88" w:rsidRDefault="00A37E88" w:rsidP="00A37E88">
            <w:pPr>
              <w:widowControl w:val="0"/>
              <w:adjustRightInd w:val="0"/>
              <w:spacing w:after="0" w:line="240" w:lineRule="atLeast"/>
              <w:jc w:val="both"/>
              <w:textAlignment w:val="baseline"/>
              <w:rPr>
                <w:rFonts w:ascii="Arial" w:eastAsia="Times New Roman" w:hAnsi="Arial" w:cs="Times New Roman"/>
                <w:sz w:val="17"/>
                <w:szCs w:val="20"/>
                <w:lang w:eastAsia="en-GB"/>
              </w:rPr>
            </w:pPr>
          </w:p>
        </w:tc>
        <w:tc>
          <w:tcPr>
            <w:tcW w:w="3367" w:type="dxa"/>
          </w:tcPr>
          <w:p w:rsidR="00A37E88" w:rsidRPr="00A37E88" w:rsidRDefault="00A37E88" w:rsidP="00A37E88">
            <w:pPr>
              <w:widowControl w:val="0"/>
              <w:adjustRightInd w:val="0"/>
              <w:spacing w:after="0" w:line="240" w:lineRule="atLeast"/>
              <w:jc w:val="right"/>
              <w:textAlignment w:val="baseline"/>
              <w:rPr>
                <w:rFonts w:ascii="Arial" w:eastAsia="Times New Roman" w:hAnsi="Arial" w:cs="Times New Roman"/>
                <w:smallCaps/>
                <w:sz w:val="17"/>
                <w:szCs w:val="20"/>
                <w:lang w:eastAsia="en-GB"/>
              </w:rPr>
            </w:pPr>
          </w:p>
        </w:tc>
      </w:tr>
      <w:tr w:rsidR="00A37E88" w:rsidRPr="00A37E88" w:rsidTr="00FB0446">
        <w:trPr>
          <w:cantSplit/>
          <w:trHeight w:val="1020"/>
        </w:trPr>
        <w:tc>
          <w:tcPr>
            <w:tcW w:w="9571" w:type="dxa"/>
            <w:gridSpan w:val="2"/>
            <w:vAlign w:val="center"/>
          </w:tcPr>
          <w:p w:rsidR="00A37E88" w:rsidRPr="00A37E88" w:rsidRDefault="0061431F" w:rsidP="0061431F">
            <w:pPr>
              <w:widowControl w:val="0"/>
              <w:adjustRightInd w:val="0"/>
              <w:spacing w:before="60" w:after="60" w:line="340" w:lineRule="atLeast"/>
              <w:jc w:val="center"/>
              <w:textAlignment w:val="baseline"/>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Corporate Actions Harmonisation</w:t>
            </w:r>
          </w:p>
        </w:tc>
      </w:tr>
    </w:tbl>
    <w:p w:rsidR="00A37E88" w:rsidRPr="0061431F" w:rsidRDefault="00A37E88" w:rsidP="00A37E88">
      <w:pPr>
        <w:keepNext/>
        <w:widowControl w:val="0"/>
        <w:tabs>
          <w:tab w:val="num" w:pos="567"/>
        </w:tabs>
        <w:adjustRightInd w:val="0"/>
        <w:spacing w:before="340" w:after="120" w:line="340" w:lineRule="atLeast"/>
        <w:ind w:left="567" w:hanging="567"/>
        <w:jc w:val="both"/>
        <w:textAlignment w:val="baseline"/>
        <w:outlineLvl w:val="0"/>
        <w:rPr>
          <w:rFonts w:ascii="Arial" w:eastAsia="Times New Roman" w:hAnsi="Arial" w:cs="Times New Roman"/>
          <w:b/>
          <w:bCs/>
          <w:kern w:val="28"/>
          <w:szCs w:val="20"/>
          <w:lang w:eastAsia="en-GB"/>
        </w:rPr>
      </w:pPr>
      <w:r w:rsidRPr="0061431F">
        <w:rPr>
          <w:rFonts w:ascii="Arial" w:eastAsia="Times New Roman" w:hAnsi="Arial" w:cs="Times New Roman"/>
          <w:b/>
          <w:bCs/>
          <w:kern w:val="28"/>
          <w:szCs w:val="20"/>
          <w:lang w:eastAsia="en-GB"/>
        </w:rPr>
        <w:t>Background</w:t>
      </w:r>
    </w:p>
    <w:p w:rsidR="0061431F" w:rsidRPr="0061431F" w:rsidRDefault="0061431F" w:rsidP="0061431F">
      <w:pPr>
        <w:spacing w:after="0" w:line="280" w:lineRule="atLeast"/>
        <w:jc w:val="both"/>
        <w:rPr>
          <w:rFonts w:ascii="Arial" w:hAnsi="Arial" w:cs="Arial"/>
          <w:sz w:val="18"/>
          <w:szCs w:val="18"/>
        </w:rPr>
      </w:pPr>
      <w:proofErr w:type="gramStart"/>
      <w:r w:rsidRPr="0061431F">
        <w:rPr>
          <w:rFonts w:ascii="Arial" w:hAnsi="Arial" w:cs="Arial"/>
          <w:sz w:val="18"/>
          <w:szCs w:val="18"/>
        </w:rPr>
        <w:t xml:space="preserve">As part of its work on harmonisation of collateral management related processes the </w:t>
      </w:r>
      <w:r w:rsidRPr="0061431F">
        <w:rPr>
          <w:rFonts w:ascii="Arial" w:hAnsi="Arial" w:cs="Arial"/>
          <w:i/>
          <w:sz w:val="18"/>
          <w:szCs w:val="18"/>
        </w:rPr>
        <w:t xml:space="preserve">Advisory Group on Market Infrastructures for Securities and Collateral </w:t>
      </w:r>
      <w:r w:rsidRPr="0061431F">
        <w:rPr>
          <w:rFonts w:ascii="Arial" w:hAnsi="Arial" w:cs="Arial"/>
          <w:sz w:val="18"/>
          <w:szCs w:val="18"/>
        </w:rPr>
        <w:t>(AMI-SeCo) have identified a strong need to achieve further harmonisation of corporate action processing in Europe.</w:t>
      </w:r>
      <w:proofErr w:type="gramEnd"/>
      <w:r w:rsidRPr="0061431F">
        <w:rPr>
          <w:rFonts w:ascii="Arial" w:hAnsi="Arial" w:cs="Arial"/>
          <w:sz w:val="18"/>
          <w:szCs w:val="18"/>
        </w:rPr>
        <w:t xml:space="preserve"> In June 2018 the AMI-SeCo published a </w:t>
      </w:r>
      <w:hyperlink r:id="rId10" w:history="1">
        <w:r w:rsidRPr="0061431F">
          <w:rPr>
            <w:rFonts w:ascii="Arial" w:hAnsi="Arial" w:cs="Arial"/>
            <w:color w:val="0000FF" w:themeColor="hyperlink"/>
            <w:sz w:val="18"/>
            <w:szCs w:val="18"/>
            <w:u w:val="single"/>
          </w:rPr>
          <w:t>report</w:t>
        </w:r>
      </w:hyperlink>
      <w:r w:rsidRPr="0061431F">
        <w:rPr>
          <w:rFonts w:ascii="Arial" w:hAnsi="Arial" w:cs="Arial"/>
          <w:sz w:val="18"/>
          <w:szCs w:val="18"/>
        </w:rPr>
        <w:t xml:space="preserve"> on how harmonisation could be achieved. The report was endorsed by market stakeholders and it was agreed that ISO 20022 messaging for corporate actions should be adopted by relevant market stakeholders by November 2022. In addition a series of follow-up items were identified for which market input is now sought.</w:t>
      </w:r>
    </w:p>
    <w:p w:rsidR="0061431F" w:rsidRPr="0061431F" w:rsidRDefault="0061431F" w:rsidP="0061431F">
      <w:pPr>
        <w:spacing w:after="0" w:line="280" w:lineRule="atLeast"/>
        <w:jc w:val="both"/>
        <w:rPr>
          <w:rFonts w:ascii="Arial" w:hAnsi="Arial" w:cs="Arial"/>
          <w:sz w:val="18"/>
          <w:szCs w:val="18"/>
        </w:rPr>
      </w:pPr>
    </w:p>
    <w:p w:rsidR="0061431F" w:rsidRPr="0061431F" w:rsidRDefault="0061431F" w:rsidP="0061431F">
      <w:pPr>
        <w:numPr>
          <w:ilvl w:val="0"/>
          <w:numId w:val="27"/>
        </w:numPr>
        <w:spacing w:after="0" w:line="280" w:lineRule="atLeast"/>
        <w:contextualSpacing/>
        <w:jc w:val="both"/>
        <w:rPr>
          <w:rFonts w:ascii="Arial" w:hAnsi="Arial" w:cs="Arial"/>
          <w:b/>
          <w:sz w:val="18"/>
          <w:szCs w:val="18"/>
          <w:u w:val="single"/>
        </w:rPr>
      </w:pPr>
      <w:r w:rsidRPr="0061431F">
        <w:rPr>
          <w:rFonts w:ascii="Arial" w:hAnsi="Arial" w:cs="Arial"/>
          <w:b/>
          <w:sz w:val="18"/>
          <w:szCs w:val="18"/>
          <w:u w:val="single"/>
        </w:rPr>
        <w:t>Input requested from SMPG members</w:t>
      </w:r>
    </w:p>
    <w:p w:rsidR="0061431F" w:rsidRPr="0061431F" w:rsidRDefault="0061431F" w:rsidP="0061431F">
      <w:pPr>
        <w:spacing w:after="0" w:line="280" w:lineRule="atLeast"/>
        <w:ind w:left="720"/>
        <w:contextualSpacing/>
        <w:jc w:val="both"/>
        <w:rPr>
          <w:rFonts w:ascii="Arial" w:hAnsi="Arial" w:cs="Arial"/>
          <w:sz w:val="18"/>
          <w:szCs w:val="18"/>
        </w:rPr>
      </w:pPr>
      <w:r w:rsidRPr="0061431F">
        <w:rPr>
          <w:rFonts w:ascii="Arial" w:hAnsi="Arial" w:cs="Arial"/>
          <w:sz w:val="18"/>
          <w:szCs w:val="18"/>
        </w:rPr>
        <w:t>We would welcome if SMPG members could discuss the</w:t>
      </w:r>
      <w:r w:rsidR="009C7BD9">
        <w:rPr>
          <w:rFonts w:ascii="Arial" w:hAnsi="Arial" w:cs="Arial"/>
          <w:sz w:val="18"/>
          <w:szCs w:val="18"/>
        </w:rPr>
        <w:t xml:space="preserve"> six</w:t>
      </w:r>
      <w:r w:rsidRPr="0061431F">
        <w:rPr>
          <w:rFonts w:ascii="Arial" w:hAnsi="Arial" w:cs="Arial"/>
          <w:sz w:val="18"/>
          <w:szCs w:val="18"/>
        </w:rPr>
        <w:t xml:space="preserve"> questions raised in this document in the next scheduled telco on 13 November. Informal written feedback from SMPG members is also welcome by 14 November. In case it is not feasible for members to provide feedback on all points by this date we kindly invite members to firstly respond on questions 1, 2 and 3 by this date. </w:t>
      </w:r>
    </w:p>
    <w:p w:rsidR="0061431F" w:rsidRPr="0061431F" w:rsidRDefault="0061431F" w:rsidP="0061431F">
      <w:pPr>
        <w:spacing w:after="0" w:line="240" w:lineRule="auto"/>
        <w:rPr>
          <w:rFonts w:ascii="Arial" w:hAnsi="Arial" w:cs="Arial"/>
          <w:sz w:val="18"/>
          <w:szCs w:val="18"/>
        </w:rPr>
      </w:pPr>
    </w:p>
    <w:p w:rsidR="0061431F" w:rsidRPr="0061431F" w:rsidRDefault="0061431F" w:rsidP="0061431F">
      <w:pPr>
        <w:spacing w:after="0" w:line="240" w:lineRule="auto"/>
        <w:rPr>
          <w:rFonts w:ascii="Arial" w:hAnsi="Arial" w:cs="Arial"/>
          <w:sz w:val="18"/>
          <w:szCs w:val="18"/>
        </w:rPr>
      </w:pPr>
    </w:p>
    <w:p w:rsidR="0061431F" w:rsidRPr="0061431F" w:rsidRDefault="0061431F" w:rsidP="0061431F">
      <w:pPr>
        <w:shd w:val="clear" w:color="auto" w:fill="365F91" w:themeFill="accent1" w:themeFillShade="BF"/>
        <w:spacing w:after="0" w:line="240" w:lineRule="auto"/>
        <w:rPr>
          <w:rFonts w:ascii="Arial" w:hAnsi="Arial" w:cs="Arial"/>
          <w:sz w:val="18"/>
          <w:szCs w:val="18"/>
        </w:rPr>
      </w:pPr>
    </w:p>
    <w:p w:rsidR="0061431F" w:rsidRPr="0061431F" w:rsidRDefault="0061431F" w:rsidP="0061431F">
      <w:pPr>
        <w:shd w:val="clear" w:color="auto" w:fill="365F91" w:themeFill="accent1" w:themeFillShade="BF"/>
        <w:spacing w:after="0" w:line="240" w:lineRule="auto"/>
        <w:jc w:val="both"/>
        <w:rPr>
          <w:rFonts w:ascii="Arial" w:hAnsi="Arial" w:cs="Arial"/>
          <w:b/>
          <w:color w:val="FFFFFF" w:themeColor="background1"/>
          <w:sz w:val="18"/>
          <w:szCs w:val="18"/>
        </w:rPr>
      </w:pPr>
      <w:r w:rsidRPr="0061431F">
        <w:rPr>
          <w:rFonts w:ascii="Arial" w:hAnsi="Arial" w:cs="Arial"/>
          <w:b/>
          <w:color w:val="FFFFFF" w:themeColor="background1"/>
          <w:sz w:val="18"/>
          <w:szCs w:val="18"/>
        </w:rPr>
        <w:t xml:space="preserve">Question 1: Identification of CA events relevant to debt instruments </w:t>
      </w:r>
    </w:p>
    <w:p w:rsidR="0061431F" w:rsidRPr="0061431F" w:rsidRDefault="0061431F" w:rsidP="0061431F">
      <w:pPr>
        <w:spacing w:after="0" w:line="240" w:lineRule="auto"/>
        <w:rPr>
          <w:rFonts w:ascii="Arial" w:hAnsi="Arial" w:cs="Arial"/>
          <w:sz w:val="18"/>
          <w:szCs w:val="18"/>
        </w:rPr>
      </w:pPr>
    </w:p>
    <w:p w:rsidR="0061431F" w:rsidRPr="0061431F" w:rsidRDefault="0061431F" w:rsidP="0061431F">
      <w:pPr>
        <w:spacing w:after="0" w:line="240" w:lineRule="auto"/>
        <w:rPr>
          <w:rFonts w:ascii="Arial" w:hAnsi="Arial" w:cs="Arial"/>
          <w:sz w:val="18"/>
          <w:szCs w:val="18"/>
        </w:rPr>
      </w:pPr>
      <w:r w:rsidRPr="0061431F">
        <w:rPr>
          <w:rFonts w:ascii="Arial" w:hAnsi="Arial" w:cs="Arial"/>
          <w:sz w:val="18"/>
          <w:szCs w:val="18"/>
        </w:rPr>
        <w:t xml:space="preserve">As part of the first phase of the CA harmonisation work, AMI-SeCo agreed to focus on the harmonisation of processing of CA events relevant to Eurosystem eligible debt instruments. Currently however there is no </w:t>
      </w:r>
      <w:r w:rsidRPr="0061431F">
        <w:rPr>
          <w:rFonts w:ascii="Arial" w:hAnsi="Arial" w:cs="Arial"/>
          <w:b/>
          <w:sz w:val="18"/>
          <w:szCs w:val="18"/>
        </w:rPr>
        <w:t>market practice specifying the CA event types which can be processed on debt instruments</w:t>
      </w:r>
      <w:r w:rsidRPr="0061431F">
        <w:rPr>
          <w:rFonts w:ascii="Arial" w:hAnsi="Arial" w:cs="Arial"/>
          <w:sz w:val="18"/>
          <w:szCs w:val="18"/>
        </w:rPr>
        <w:t>. Following various consultations with market stakeholders we have now identified a list of approximately 40 events which are relevant to Eurosystem collateral. There are a few remaining event types however where views diverge amongst market participants regarding their relevance for use on debt instruments. Accordingly we would welcome the views of the SMPG on the following event types in the table below.</w:t>
      </w:r>
    </w:p>
    <w:p w:rsidR="0061431F" w:rsidRPr="0061431F" w:rsidRDefault="0061431F" w:rsidP="0061431F">
      <w:pPr>
        <w:spacing w:after="0" w:line="240" w:lineRule="auto"/>
        <w:rPr>
          <w:rFonts w:ascii="Arial" w:hAnsi="Arial" w:cs="Arial"/>
          <w:sz w:val="18"/>
          <w:szCs w:val="18"/>
        </w:rPr>
      </w:pPr>
    </w:p>
    <w:p w:rsidR="0061431F" w:rsidRPr="0061431F" w:rsidRDefault="0061431F" w:rsidP="0061431F">
      <w:pPr>
        <w:spacing w:after="0" w:line="240" w:lineRule="auto"/>
        <w:rPr>
          <w:rFonts w:ascii="Arial" w:hAnsi="Arial" w:cs="Arial"/>
          <w:b/>
          <w:i/>
          <w:sz w:val="18"/>
          <w:szCs w:val="18"/>
        </w:rPr>
      </w:pPr>
      <w:r w:rsidRPr="0061431F">
        <w:rPr>
          <w:rFonts w:ascii="Arial" w:hAnsi="Arial" w:cs="Arial"/>
          <w:b/>
          <w:i/>
          <w:sz w:val="18"/>
          <w:szCs w:val="18"/>
        </w:rPr>
        <w:t>CA Events</w:t>
      </w:r>
    </w:p>
    <w:p w:rsidR="0061431F" w:rsidRPr="0061431F" w:rsidRDefault="0061431F" w:rsidP="0061431F">
      <w:pPr>
        <w:spacing w:after="0" w:line="240" w:lineRule="auto"/>
        <w:rPr>
          <w:rFonts w:ascii="Arial" w:hAnsi="Arial" w:cs="Arial"/>
          <w:sz w:val="18"/>
          <w:szCs w:val="18"/>
        </w:rPr>
      </w:pPr>
    </w:p>
    <w:tbl>
      <w:tblPr>
        <w:tblStyle w:val="TableGrid"/>
        <w:tblW w:w="5000" w:type="pct"/>
        <w:shd w:val="clear" w:color="auto" w:fill="DBE5F1" w:themeFill="accent1" w:themeFillTint="33"/>
        <w:tblLook w:val="04A0" w:firstRow="1" w:lastRow="0" w:firstColumn="1" w:lastColumn="0" w:noHBand="0" w:noVBand="1"/>
      </w:tblPr>
      <w:tblGrid>
        <w:gridCol w:w="766"/>
        <w:gridCol w:w="987"/>
        <w:gridCol w:w="4025"/>
        <w:gridCol w:w="3403"/>
        <w:gridCol w:w="61"/>
      </w:tblGrid>
      <w:tr w:rsidR="0061431F" w:rsidRPr="0061431F" w:rsidTr="00191A73">
        <w:trPr>
          <w:gridAfter w:val="1"/>
          <w:wAfter w:w="33" w:type="pct"/>
        </w:trPr>
        <w:tc>
          <w:tcPr>
            <w:tcW w:w="414" w:type="pct"/>
            <w:shd w:val="clear" w:color="auto" w:fill="4F81BD" w:themeFill="accent1"/>
            <w:vAlign w:val="center"/>
          </w:tcPr>
          <w:p w:rsidR="0061431F" w:rsidRPr="0061431F" w:rsidRDefault="0061431F" w:rsidP="0061431F">
            <w:pPr>
              <w:rPr>
                <w:rFonts w:ascii="Arial" w:hAnsi="Arial" w:cs="Arial"/>
                <w:b/>
                <w:i/>
                <w:color w:val="FFFFFF" w:themeColor="background1"/>
                <w:sz w:val="18"/>
                <w:szCs w:val="18"/>
              </w:rPr>
            </w:pPr>
            <w:r w:rsidRPr="0061431F">
              <w:rPr>
                <w:rFonts w:ascii="Arial" w:eastAsiaTheme="minorHAnsi" w:hAnsi="Arial" w:cs="Arial"/>
                <w:b/>
                <w:i/>
                <w:color w:val="FFFFFF" w:themeColor="background1"/>
                <w:sz w:val="18"/>
                <w:szCs w:val="18"/>
              </w:rPr>
              <w:t>Event</w:t>
            </w:r>
          </w:p>
        </w:tc>
        <w:tc>
          <w:tcPr>
            <w:tcW w:w="534" w:type="pct"/>
            <w:shd w:val="clear" w:color="auto" w:fill="4F81BD" w:themeFill="accent1"/>
            <w:vAlign w:val="center"/>
          </w:tcPr>
          <w:p w:rsidR="0061431F" w:rsidRPr="0061431F" w:rsidRDefault="0061431F" w:rsidP="0061431F">
            <w:pPr>
              <w:rPr>
                <w:rFonts w:ascii="Arial" w:hAnsi="Arial" w:cs="Arial"/>
                <w:b/>
                <w:bCs/>
                <w:i/>
                <w:color w:val="FFFFFF" w:themeColor="background1"/>
                <w:sz w:val="18"/>
                <w:szCs w:val="18"/>
              </w:rPr>
            </w:pPr>
            <w:r w:rsidRPr="0061431F">
              <w:rPr>
                <w:rFonts w:ascii="Arial" w:hAnsi="Arial" w:cs="Arial"/>
                <w:b/>
                <w:bCs/>
                <w:i/>
                <w:color w:val="FFFFFF" w:themeColor="background1"/>
                <w:sz w:val="18"/>
                <w:szCs w:val="18"/>
              </w:rPr>
              <w:t>Proposal</w:t>
            </w:r>
          </w:p>
        </w:tc>
        <w:tc>
          <w:tcPr>
            <w:tcW w:w="2178" w:type="pct"/>
            <w:shd w:val="clear" w:color="auto" w:fill="4F81BD" w:themeFill="accent1"/>
            <w:vAlign w:val="center"/>
          </w:tcPr>
          <w:p w:rsidR="0061431F" w:rsidRPr="0061431F" w:rsidRDefault="0061431F" w:rsidP="0061431F">
            <w:pPr>
              <w:rPr>
                <w:rFonts w:ascii="Arial" w:hAnsi="Arial" w:cs="Arial"/>
                <w:b/>
                <w:bCs/>
                <w:i/>
                <w:color w:val="FFFFFF" w:themeColor="background1"/>
                <w:sz w:val="18"/>
                <w:szCs w:val="18"/>
              </w:rPr>
            </w:pPr>
            <w:r w:rsidRPr="0061431F">
              <w:rPr>
                <w:rFonts w:ascii="Arial" w:hAnsi="Arial" w:cs="Arial"/>
                <w:b/>
                <w:bCs/>
                <w:i/>
                <w:color w:val="FFFFFF" w:themeColor="background1"/>
                <w:sz w:val="18"/>
                <w:szCs w:val="18"/>
              </w:rPr>
              <w:t>Relevance to Eurosystem eligible debt instruments.</w:t>
            </w:r>
          </w:p>
        </w:tc>
        <w:tc>
          <w:tcPr>
            <w:tcW w:w="1841" w:type="pct"/>
            <w:shd w:val="clear" w:color="auto" w:fill="4F81BD" w:themeFill="accent1"/>
            <w:vAlign w:val="center"/>
          </w:tcPr>
          <w:p w:rsidR="0061431F" w:rsidRPr="0061431F" w:rsidRDefault="0061431F" w:rsidP="0061431F">
            <w:pPr>
              <w:rPr>
                <w:rFonts w:ascii="Arial" w:hAnsi="Arial" w:cs="Arial"/>
                <w:b/>
                <w:bCs/>
                <w:i/>
                <w:color w:val="FFFFFF" w:themeColor="background1"/>
                <w:sz w:val="18"/>
                <w:szCs w:val="18"/>
              </w:rPr>
            </w:pPr>
            <w:r w:rsidRPr="0061431F">
              <w:rPr>
                <w:rFonts w:ascii="Arial" w:hAnsi="Arial" w:cs="Arial"/>
                <w:b/>
                <w:bCs/>
                <w:i/>
                <w:sz w:val="18"/>
                <w:szCs w:val="18"/>
                <w:highlight w:val="yellow"/>
              </w:rPr>
              <w:t>SMPG View?</w:t>
            </w:r>
          </w:p>
        </w:tc>
      </w:tr>
      <w:tr w:rsidR="0061431F" w:rsidRPr="0061431F" w:rsidTr="0061431F">
        <w:tc>
          <w:tcPr>
            <w:tcW w:w="414" w:type="pct"/>
            <w:shd w:val="clear" w:color="auto" w:fill="F2F2F2" w:themeFill="background1" w:themeFillShade="F2"/>
          </w:tcPr>
          <w:p w:rsidR="0061431F" w:rsidRPr="0061431F" w:rsidRDefault="0061431F" w:rsidP="0061431F">
            <w:pPr>
              <w:rPr>
                <w:rFonts w:ascii="Arial" w:hAnsi="Arial" w:cs="Arial"/>
                <w:b/>
                <w:sz w:val="18"/>
                <w:szCs w:val="18"/>
              </w:rPr>
            </w:pPr>
            <w:r w:rsidRPr="0061431F">
              <w:rPr>
                <w:rFonts w:ascii="Arial" w:hAnsi="Arial" w:cs="Arial"/>
                <w:b/>
                <w:sz w:val="18"/>
                <w:szCs w:val="18"/>
              </w:rPr>
              <w:t>MRGR</w:t>
            </w:r>
          </w:p>
        </w:tc>
        <w:tc>
          <w:tcPr>
            <w:tcW w:w="534" w:type="pct"/>
            <w:shd w:val="clear" w:color="auto" w:fill="F2F2F2" w:themeFill="background1" w:themeFillShade="F2"/>
          </w:tcPr>
          <w:p w:rsidR="0061431F" w:rsidRPr="0061431F" w:rsidRDefault="0061431F" w:rsidP="0061431F">
            <w:pPr>
              <w:rPr>
                <w:rFonts w:ascii="Arial" w:hAnsi="Arial" w:cs="Arial"/>
                <w:b/>
                <w:sz w:val="18"/>
                <w:szCs w:val="18"/>
              </w:rPr>
            </w:pPr>
            <w:r w:rsidRPr="0061431F">
              <w:rPr>
                <w:rFonts w:ascii="Arial" w:hAnsi="Arial" w:cs="Arial"/>
                <w:b/>
                <w:sz w:val="18"/>
                <w:szCs w:val="18"/>
              </w:rPr>
              <w:t xml:space="preserve">No </w:t>
            </w:r>
          </w:p>
          <w:p w:rsidR="0061431F" w:rsidRPr="0061431F" w:rsidRDefault="0061431F" w:rsidP="0061431F">
            <w:pPr>
              <w:rPr>
                <w:rFonts w:ascii="Arial" w:hAnsi="Arial" w:cs="Arial"/>
                <w:b/>
                <w:sz w:val="18"/>
                <w:szCs w:val="18"/>
              </w:rPr>
            </w:pPr>
          </w:p>
        </w:tc>
        <w:tc>
          <w:tcPr>
            <w:tcW w:w="2178" w:type="pct"/>
            <w:shd w:val="clear" w:color="auto" w:fill="F2F2F2" w:themeFill="background1" w:themeFillShade="F2"/>
          </w:tcPr>
          <w:p w:rsidR="0061431F" w:rsidRPr="0061431F" w:rsidRDefault="0061431F" w:rsidP="0061431F">
            <w:pPr>
              <w:rPr>
                <w:rFonts w:ascii="Arial" w:hAnsi="Arial" w:cs="Arial"/>
                <w:sz w:val="16"/>
                <w:szCs w:val="18"/>
              </w:rPr>
            </w:pPr>
            <w:r w:rsidRPr="0061431F">
              <w:rPr>
                <w:rFonts w:ascii="Arial" w:hAnsi="Arial" w:cs="Arial"/>
                <w:sz w:val="16"/>
                <w:szCs w:val="18"/>
              </w:rPr>
              <w:t xml:space="preserve">This CA event type is not relevant. </w:t>
            </w:r>
          </w:p>
          <w:p w:rsidR="0061431F" w:rsidRPr="0061431F" w:rsidRDefault="0061431F" w:rsidP="0061431F">
            <w:pPr>
              <w:numPr>
                <w:ilvl w:val="0"/>
                <w:numId w:val="25"/>
              </w:numPr>
              <w:rPr>
                <w:rFonts w:ascii="Arial" w:hAnsi="Arial" w:cs="Arial"/>
                <w:sz w:val="16"/>
                <w:szCs w:val="18"/>
              </w:rPr>
            </w:pPr>
            <w:r w:rsidRPr="0061431F">
              <w:rPr>
                <w:rFonts w:ascii="Arial" w:hAnsi="Arial" w:cs="Arial"/>
                <w:sz w:val="16"/>
                <w:szCs w:val="18"/>
              </w:rPr>
              <w:t xml:space="preserve">In almost all markets, the CA event type is not relevant to Eurosystem eligible debt instruments. However, one market indicated that is relevant. The input of the issuers and the issuer’s agents should be requested in that market (in view of using an alternative event) as it not clear how a MRGR event would work in practice on bonds.  </w:t>
            </w:r>
          </w:p>
        </w:tc>
        <w:tc>
          <w:tcPr>
            <w:tcW w:w="1874" w:type="pct"/>
            <w:gridSpan w:val="2"/>
            <w:shd w:val="clear" w:color="auto" w:fill="DBE5F1" w:themeFill="accent1" w:themeFillTint="33"/>
          </w:tcPr>
          <w:p w:rsidR="0061431F" w:rsidRPr="0061431F" w:rsidRDefault="0061431F" w:rsidP="0061431F">
            <w:pPr>
              <w:rPr>
                <w:rFonts w:ascii="Arial" w:hAnsi="Arial" w:cs="Arial"/>
                <w:sz w:val="18"/>
                <w:szCs w:val="18"/>
              </w:rPr>
            </w:pPr>
          </w:p>
        </w:tc>
      </w:tr>
      <w:tr w:rsidR="0061431F" w:rsidRPr="0061431F" w:rsidTr="0061431F">
        <w:tc>
          <w:tcPr>
            <w:tcW w:w="414" w:type="pct"/>
            <w:shd w:val="clear" w:color="auto" w:fill="F2F2F2" w:themeFill="background1" w:themeFillShade="F2"/>
          </w:tcPr>
          <w:p w:rsidR="0061431F" w:rsidRPr="0061431F" w:rsidRDefault="0061431F" w:rsidP="0061431F">
            <w:pPr>
              <w:rPr>
                <w:rFonts w:ascii="Arial" w:hAnsi="Arial" w:cs="Arial"/>
                <w:b/>
                <w:sz w:val="18"/>
                <w:szCs w:val="18"/>
              </w:rPr>
            </w:pPr>
            <w:r w:rsidRPr="0061431F">
              <w:rPr>
                <w:rFonts w:ascii="Arial" w:hAnsi="Arial" w:cs="Arial"/>
                <w:b/>
                <w:sz w:val="18"/>
                <w:szCs w:val="18"/>
              </w:rPr>
              <w:t>PARI</w:t>
            </w:r>
          </w:p>
        </w:tc>
        <w:tc>
          <w:tcPr>
            <w:tcW w:w="534" w:type="pct"/>
            <w:shd w:val="clear" w:color="auto" w:fill="F2F2F2" w:themeFill="background1" w:themeFillShade="F2"/>
          </w:tcPr>
          <w:p w:rsidR="0061431F" w:rsidRPr="0061431F" w:rsidRDefault="0061431F" w:rsidP="0061431F">
            <w:pPr>
              <w:rPr>
                <w:rFonts w:ascii="Arial" w:hAnsi="Arial" w:cs="Arial"/>
                <w:b/>
                <w:sz w:val="18"/>
                <w:szCs w:val="18"/>
              </w:rPr>
            </w:pPr>
            <w:r w:rsidRPr="0061431F">
              <w:rPr>
                <w:rFonts w:ascii="Arial" w:hAnsi="Arial" w:cs="Arial"/>
                <w:b/>
                <w:sz w:val="18"/>
                <w:szCs w:val="18"/>
              </w:rPr>
              <w:t>Yes</w:t>
            </w:r>
          </w:p>
          <w:p w:rsidR="0061431F" w:rsidRPr="0061431F" w:rsidRDefault="0061431F" w:rsidP="0061431F">
            <w:pPr>
              <w:rPr>
                <w:rFonts w:ascii="Arial" w:hAnsi="Arial" w:cs="Arial"/>
                <w:b/>
                <w:sz w:val="18"/>
                <w:szCs w:val="18"/>
              </w:rPr>
            </w:pPr>
            <w:r w:rsidRPr="0061431F">
              <w:rPr>
                <w:rFonts w:ascii="Arial" w:hAnsi="Arial" w:cs="Arial"/>
                <w:b/>
                <w:sz w:val="18"/>
                <w:szCs w:val="18"/>
              </w:rPr>
              <w:t xml:space="preserve"> </w:t>
            </w:r>
          </w:p>
        </w:tc>
        <w:tc>
          <w:tcPr>
            <w:tcW w:w="2178" w:type="pct"/>
            <w:shd w:val="clear" w:color="auto" w:fill="F2F2F2" w:themeFill="background1" w:themeFillShade="F2"/>
          </w:tcPr>
          <w:p w:rsidR="0061431F" w:rsidRPr="0061431F" w:rsidRDefault="0061431F" w:rsidP="0061431F">
            <w:pPr>
              <w:rPr>
                <w:rFonts w:ascii="Arial" w:hAnsi="Arial" w:cs="Arial"/>
                <w:sz w:val="16"/>
                <w:szCs w:val="18"/>
              </w:rPr>
            </w:pPr>
            <w:r w:rsidRPr="0061431F">
              <w:rPr>
                <w:rFonts w:ascii="Arial" w:hAnsi="Arial" w:cs="Arial"/>
                <w:sz w:val="16"/>
                <w:szCs w:val="18"/>
              </w:rPr>
              <w:t xml:space="preserve">This CA event type is relevant. </w:t>
            </w:r>
          </w:p>
          <w:p w:rsidR="0061431F" w:rsidRPr="0061431F" w:rsidRDefault="0061431F" w:rsidP="009C7BD9">
            <w:pPr>
              <w:numPr>
                <w:ilvl w:val="0"/>
                <w:numId w:val="25"/>
              </w:numPr>
              <w:rPr>
                <w:rFonts w:ascii="Arial" w:hAnsi="Arial" w:cs="Arial"/>
                <w:sz w:val="16"/>
                <w:szCs w:val="18"/>
              </w:rPr>
            </w:pPr>
            <w:r w:rsidRPr="0061431F">
              <w:rPr>
                <w:rFonts w:ascii="Arial" w:hAnsi="Arial" w:cs="Arial"/>
                <w:sz w:val="16"/>
                <w:szCs w:val="18"/>
              </w:rPr>
              <w:t>In almost all markets, the CA event type may be relevant for debt instruments</w:t>
            </w:r>
            <w:r w:rsidR="009C7BD9">
              <w:rPr>
                <w:rFonts w:ascii="Arial" w:hAnsi="Arial" w:cs="Arial"/>
                <w:sz w:val="16"/>
                <w:szCs w:val="18"/>
              </w:rPr>
              <w:t>, but</w:t>
            </w:r>
            <w:r w:rsidRPr="0061431F">
              <w:rPr>
                <w:rFonts w:ascii="Arial" w:hAnsi="Arial" w:cs="Arial"/>
                <w:sz w:val="16"/>
                <w:szCs w:val="18"/>
              </w:rPr>
              <w:t xml:space="preserve">, it is less frequent on Eurosystem eligible securities but there are a few cases today. Nothing prevents increase of volumes on eligible assets in the </w:t>
            </w:r>
            <w:r w:rsidRPr="0061431F">
              <w:rPr>
                <w:rFonts w:ascii="Arial" w:hAnsi="Arial" w:cs="Arial"/>
                <w:sz w:val="16"/>
                <w:szCs w:val="18"/>
              </w:rPr>
              <w:lastRenderedPageBreak/>
              <w:t>future.</w:t>
            </w:r>
          </w:p>
        </w:tc>
        <w:tc>
          <w:tcPr>
            <w:tcW w:w="1874" w:type="pct"/>
            <w:gridSpan w:val="2"/>
            <w:shd w:val="clear" w:color="auto" w:fill="DBE5F1" w:themeFill="accent1" w:themeFillTint="33"/>
          </w:tcPr>
          <w:p w:rsidR="0061431F" w:rsidRPr="0061431F" w:rsidRDefault="0061431F" w:rsidP="0061431F">
            <w:pPr>
              <w:rPr>
                <w:rFonts w:ascii="Arial" w:hAnsi="Arial" w:cs="Arial"/>
                <w:sz w:val="18"/>
                <w:szCs w:val="18"/>
              </w:rPr>
            </w:pPr>
          </w:p>
        </w:tc>
      </w:tr>
      <w:tr w:rsidR="0061431F" w:rsidRPr="0061431F" w:rsidTr="0061431F">
        <w:tc>
          <w:tcPr>
            <w:tcW w:w="414" w:type="pct"/>
            <w:shd w:val="clear" w:color="auto" w:fill="F2F2F2" w:themeFill="background1" w:themeFillShade="F2"/>
          </w:tcPr>
          <w:p w:rsidR="0061431F" w:rsidRPr="0061431F" w:rsidRDefault="0061431F" w:rsidP="0061431F">
            <w:pPr>
              <w:rPr>
                <w:rFonts w:ascii="Arial" w:hAnsi="Arial" w:cs="Arial"/>
                <w:b/>
                <w:sz w:val="18"/>
                <w:szCs w:val="18"/>
              </w:rPr>
            </w:pPr>
            <w:r w:rsidRPr="0061431F">
              <w:rPr>
                <w:rFonts w:ascii="Arial" w:hAnsi="Arial" w:cs="Arial"/>
                <w:b/>
                <w:sz w:val="18"/>
                <w:szCs w:val="18"/>
              </w:rPr>
              <w:lastRenderedPageBreak/>
              <w:t>TEND</w:t>
            </w:r>
          </w:p>
        </w:tc>
        <w:tc>
          <w:tcPr>
            <w:tcW w:w="534" w:type="pct"/>
            <w:shd w:val="clear" w:color="auto" w:fill="F2F2F2" w:themeFill="background1" w:themeFillShade="F2"/>
          </w:tcPr>
          <w:p w:rsidR="0061431F" w:rsidRPr="0061431F" w:rsidRDefault="0061431F" w:rsidP="0061431F">
            <w:pPr>
              <w:rPr>
                <w:rFonts w:ascii="Arial" w:hAnsi="Arial" w:cs="Arial"/>
                <w:b/>
                <w:sz w:val="18"/>
                <w:szCs w:val="18"/>
              </w:rPr>
            </w:pPr>
            <w:r w:rsidRPr="0061431F">
              <w:rPr>
                <w:rFonts w:ascii="Arial" w:hAnsi="Arial" w:cs="Arial"/>
                <w:b/>
                <w:sz w:val="18"/>
                <w:szCs w:val="18"/>
              </w:rPr>
              <w:t xml:space="preserve">Yes </w:t>
            </w:r>
          </w:p>
        </w:tc>
        <w:tc>
          <w:tcPr>
            <w:tcW w:w="2178" w:type="pct"/>
            <w:shd w:val="clear" w:color="auto" w:fill="F2F2F2" w:themeFill="background1" w:themeFillShade="F2"/>
          </w:tcPr>
          <w:p w:rsidR="0061431F" w:rsidRPr="0061431F" w:rsidRDefault="0061431F" w:rsidP="0061431F">
            <w:pPr>
              <w:rPr>
                <w:rFonts w:ascii="Arial" w:hAnsi="Arial" w:cs="Arial"/>
                <w:sz w:val="16"/>
                <w:szCs w:val="18"/>
              </w:rPr>
            </w:pPr>
            <w:r w:rsidRPr="0061431F">
              <w:rPr>
                <w:rFonts w:ascii="Arial" w:hAnsi="Arial" w:cs="Arial"/>
                <w:sz w:val="16"/>
                <w:szCs w:val="18"/>
              </w:rPr>
              <w:t xml:space="preserve">This CA event type is relevant. </w:t>
            </w:r>
          </w:p>
          <w:p w:rsidR="0061431F" w:rsidRPr="0061431F" w:rsidRDefault="0061431F" w:rsidP="0061431F">
            <w:pPr>
              <w:numPr>
                <w:ilvl w:val="0"/>
                <w:numId w:val="25"/>
              </w:numPr>
              <w:rPr>
                <w:rFonts w:ascii="Arial" w:hAnsi="Arial" w:cs="Arial"/>
                <w:sz w:val="16"/>
                <w:szCs w:val="18"/>
              </w:rPr>
            </w:pPr>
            <w:r w:rsidRPr="0061431F">
              <w:rPr>
                <w:rFonts w:ascii="Arial" w:hAnsi="Arial" w:cs="Arial"/>
                <w:sz w:val="16"/>
                <w:szCs w:val="18"/>
              </w:rPr>
              <w:t>In majority of markets it was relevant, and in one market it was relevant for Investor CSD where the usage of TEND is being applied on XS instruments. This is an event type frequently used on the international market.</w:t>
            </w:r>
          </w:p>
          <w:p w:rsidR="0061431F" w:rsidRPr="0061431F" w:rsidRDefault="0061431F" w:rsidP="0061431F">
            <w:pPr>
              <w:numPr>
                <w:ilvl w:val="0"/>
                <w:numId w:val="25"/>
              </w:numPr>
              <w:rPr>
                <w:rFonts w:ascii="Arial" w:hAnsi="Arial" w:cs="Arial"/>
                <w:sz w:val="16"/>
                <w:szCs w:val="18"/>
              </w:rPr>
            </w:pPr>
            <w:r w:rsidRPr="0061431F">
              <w:rPr>
                <w:rFonts w:ascii="Arial" w:hAnsi="Arial" w:cs="Arial"/>
                <w:sz w:val="16"/>
                <w:szCs w:val="18"/>
              </w:rPr>
              <w:t xml:space="preserve">However, it is less frequent on Eurosystem eligible securities.  </w:t>
            </w:r>
          </w:p>
          <w:p w:rsidR="0061431F" w:rsidRPr="0061431F" w:rsidRDefault="0061431F" w:rsidP="0061431F">
            <w:pPr>
              <w:numPr>
                <w:ilvl w:val="0"/>
                <w:numId w:val="25"/>
              </w:numPr>
              <w:rPr>
                <w:rFonts w:ascii="Arial" w:hAnsi="Arial" w:cs="Arial"/>
                <w:sz w:val="16"/>
                <w:szCs w:val="18"/>
              </w:rPr>
            </w:pPr>
            <w:r w:rsidRPr="0061431F">
              <w:rPr>
                <w:rFonts w:ascii="Arial" w:hAnsi="Arial" w:cs="Arial"/>
                <w:sz w:val="16"/>
                <w:szCs w:val="18"/>
              </w:rPr>
              <w:t>Some respondents indicated that TEND may not be relevant in their market.</w:t>
            </w:r>
          </w:p>
        </w:tc>
        <w:tc>
          <w:tcPr>
            <w:tcW w:w="1874" w:type="pct"/>
            <w:gridSpan w:val="2"/>
            <w:shd w:val="clear" w:color="auto" w:fill="DBE5F1" w:themeFill="accent1" w:themeFillTint="33"/>
          </w:tcPr>
          <w:p w:rsidR="0061431F" w:rsidRPr="0061431F" w:rsidRDefault="0061431F" w:rsidP="0061431F">
            <w:pPr>
              <w:rPr>
                <w:rFonts w:ascii="Arial" w:hAnsi="Arial" w:cs="Arial"/>
                <w:sz w:val="18"/>
                <w:szCs w:val="18"/>
              </w:rPr>
            </w:pPr>
          </w:p>
        </w:tc>
      </w:tr>
      <w:tr w:rsidR="0061431F" w:rsidRPr="0061431F" w:rsidTr="0061431F">
        <w:tc>
          <w:tcPr>
            <w:tcW w:w="414" w:type="pct"/>
            <w:shd w:val="clear" w:color="auto" w:fill="F2F2F2" w:themeFill="background1" w:themeFillShade="F2"/>
          </w:tcPr>
          <w:p w:rsidR="0061431F" w:rsidRPr="0061431F" w:rsidRDefault="0061431F" w:rsidP="0061431F">
            <w:pPr>
              <w:rPr>
                <w:rFonts w:ascii="Arial" w:hAnsi="Arial" w:cs="Arial"/>
                <w:b/>
                <w:sz w:val="18"/>
                <w:szCs w:val="18"/>
              </w:rPr>
            </w:pPr>
            <w:r w:rsidRPr="0061431F">
              <w:rPr>
                <w:rFonts w:ascii="Arial" w:hAnsi="Arial" w:cs="Arial"/>
                <w:b/>
                <w:sz w:val="18"/>
                <w:szCs w:val="18"/>
              </w:rPr>
              <w:t>RHDI</w:t>
            </w:r>
          </w:p>
        </w:tc>
        <w:tc>
          <w:tcPr>
            <w:tcW w:w="534" w:type="pct"/>
            <w:shd w:val="clear" w:color="auto" w:fill="F2F2F2" w:themeFill="background1" w:themeFillShade="F2"/>
          </w:tcPr>
          <w:p w:rsidR="0061431F" w:rsidRPr="0061431F" w:rsidRDefault="0061431F" w:rsidP="0061431F">
            <w:pPr>
              <w:rPr>
                <w:rFonts w:ascii="Arial" w:hAnsi="Arial" w:cs="Arial"/>
                <w:b/>
                <w:sz w:val="18"/>
                <w:szCs w:val="18"/>
              </w:rPr>
            </w:pPr>
            <w:r w:rsidRPr="0061431F">
              <w:rPr>
                <w:rFonts w:ascii="Arial" w:eastAsiaTheme="minorHAnsi" w:hAnsi="Arial" w:cs="Arial"/>
                <w:b/>
                <w:sz w:val="18"/>
                <w:szCs w:val="18"/>
              </w:rPr>
              <w:t>?</w:t>
            </w:r>
          </w:p>
          <w:p w:rsidR="0061431F" w:rsidRPr="0061431F" w:rsidRDefault="0061431F" w:rsidP="0061431F">
            <w:pPr>
              <w:rPr>
                <w:rFonts w:ascii="Arial" w:hAnsi="Arial" w:cs="Arial"/>
                <w:b/>
                <w:sz w:val="18"/>
                <w:szCs w:val="18"/>
              </w:rPr>
            </w:pPr>
          </w:p>
        </w:tc>
        <w:tc>
          <w:tcPr>
            <w:tcW w:w="2178" w:type="pct"/>
            <w:shd w:val="clear" w:color="auto" w:fill="F2F2F2" w:themeFill="background1" w:themeFillShade="F2"/>
          </w:tcPr>
          <w:p w:rsidR="0061431F" w:rsidRPr="0061431F" w:rsidRDefault="0061431F" w:rsidP="0061431F">
            <w:pPr>
              <w:rPr>
                <w:rFonts w:ascii="Arial" w:hAnsi="Arial" w:cs="Arial"/>
                <w:sz w:val="16"/>
                <w:szCs w:val="18"/>
              </w:rPr>
            </w:pPr>
            <w:r w:rsidRPr="0061431F">
              <w:rPr>
                <w:rFonts w:ascii="Arial" w:hAnsi="Arial" w:cs="Arial"/>
                <w:sz w:val="16"/>
                <w:szCs w:val="18"/>
              </w:rPr>
              <w:t xml:space="preserve">This CA event type is </w:t>
            </w:r>
            <w:r w:rsidRPr="0061431F">
              <w:rPr>
                <w:rFonts w:ascii="Arial" w:eastAsiaTheme="minorHAnsi" w:hAnsi="Arial" w:cs="Arial"/>
                <w:sz w:val="16"/>
                <w:szCs w:val="18"/>
              </w:rPr>
              <w:t xml:space="preserve">potentially </w:t>
            </w:r>
            <w:r w:rsidRPr="0061431F">
              <w:rPr>
                <w:rFonts w:ascii="Arial" w:hAnsi="Arial" w:cs="Arial"/>
                <w:sz w:val="16"/>
                <w:szCs w:val="18"/>
              </w:rPr>
              <w:t xml:space="preserve">relevant. </w:t>
            </w:r>
            <w:r w:rsidR="009C7BD9">
              <w:rPr>
                <w:rFonts w:ascii="Arial" w:hAnsi="Arial" w:cs="Arial"/>
                <w:sz w:val="16"/>
                <w:szCs w:val="18"/>
              </w:rPr>
              <w:t>[tbc]</w:t>
            </w:r>
          </w:p>
          <w:p w:rsidR="0061431F" w:rsidRPr="0061431F" w:rsidRDefault="0061431F" w:rsidP="0061431F">
            <w:pPr>
              <w:numPr>
                <w:ilvl w:val="0"/>
                <w:numId w:val="26"/>
              </w:numPr>
              <w:rPr>
                <w:rFonts w:ascii="Arial" w:hAnsi="Arial" w:cs="Arial"/>
                <w:sz w:val="16"/>
                <w:szCs w:val="18"/>
              </w:rPr>
            </w:pPr>
            <w:r w:rsidRPr="0061431F">
              <w:rPr>
                <w:rFonts w:ascii="Arial" w:hAnsi="Arial" w:cs="Arial"/>
                <w:sz w:val="16"/>
                <w:szCs w:val="18"/>
              </w:rPr>
              <w:t xml:space="preserve">According to the CAJWG standards, a distribution with option should be processed with two events: a mandatory distribution followed by a mandatory or voluntary event with options. In the French market, RHDI is currently processed on Eurosystem eligible debt instruments. However </w:t>
            </w:r>
            <w:r w:rsidRPr="0061431F">
              <w:rPr>
                <w:rFonts w:ascii="Arial" w:eastAsiaTheme="minorHAnsi" w:hAnsi="Arial" w:cs="Arial"/>
                <w:sz w:val="16"/>
                <w:szCs w:val="18"/>
              </w:rPr>
              <w:t>the majority of</w:t>
            </w:r>
            <w:r w:rsidRPr="0061431F">
              <w:rPr>
                <w:rFonts w:ascii="Arial" w:hAnsi="Arial" w:cs="Arial"/>
                <w:sz w:val="16"/>
                <w:szCs w:val="18"/>
              </w:rPr>
              <w:t xml:space="preserve"> CSDs in Europe state that RHDI is not relevant to debt instruments. The views of the SMPG </w:t>
            </w:r>
            <w:r w:rsidRPr="0061431F">
              <w:rPr>
                <w:rFonts w:ascii="Arial" w:eastAsiaTheme="minorHAnsi" w:hAnsi="Arial" w:cs="Arial"/>
                <w:sz w:val="16"/>
                <w:szCs w:val="18"/>
              </w:rPr>
              <w:t>on the relevance of</w:t>
            </w:r>
            <w:r w:rsidRPr="0061431F">
              <w:rPr>
                <w:rFonts w:ascii="Arial" w:hAnsi="Arial" w:cs="Arial"/>
                <w:sz w:val="16"/>
                <w:szCs w:val="18"/>
              </w:rPr>
              <w:t xml:space="preserve"> RHDI </w:t>
            </w:r>
            <w:r w:rsidRPr="0061431F">
              <w:rPr>
                <w:rFonts w:ascii="Arial" w:eastAsiaTheme="minorHAnsi" w:hAnsi="Arial" w:cs="Arial"/>
                <w:sz w:val="16"/>
                <w:szCs w:val="18"/>
              </w:rPr>
              <w:t>to</w:t>
            </w:r>
            <w:r w:rsidRPr="0061431F">
              <w:rPr>
                <w:rFonts w:ascii="Arial" w:hAnsi="Arial" w:cs="Arial"/>
                <w:sz w:val="16"/>
                <w:szCs w:val="18"/>
              </w:rPr>
              <w:t xml:space="preserve"> debt instruments </w:t>
            </w:r>
            <w:r w:rsidRPr="0061431F">
              <w:rPr>
                <w:rFonts w:ascii="Arial" w:eastAsiaTheme="minorHAnsi" w:hAnsi="Arial" w:cs="Arial"/>
                <w:sz w:val="16"/>
                <w:szCs w:val="18"/>
              </w:rPr>
              <w:t>are</w:t>
            </w:r>
            <w:r w:rsidRPr="0061431F">
              <w:rPr>
                <w:rFonts w:ascii="Arial" w:hAnsi="Arial" w:cs="Arial"/>
                <w:sz w:val="16"/>
                <w:szCs w:val="18"/>
              </w:rPr>
              <w:t xml:space="preserve"> kindly invited.</w:t>
            </w:r>
          </w:p>
        </w:tc>
        <w:tc>
          <w:tcPr>
            <w:tcW w:w="1874" w:type="pct"/>
            <w:gridSpan w:val="2"/>
            <w:shd w:val="clear" w:color="auto" w:fill="DBE5F1" w:themeFill="accent1" w:themeFillTint="33"/>
          </w:tcPr>
          <w:p w:rsidR="0061431F" w:rsidRPr="0061431F" w:rsidRDefault="0061431F" w:rsidP="0061431F">
            <w:pPr>
              <w:rPr>
                <w:rFonts w:ascii="Arial" w:hAnsi="Arial" w:cs="Arial"/>
                <w:sz w:val="18"/>
                <w:szCs w:val="18"/>
              </w:rPr>
            </w:pPr>
          </w:p>
        </w:tc>
      </w:tr>
      <w:tr w:rsidR="0061431F" w:rsidRPr="0061431F" w:rsidTr="0061431F">
        <w:tc>
          <w:tcPr>
            <w:tcW w:w="414" w:type="pct"/>
            <w:shd w:val="clear" w:color="auto" w:fill="F2F2F2" w:themeFill="background1" w:themeFillShade="F2"/>
          </w:tcPr>
          <w:p w:rsidR="0061431F" w:rsidRPr="0061431F" w:rsidRDefault="0061431F" w:rsidP="0061431F">
            <w:pPr>
              <w:rPr>
                <w:rFonts w:ascii="Arial" w:hAnsi="Arial" w:cs="Arial"/>
                <w:b/>
                <w:sz w:val="18"/>
                <w:szCs w:val="18"/>
              </w:rPr>
            </w:pPr>
            <w:r w:rsidRPr="0061431F">
              <w:rPr>
                <w:rFonts w:ascii="Arial" w:hAnsi="Arial" w:cs="Arial"/>
                <w:b/>
                <w:sz w:val="18"/>
                <w:szCs w:val="18"/>
              </w:rPr>
              <w:t>CLSA</w:t>
            </w:r>
          </w:p>
        </w:tc>
        <w:tc>
          <w:tcPr>
            <w:tcW w:w="534" w:type="pct"/>
            <w:shd w:val="clear" w:color="auto" w:fill="F2F2F2" w:themeFill="background1" w:themeFillShade="F2"/>
          </w:tcPr>
          <w:p w:rsidR="0061431F" w:rsidRPr="0061431F" w:rsidRDefault="0061431F" w:rsidP="0061431F">
            <w:pPr>
              <w:rPr>
                <w:rFonts w:ascii="Arial" w:hAnsi="Arial" w:cs="Arial"/>
                <w:b/>
                <w:sz w:val="18"/>
                <w:szCs w:val="18"/>
              </w:rPr>
            </w:pPr>
            <w:r w:rsidRPr="0061431F">
              <w:rPr>
                <w:rFonts w:ascii="Arial" w:hAnsi="Arial" w:cs="Arial"/>
                <w:b/>
                <w:sz w:val="18"/>
                <w:szCs w:val="18"/>
              </w:rPr>
              <w:t>No</w:t>
            </w:r>
          </w:p>
          <w:p w:rsidR="0061431F" w:rsidRPr="0061431F" w:rsidRDefault="0061431F" w:rsidP="0061431F">
            <w:pPr>
              <w:rPr>
                <w:rFonts w:ascii="Arial" w:hAnsi="Arial" w:cs="Arial"/>
                <w:b/>
                <w:sz w:val="18"/>
                <w:szCs w:val="18"/>
              </w:rPr>
            </w:pPr>
          </w:p>
        </w:tc>
        <w:tc>
          <w:tcPr>
            <w:tcW w:w="2178" w:type="pct"/>
            <w:shd w:val="clear" w:color="auto" w:fill="F2F2F2" w:themeFill="background1" w:themeFillShade="F2"/>
          </w:tcPr>
          <w:p w:rsidR="0061431F" w:rsidRPr="0061431F" w:rsidRDefault="0061431F" w:rsidP="0061431F">
            <w:pPr>
              <w:rPr>
                <w:rFonts w:ascii="Arial" w:hAnsi="Arial" w:cs="Arial"/>
                <w:sz w:val="16"/>
                <w:szCs w:val="18"/>
              </w:rPr>
            </w:pPr>
            <w:r w:rsidRPr="0061431F">
              <w:rPr>
                <w:rFonts w:ascii="Arial" w:hAnsi="Arial" w:cs="Arial"/>
                <w:sz w:val="16"/>
                <w:szCs w:val="18"/>
              </w:rPr>
              <w:t xml:space="preserve">This CA event type is not relevant. </w:t>
            </w:r>
          </w:p>
          <w:p w:rsidR="0061431F" w:rsidRPr="0061431F" w:rsidRDefault="0061431F" w:rsidP="0061431F">
            <w:pPr>
              <w:numPr>
                <w:ilvl w:val="0"/>
                <w:numId w:val="25"/>
              </w:numPr>
              <w:rPr>
                <w:rFonts w:ascii="Arial" w:hAnsi="Arial" w:cs="Arial"/>
                <w:sz w:val="16"/>
                <w:szCs w:val="18"/>
              </w:rPr>
            </w:pPr>
            <w:r w:rsidRPr="0061431F">
              <w:rPr>
                <w:rFonts w:ascii="Arial" w:hAnsi="Arial" w:cs="Arial"/>
                <w:sz w:val="16"/>
                <w:szCs w:val="18"/>
              </w:rPr>
              <w:t>Respondents explained that historically, the CLSA has not been relevant in European markets. One respondent explained that it cannot be excluded that this may become relevant for investment-grade corporate debt instruments going forward.</w:t>
            </w:r>
          </w:p>
        </w:tc>
        <w:tc>
          <w:tcPr>
            <w:tcW w:w="1874" w:type="pct"/>
            <w:gridSpan w:val="2"/>
            <w:shd w:val="clear" w:color="auto" w:fill="DBE5F1" w:themeFill="accent1" w:themeFillTint="33"/>
          </w:tcPr>
          <w:p w:rsidR="0061431F" w:rsidRPr="0061431F" w:rsidRDefault="0061431F" w:rsidP="0061431F">
            <w:pPr>
              <w:rPr>
                <w:rFonts w:ascii="Arial" w:hAnsi="Arial" w:cs="Arial"/>
                <w:sz w:val="18"/>
                <w:szCs w:val="18"/>
              </w:rPr>
            </w:pPr>
          </w:p>
        </w:tc>
      </w:tr>
      <w:tr w:rsidR="0061431F" w:rsidRPr="0061431F" w:rsidTr="0061431F">
        <w:tc>
          <w:tcPr>
            <w:tcW w:w="414" w:type="pct"/>
            <w:shd w:val="clear" w:color="auto" w:fill="F2F2F2" w:themeFill="background1" w:themeFillShade="F2"/>
          </w:tcPr>
          <w:p w:rsidR="0061431F" w:rsidRPr="0061431F" w:rsidRDefault="0061431F" w:rsidP="0061431F">
            <w:pPr>
              <w:rPr>
                <w:rFonts w:ascii="Arial" w:hAnsi="Arial" w:cs="Arial"/>
                <w:b/>
                <w:sz w:val="18"/>
                <w:szCs w:val="18"/>
              </w:rPr>
            </w:pPr>
            <w:r w:rsidRPr="0061431F">
              <w:rPr>
                <w:rFonts w:ascii="Arial" w:hAnsi="Arial" w:cs="Arial"/>
                <w:b/>
                <w:sz w:val="18"/>
                <w:szCs w:val="18"/>
              </w:rPr>
              <w:t>PPMT</w:t>
            </w:r>
          </w:p>
        </w:tc>
        <w:tc>
          <w:tcPr>
            <w:tcW w:w="534" w:type="pct"/>
            <w:shd w:val="clear" w:color="auto" w:fill="F2F2F2" w:themeFill="background1" w:themeFillShade="F2"/>
          </w:tcPr>
          <w:p w:rsidR="0061431F" w:rsidRPr="0061431F" w:rsidRDefault="0061431F" w:rsidP="0061431F">
            <w:pPr>
              <w:rPr>
                <w:rFonts w:ascii="Arial" w:hAnsi="Arial" w:cs="Arial"/>
                <w:b/>
                <w:sz w:val="18"/>
                <w:szCs w:val="18"/>
              </w:rPr>
            </w:pPr>
            <w:r w:rsidRPr="0061431F">
              <w:rPr>
                <w:rFonts w:ascii="Arial" w:hAnsi="Arial" w:cs="Arial"/>
                <w:b/>
                <w:sz w:val="18"/>
                <w:szCs w:val="18"/>
              </w:rPr>
              <w:t>No</w:t>
            </w:r>
          </w:p>
          <w:p w:rsidR="0061431F" w:rsidRPr="0061431F" w:rsidRDefault="0061431F" w:rsidP="0061431F">
            <w:pPr>
              <w:rPr>
                <w:rFonts w:ascii="Arial" w:hAnsi="Arial" w:cs="Arial"/>
                <w:b/>
                <w:sz w:val="18"/>
                <w:szCs w:val="18"/>
              </w:rPr>
            </w:pPr>
          </w:p>
        </w:tc>
        <w:tc>
          <w:tcPr>
            <w:tcW w:w="2178" w:type="pct"/>
            <w:shd w:val="clear" w:color="auto" w:fill="F2F2F2" w:themeFill="background1" w:themeFillShade="F2"/>
          </w:tcPr>
          <w:p w:rsidR="0061431F" w:rsidRPr="0061431F" w:rsidRDefault="0061431F" w:rsidP="0061431F">
            <w:pPr>
              <w:rPr>
                <w:rFonts w:ascii="Arial" w:hAnsi="Arial" w:cs="Arial"/>
                <w:sz w:val="16"/>
                <w:szCs w:val="18"/>
              </w:rPr>
            </w:pPr>
            <w:r w:rsidRPr="0061431F">
              <w:rPr>
                <w:rFonts w:ascii="Arial" w:hAnsi="Arial" w:cs="Arial"/>
                <w:sz w:val="16"/>
                <w:szCs w:val="18"/>
              </w:rPr>
              <w:t xml:space="preserve">This CA event type is not relevant.  </w:t>
            </w:r>
          </w:p>
          <w:p w:rsidR="0061431F" w:rsidRPr="0061431F" w:rsidRDefault="0061431F" w:rsidP="0061431F">
            <w:pPr>
              <w:numPr>
                <w:ilvl w:val="0"/>
                <w:numId w:val="25"/>
              </w:numPr>
              <w:rPr>
                <w:rFonts w:ascii="Arial" w:hAnsi="Arial" w:cs="Arial"/>
                <w:sz w:val="16"/>
                <w:szCs w:val="18"/>
              </w:rPr>
            </w:pPr>
            <w:r w:rsidRPr="0061431F">
              <w:rPr>
                <w:rFonts w:ascii="Arial" w:hAnsi="Arial" w:cs="Arial"/>
                <w:sz w:val="16"/>
                <w:szCs w:val="18"/>
              </w:rPr>
              <w:t xml:space="preserve">Historically, the PPMT events are not commonly recognised as relevant in any great degree for debt instruments. However, it cannot be excluded that this may become relevant for investment-grade corporate debt instruments going forward. </w:t>
            </w:r>
          </w:p>
        </w:tc>
        <w:tc>
          <w:tcPr>
            <w:tcW w:w="1874" w:type="pct"/>
            <w:gridSpan w:val="2"/>
            <w:shd w:val="clear" w:color="auto" w:fill="DBE5F1" w:themeFill="accent1" w:themeFillTint="33"/>
          </w:tcPr>
          <w:p w:rsidR="0061431F" w:rsidRPr="0061431F" w:rsidRDefault="0061431F" w:rsidP="0061431F">
            <w:pPr>
              <w:rPr>
                <w:rFonts w:ascii="Arial" w:hAnsi="Arial" w:cs="Arial"/>
                <w:sz w:val="18"/>
                <w:szCs w:val="18"/>
              </w:rPr>
            </w:pPr>
          </w:p>
        </w:tc>
      </w:tr>
    </w:tbl>
    <w:p w:rsidR="0061431F" w:rsidRPr="0061431F" w:rsidRDefault="0061431F" w:rsidP="0061431F">
      <w:pPr>
        <w:spacing w:after="0" w:line="240" w:lineRule="auto"/>
        <w:rPr>
          <w:rFonts w:ascii="Arial" w:hAnsi="Arial" w:cs="Arial"/>
          <w:sz w:val="18"/>
          <w:szCs w:val="18"/>
        </w:rPr>
      </w:pPr>
    </w:p>
    <w:p w:rsidR="0061431F" w:rsidRPr="0061431F" w:rsidRDefault="0061431F" w:rsidP="0061431F">
      <w:pPr>
        <w:spacing w:after="0" w:line="240" w:lineRule="auto"/>
        <w:rPr>
          <w:rFonts w:ascii="Arial" w:hAnsi="Arial" w:cs="Arial"/>
          <w:b/>
          <w:i/>
          <w:sz w:val="18"/>
          <w:szCs w:val="18"/>
        </w:rPr>
      </w:pPr>
      <w:r w:rsidRPr="0061431F">
        <w:rPr>
          <w:rFonts w:ascii="Arial" w:hAnsi="Arial" w:cs="Arial"/>
          <w:b/>
          <w:i/>
          <w:sz w:val="18"/>
          <w:szCs w:val="18"/>
        </w:rPr>
        <w:t>Meeting Related Events</w:t>
      </w:r>
    </w:p>
    <w:p w:rsidR="0061431F" w:rsidRPr="0061431F" w:rsidRDefault="0061431F" w:rsidP="0061431F">
      <w:pPr>
        <w:spacing w:after="0" w:line="240" w:lineRule="auto"/>
        <w:rPr>
          <w:rFonts w:ascii="Arial" w:hAnsi="Arial" w:cs="Arial"/>
          <w:sz w:val="18"/>
          <w:szCs w:val="18"/>
        </w:rPr>
      </w:pPr>
    </w:p>
    <w:tbl>
      <w:tblPr>
        <w:tblStyle w:val="TableGrid"/>
        <w:tblW w:w="5000" w:type="pct"/>
        <w:shd w:val="clear" w:color="auto" w:fill="DBE5F1" w:themeFill="accent1" w:themeFillTint="33"/>
        <w:tblLook w:val="04A0" w:firstRow="1" w:lastRow="0" w:firstColumn="1" w:lastColumn="0" w:noHBand="0" w:noVBand="1"/>
      </w:tblPr>
      <w:tblGrid>
        <w:gridCol w:w="736"/>
        <w:gridCol w:w="987"/>
        <w:gridCol w:w="3759"/>
        <w:gridCol w:w="3760"/>
      </w:tblGrid>
      <w:tr w:rsidR="0061431F" w:rsidRPr="0061431F" w:rsidTr="00191A73">
        <w:tc>
          <w:tcPr>
            <w:tcW w:w="313" w:type="pct"/>
            <w:shd w:val="clear" w:color="auto" w:fill="4F81BD" w:themeFill="accent1"/>
            <w:vAlign w:val="center"/>
          </w:tcPr>
          <w:p w:rsidR="0061431F" w:rsidRPr="0061431F" w:rsidRDefault="0061431F" w:rsidP="0061431F">
            <w:pPr>
              <w:rPr>
                <w:rFonts w:ascii="Arial" w:hAnsi="Arial" w:cs="Arial"/>
                <w:b/>
                <w:i/>
                <w:sz w:val="18"/>
                <w:szCs w:val="18"/>
              </w:rPr>
            </w:pPr>
            <w:r w:rsidRPr="0061431F">
              <w:rPr>
                <w:rFonts w:ascii="Arial" w:eastAsiaTheme="minorHAnsi" w:hAnsi="Arial" w:cs="Arial"/>
                <w:b/>
                <w:i/>
                <w:color w:val="FFFFFF" w:themeColor="background1"/>
                <w:sz w:val="18"/>
                <w:szCs w:val="18"/>
              </w:rPr>
              <w:t>Event</w:t>
            </w:r>
          </w:p>
        </w:tc>
        <w:tc>
          <w:tcPr>
            <w:tcW w:w="419" w:type="pct"/>
            <w:shd w:val="clear" w:color="auto" w:fill="4F81BD" w:themeFill="accent1"/>
            <w:vAlign w:val="center"/>
          </w:tcPr>
          <w:p w:rsidR="0061431F" w:rsidRPr="0061431F" w:rsidRDefault="0061431F" w:rsidP="0061431F">
            <w:pPr>
              <w:rPr>
                <w:rFonts w:ascii="Arial" w:hAnsi="Arial" w:cs="Arial"/>
                <w:b/>
                <w:bCs/>
                <w:i/>
                <w:color w:val="FFFFFF" w:themeColor="background1"/>
                <w:sz w:val="18"/>
                <w:szCs w:val="18"/>
              </w:rPr>
            </w:pPr>
            <w:r w:rsidRPr="0061431F">
              <w:rPr>
                <w:rFonts w:ascii="Arial" w:hAnsi="Arial" w:cs="Arial"/>
                <w:b/>
                <w:bCs/>
                <w:i/>
                <w:color w:val="FFFFFF" w:themeColor="background1"/>
                <w:sz w:val="18"/>
                <w:szCs w:val="18"/>
              </w:rPr>
              <w:t>Proposal</w:t>
            </w:r>
          </w:p>
        </w:tc>
        <w:tc>
          <w:tcPr>
            <w:tcW w:w="2134" w:type="pct"/>
            <w:shd w:val="clear" w:color="auto" w:fill="4F81BD" w:themeFill="accent1"/>
            <w:vAlign w:val="center"/>
          </w:tcPr>
          <w:p w:rsidR="0061431F" w:rsidRPr="0061431F" w:rsidRDefault="0061431F" w:rsidP="0061431F">
            <w:pPr>
              <w:rPr>
                <w:rFonts w:ascii="Arial" w:hAnsi="Arial" w:cs="Arial"/>
                <w:b/>
                <w:bCs/>
                <w:i/>
                <w:color w:val="FFFFFF" w:themeColor="background1"/>
                <w:sz w:val="18"/>
                <w:szCs w:val="18"/>
              </w:rPr>
            </w:pPr>
            <w:r w:rsidRPr="0061431F">
              <w:rPr>
                <w:rFonts w:ascii="Arial" w:hAnsi="Arial" w:cs="Arial"/>
                <w:b/>
                <w:bCs/>
                <w:i/>
                <w:color w:val="FFFFFF" w:themeColor="background1"/>
                <w:sz w:val="18"/>
                <w:szCs w:val="18"/>
              </w:rPr>
              <w:t>Relevance to Eurosystem eligible debt instruments.</w:t>
            </w:r>
          </w:p>
        </w:tc>
        <w:tc>
          <w:tcPr>
            <w:tcW w:w="2134" w:type="pct"/>
            <w:shd w:val="clear" w:color="auto" w:fill="4F81BD" w:themeFill="accent1"/>
            <w:vAlign w:val="center"/>
          </w:tcPr>
          <w:p w:rsidR="0061431F" w:rsidRPr="0061431F" w:rsidRDefault="0061431F" w:rsidP="0061431F">
            <w:pPr>
              <w:rPr>
                <w:rFonts w:ascii="Arial" w:hAnsi="Arial" w:cs="Arial"/>
                <w:b/>
                <w:bCs/>
                <w:i/>
                <w:color w:val="FFFFFF" w:themeColor="background1"/>
                <w:sz w:val="18"/>
                <w:szCs w:val="18"/>
              </w:rPr>
            </w:pPr>
            <w:r w:rsidRPr="0061431F">
              <w:rPr>
                <w:rFonts w:ascii="Arial" w:hAnsi="Arial" w:cs="Arial"/>
                <w:b/>
                <w:bCs/>
                <w:i/>
                <w:sz w:val="18"/>
                <w:szCs w:val="18"/>
                <w:highlight w:val="yellow"/>
              </w:rPr>
              <w:t>SMPG View?</w:t>
            </w:r>
          </w:p>
        </w:tc>
      </w:tr>
      <w:tr w:rsidR="0061431F" w:rsidRPr="0061431F" w:rsidTr="0061431F">
        <w:tc>
          <w:tcPr>
            <w:tcW w:w="313" w:type="pct"/>
            <w:shd w:val="clear" w:color="auto" w:fill="F2F2F2" w:themeFill="background1" w:themeFillShade="F2"/>
          </w:tcPr>
          <w:p w:rsidR="0061431F" w:rsidRPr="0061431F" w:rsidRDefault="0061431F" w:rsidP="0061431F">
            <w:pPr>
              <w:rPr>
                <w:rFonts w:ascii="Arial" w:hAnsi="Arial" w:cs="Arial"/>
                <w:b/>
                <w:sz w:val="18"/>
                <w:szCs w:val="18"/>
              </w:rPr>
            </w:pPr>
            <w:r w:rsidRPr="0061431F">
              <w:rPr>
                <w:rFonts w:ascii="Arial" w:hAnsi="Arial" w:cs="Arial"/>
                <w:b/>
                <w:sz w:val="18"/>
                <w:szCs w:val="18"/>
              </w:rPr>
              <w:t>BMET</w:t>
            </w:r>
          </w:p>
        </w:tc>
        <w:tc>
          <w:tcPr>
            <w:tcW w:w="419" w:type="pct"/>
            <w:shd w:val="clear" w:color="auto" w:fill="F2F2F2" w:themeFill="background1" w:themeFillShade="F2"/>
          </w:tcPr>
          <w:p w:rsidR="0061431F" w:rsidRPr="0061431F" w:rsidRDefault="009C7BD9" w:rsidP="0061431F">
            <w:pPr>
              <w:rPr>
                <w:rFonts w:ascii="Arial" w:hAnsi="Arial" w:cs="Arial"/>
                <w:b/>
                <w:sz w:val="18"/>
                <w:szCs w:val="18"/>
              </w:rPr>
            </w:pPr>
            <w:r>
              <w:rPr>
                <w:rFonts w:ascii="Arial" w:hAnsi="Arial" w:cs="Arial"/>
                <w:b/>
                <w:sz w:val="18"/>
                <w:szCs w:val="18"/>
              </w:rPr>
              <w:t>Yes</w:t>
            </w:r>
            <w:r w:rsidRPr="0061431F">
              <w:rPr>
                <w:rFonts w:ascii="Arial" w:hAnsi="Arial" w:cs="Arial"/>
                <w:b/>
                <w:sz w:val="18"/>
                <w:szCs w:val="18"/>
              </w:rPr>
              <w:t xml:space="preserve"> </w:t>
            </w:r>
          </w:p>
          <w:p w:rsidR="0061431F" w:rsidRPr="0061431F" w:rsidRDefault="0061431F" w:rsidP="0061431F">
            <w:pPr>
              <w:rPr>
                <w:rFonts w:ascii="Arial" w:hAnsi="Arial" w:cs="Arial"/>
                <w:b/>
                <w:sz w:val="18"/>
                <w:szCs w:val="18"/>
              </w:rPr>
            </w:pPr>
          </w:p>
        </w:tc>
        <w:tc>
          <w:tcPr>
            <w:tcW w:w="2134" w:type="pct"/>
            <w:shd w:val="clear" w:color="auto" w:fill="F2F2F2" w:themeFill="background1" w:themeFillShade="F2"/>
          </w:tcPr>
          <w:p w:rsidR="0061431F" w:rsidRPr="0061431F" w:rsidRDefault="0061431F" w:rsidP="0061431F">
            <w:pPr>
              <w:rPr>
                <w:rFonts w:ascii="Arial" w:hAnsi="Arial" w:cs="Arial"/>
                <w:sz w:val="16"/>
                <w:szCs w:val="18"/>
              </w:rPr>
            </w:pPr>
            <w:r w:rsidRPr="0061431F">
              <w:rPr>
                <w:rFonts w:ascii="Arial" w:hAnsi="Arial" w:cs="Arial"/>
                <w:sz w:val="16"/>
                <w:szCs w:val="18"/>
              </w:rPr>
              <w:t>This CA event type is relevant</w:t>
            </w:r>
            <w:r w:rsidRPr="0061431F">
              <w:rPr>
                <w:rFonts w:ascii="Arial" w:eastAsiaTheme="minorHAnsi" w:hAnsi="Arial" w:cs="Arial"/>
                <w:sz w:val="16"/>
                <w:szCs w:val="18"/>
              </w:rPr>
              <w:t xml:space="preserve"> as </w:t>
            </w:r>
            <w:r w:rsidRPr="0061431F">
              <w:rPr>
                <w:rFonts w:ascii="Arial" w:hAnsi="Arial" w:cs="Arial"/>
                <w:sz w:val="16"/>
                <w:szCs w:val="18"/>
              </w:rPr>
              <w:t>Bond Holder Meeting (BMET) is the correct event type to communicate information on meeting events related to debt instruments.</w:t>
            </w:r>
          </w:p>
        </w:tc>
        <w:tc>
          <w:tcPr>
            <w:tcW w:w="2134" w:type="pct"/>
            <w:shd w:val="clear" w:color="auto" w:fill="DBE5F1" w:themeFill="accent1" w:themeFillTint="33"/>
          </w:tcPr>
          <w:p w:rsidR="0061431F" w:rsidRPr="0061431F" w:rsidRDefault="0061431F" w:rsidP="0061431F">
            <w:pPr>
              <w:rPr>
                <w:rFonts w:ascii="Arial" w:hAnsi="Arial" w:cs="Arial"/>
                <w:sz w:val="18"/>
                <w:szCs w:val="18"/>
              </w:rPr>
            </w:pPr>
          </w:p>
        </w:tc>
      </w:tr>
      <w:tr w:rsidR="0061431F" w:rsidRPr="0061431F" w:rsidTr="0061431F">
        <w:trPr>
          <w:trHeight w:val="493"/>
        </w:trPr>
        <w:tc>
          <w:tcPr>
            <w:tcW w:w="313" w:type="pct"/>
            <w:shd w:val="clear" w:color="auto" w:fill="F2F2F2" w:themeFill="background1" w:themeFillShade="F2"/>
          </w:tcPr>
          <w:p w:rsidR="0061431F" w:rsidRPr="0061431F" w:rsidRDefault="0061431F" w:rsidP="0061431F">
            <w:pPr>
              <w:rPr>
                <w:rFonts w:ascii="Arial" w:hAnsi="Arial" w:cs="Arial"/>
                <w:b/>
                <w:sz w:val="18"/>
                <w:szCs w:val="18"/>
              </w:rPr>
            </w:pPr>
            <w:r w:rsidRPr="0061431F">
              <w:rPr>
                <w:rFonts w:ascii="Arial" w:hAnsi="Arial" w:cs="Arial"/>
                <w:b/>
                <w:sz w:val="18"/>
                <w:szCs w:val="18"/>
              </w:rPr>
              <w:t>MEET</w:t>
            </w:r>
          </w:p>
        </w:tc>
        <w:tc>
          <w:tcPr>
            <w:tcW w:w="419" w:type="pct"/>
            <w:shd w:val="clear" w:color="auto" w:fill="F2F2F2" w:themeFill="background1" w:themeFillShade="F2"/>
          </w:tcPr>
          <w:p w:rsidR="0061431F" w:rsidRPr="0061431F" w:rsidRDefault="009C7BD9" w:rsidP="0061431F">
            <w:pPr>
              <w:rPr>
                <w:rFonts w:ascii="Arial" w:hAnsi="Arial" w:cs="Arial"/>
                <w:b/>
                <w:sz w:val="18"/>
                <w:szCs w:val="18"/>
              </w:rPr>
            </w:pPr>
            <w:r>
              <w:rPr>
                <w:rFonts w:ascii="Arial" w:hAnsi="Arial" w:cs="Arial"/>
                <w:b/>
                <w:sz w:val="18"/>
                <w:szCs w:val="18"/>
              </w:rPr>
              <w:t>No</w:t>
            </w:r>
          </w:p>
          <w:p w:rsidR="0061431F" w:rsidRPr="0061431F" w:rsidRDefault="0061431F" w:rsidP="0061431F">
            <w:pPr>
              <w:rPr>
                <w:rFonts w:ascii="Arial" w:hAnsi="Arial" w:cs="Arial"/>
                <w:b/>
                <w:sz w:val="18"/>
                <w:szCs w:val="18"/>
              </w:rPr>
            </w:pPr>
            <w:r w:rsidRPr="0061431F">
              <w:rPr>
                <w:rFonts w:ascii="Arial" w:hAnsi="Arial" w:cs="Arial"/>
                <w:b/>
                <w:sz w:val="18"/>
                <w:szCs w:val="18"/>
              </w:rPr>
              <w:t xml:space="preserve"> </w:t>
            </w:r>
          </w:p>
        </w:tc>
        <w:tc>
          <w:tcPr>
            <w:tcW w:w="2134" w:type="pct"/>
            <w:shd w:val="clear" w:color="auto" w:fill="F2F2F2" w:themeFill="background1" w:themeFillShade="F2"/>
          </w:tcPr>
          <w:p w:rsidR="0061431F" w:rsidRPr="0061431F" w:rsidRDefault="0061431F" w:rsidP="0061431F">
            <w:pPr>
              <w:rPr>
                <w:rFonts w:ascii="Arial" w:hAnsi="Arial" w:cs="Arial"/>
                <w:sz w:val="16"/>
                <w:szCs w:val="18"/>
              </w:rPr>
            </w:pPr>
            <w:r w:rsidRPr="0061431F">
              <w:rPr>
                <w:rFonts w:ascii="Arial" w:hAnsi="Arial" w:cs="Arial"/>
                <w:sz w:val="16"/>
                <w:szCs w:val="18"/>
              </w:rPr>
              <w:t>This CA event type is not relevant to bonds. Usage should be restricted to equities only.</w:t>
            </w:r>
          </w:p>
        </w:tc>
        <w:tc>
          <w:tcPr>
            <w:tcW w:w="2134" w:type="pct"/>
            <w:shd w:val="clear" w:color="auto" w:fill="DBE5F1" w:themeFill="accent1" w:themeFillTint="33"/>
          </w:tcPr>
          <w:p w:rsidR="0061431F" w:rsidRPr="0061431F" w:rsidRDefault="0061431F" w:rsidP="0061431F">
            <w:pPr>
              <w:rPr>
                <w:rFonts w:ascii="Arial" w:hAnsi="Arial" w:cs="Arial"/>
                <w:sz w:val="18"/>
                <w:szCs w:val="18"/>
              </w:rPr>
            </w:pPr>
          </w:p>
        </w:tc>
      </w:tr>
      <w:tr w:rsidR="0061431F" w:rsidRPr="0061431F" w:rsidTr="0061431F">
        <w:tc>
          <w:tcPr>
            <w:tcW w:w="313" w:type="pct"/>
            <w:shd w:val="clear" w:color="auto" w:fill="F2F2F2" w:themeFill="background1" w:themeFillShade="F2"/>
          </w:tcPr>
          <w:p w:rsidR="0061431F" w:rsidRPr="0061431F" w:rsidRDefault="0061431F" w:rsidP="0061431F">
            <w:pPr>
              <w:rPr>
                <w:rFonts w:ascii="Arial" w:hAnsi="Arial" w:cs="Arial"/>
                <w:b/>
                <w:sz w:val="18"/>
                <w:szCs w:val="18"/>
              </w:rPr>
            </w:pPr>
            <w:r w:rsidRPr="0061431F">
              <w:rPr>
                <w:rFonts w:ascii="Arial" w:hAnsi="Arial" w:cs="Arial"/>
                <w:b/>
                <w:sz w:val="18"/>
                <w:szCs w:val="18"/>
              </w:rPr>
              <w:t>OMET</w:t>
            </w:r>
          </w:p>
        </w:tc>
        <w:tc>
          <w:tcPr>
            <w:tcW w:w="419" w:type="pct"/>
            <w:shd w:val="clear" w:color="auto" w:fill="F2F2F2" w:themeFill="background1" w:themeFillShade="F2"/>
          </w:tcPr>
          <w:p w:rsidR="0061431F" w:rsidRPr="0061431F" w:rsidRDefault="009C7BD9" w:rsidP="0061431F">
            <w:pPr>
              <w:rPr>
                <w:rFonts w:ascii="Arial" w:hAnsi="Arial" w:cs="Arial"/>
                <w:b/>
                <w:sz w:val="18"/>
                <w:szCs w:val="18"/>
              </w:rPr>
            </w:pPr>
            <w:r>
              <w:rPr>
                <w:rFonts w:ascii="Arial" w:hAnsi="Arial" w:cs="Arial"/>
                <w:b/>
                <w:sz w:val="18"/>
                <w:szCs w:val="18"/>
              </w:rPr>
              <w:t>No</w:t>
            </w:r>
            <w:r w:rsidR="0061431F" w:rsidRPr="0061431F">
              <w:rPr>
                <w:rFonts w:ascii="Arial" w:hAnsi="Arial" w:cs="Arial"/>
                <w:b/>
                <w:sz w:val="18"/>
                <w:szCs w:val="18"/>
              </w:rPr>
              <w:t xml:space="preserve"> </w:t>
            </w:r>
          </w:p>
        </w:tc>
        <w:tc>
          <w:tcPr>
            <w:tcW w:w="2134" w:type="pct"/>
            <w:shd w:val="clear" w:color="auto" w:fill="F2F2F2" w:themeFill="background1" w:themeFillShade="F2"/>
          </w:tcPr>
          <w:p w:rsidR="0061431F" w:rsidRPr="0061431F" w:rsidRDefault="0061431F" w:rsidP="0061431F">
            <w:pPr>
              <w:rPr>
                <w:rFonts w:ascii="Arial" w:hAnsi="Arial" w:cs="Arial"/>
                <w:sz w:val="16"/>
                <w:szCs w:val="18"/>
              </w:rPr>
            </w:pPr>
            <w:r w:rsidRPr="0061431F">
              <w:rPr>
                <w:rFonts w:ascii="Arial" w:hAnsi="Arial" w:cs="Arial"/>
                <w:sz w:val="16"/>
                <w:szCs w:val="18"/>
              </w:rPr>
              <w:t>This CA event type is not relevant to bonds. Usage should be restricted to equities only.</w:t>
            </w:r>
          </w:p>
        </w:tc>
        <w:tc>
          <w:tcPr>
            <w:tcW w:w="2134" w:type="pct"/>
            <w:shd w:val="clear" w:color="auto" w:fill="DBE5F1" w:themeFill="accent1" w:themeFillTint="33"/>
          </w:tcPr>
          <w:p w:rsidR="0061431F" w:rsidRPr="0061431F" w:rsidRDefault="0061431F" w:rsidP="0061431F">
            <w:pPr>
              <w:rPr>
                <w:rFonts w:ascii="Arial" w:hAnsi="Arial" w:cs="Arial"/>
                <w:sz w:val="18"/>
                <w:szCs w:val="18"/>
              </w:rPr>
            </w:pPr>
          </w:p>
        </w:tc>
      </w:tr>
      <w:tr w:rsidR="0061431F" w:rsidRPr="0061431F" w:rsidTr="0061431F">
        <w:trPr>
          <w:trHeight w:val="427"/>
        </w:trPr>
        <w:tc>
          <w:tcPr>
            <w:tcW w:w="313" w:type="pct"/>
            <w:shd w:val="clear" w:color="auto" w:fill="F2F2F2" w:themeFill="background1" w:themeFillShade="F2"/>
          </w:tcPr>
          <w:p w:rsidR="0061431F" w:rsidRPr="0061431F" w:rsidRDefault="0061431F" w:rsidP="0061431F">
            <w:pPr>
              <w:rPr>
                <w:rFonts w:ascii="Arial" w:hAnsi="Arial" w:cs="Arial"/>
                <w:b/>
                <w:sz w:val="18"/>
                <w:szCs w:val="18"/>
              </w:rPr>
            </w:pPr>
            <w:r w:rsidRPr="0061431F">
              <w:rPr>
                <w:rFonts w:ascii="Arial" w:hAnsi="Arial" w:cs="Arial"/>
                <w:b/>
                <w:sz w:val="18"/>
                <w:szCs w:val="18"/>
              </w:rPr>
              <w:t>XMET</w:t>
            </w:r>
          </w:p>
        </w:tc>
        <w:tc>
          <w:tcPr>
            <w:tcW w:w="419" w:type="pct"/>
            <w:shd w:val="clear" w:color="auto" w:fill="F2F2F2" w:themeFill="background1" w:themeFillShade="F2"/>
          </w:tcPr>
          <w:p w:rsidR="0061431F" w:rsidRPr="0061431F" w:rsidRDefault="0061431F" w:rsidP="0061431F">
            <w:pPr>
              <w:rPr>
                <w:rFonts w:ascii="Arial" w:hAnsi="Arial" w:cs="Arial"/>
                <w:b/>
                <w:sz w:val="18"/>
                <w:szCs w:val="18"/>
              </w:rPr>
            </w:pPr>
            <w:r w:rsidRPr="0061431F">
              <w:rPr>
                <w:rFonts w:ascii="Arial" w:hAnsi="Arial" w:cs="Arial"/>
                <w:b/>
                <w:sz w:val="18"/>
                <w:szCs w:val="18"/>
              </w:rPr>
              <w:t>?</w:t>
            </w:r>
          </w:p>
          <w:p w:rsidR="0061431F" w:rsidRPr="0061431F" w:rsidRDefault="0061431F" w:rsidP="0061431F">
            <w:pPr>
              <w:rPr>
                <w:rFonts w:ascii="Arial" w:hAnsi="Arial" w:cs="Arial"/>
                <w:b/>
                <w:sz w:val="18"/>
                <w:szCs w:val="18"/>
              </w:rPr>
            </w:pPr>
          </w:p>
        </w:tc>
        <w:tc>
          <w:tcPr>
            <w:tcW w:w="2134" w:type="pct"/>
            <w:shd w:val="clear" w:color="auto" w:fill="F2F2F2" w:themeFill="background1" w:themeFillShade="F2"/>
          </w:tcPr>
          <w:p w:rsidR="0061431F" w:rsidRPr="0061431F" w:rsidRDefault="0061431F" w:rsidP="0061431F">
            <w:pPr>
              <w:rPr>
                <w:rFonts w:ascii="Arial" w:hAnsi="Arial" w:cs="Arial"/>
                <w:sz w:val="16"/>
                <w:szCs w:val="18"/>
              </w:rPr>
            </w:pPr>
            <w:r w:rsidRPr="0061431F">
              <w:rPr>
                <w:rFonts w:ascii="Arial" w:hAnsi="Arial" w:cs="Arial"/>
                <w:sz w:val="16"/>
                <w:szCs w:val="18"/>
              </w:rPr>
              <w:t>Could XMET also be announced o</w:t>
            </w:r>
            <w:r w:rsidRPr="0061431F">
              <w:rPr>
                <w:rFonts w:ascii="Arial" w:eastAsiaTheme="minorHAnsi" w:hAnsi="Arial" w:cs="Arial"/>
                <w:sz w:val="16"/>
                <w:szCs w:val="18"/>
              </w:rPr>
              <w:t>n</w:t>
            </w:r>
            <w:r w:rsidRPr="0061431F">
              <w:rPr>
                <w:rFonts w:ascii="Arial" w:hAnsi="Arial" w:cs="Arial"/>
                <w:sz w:val="16"/>
                <w:szCs w:val="18"/>
              </w:rPr>
              <w:t xml:space="preserve"> bonds or should BMET be used instead?</w:t>
            </w:r>
          </w:p>
        </w:tc>
        <w:tc>
          <w:tcPr>
            <w:tcW w:w="2134" w:type="pct"/>
            <w:shd w:val="clear" w:color="auto" w:fill="DBE5F1" w:themeFill="accent1" w:themeFillTint="33"/>
          </w:tcPr>
          <w:p w:rsidR="0061431F" w:rsidRPr="0061431F" w:rsidRDefault="0061431F" w:rsidP="0061431F">
            <w:pPr>
              <w:rPr>
                <w:rFonts w:ascii="Arial" w:hAnsi="Arial" w:cs="Arial"/>
                <w:sz w:val="18"/>
                <w:szCs w:val="18"/>
              </w:rPr>
            </w:pPr>
          </w:p>
        </w:tc>
      </w:tr>
      <w:tr w:rsidR="0061431F" w:rsidRPr="0061431F" w:rsidTr="0061431F">
        <w:tc>
          <w:tcPr>
            <w:tcW w:w="313" w:type="pct"/>
            <w:shd w:val="clear" w:color="auto" w:fill="F2F2F2" w:themeFill="background1" w:themeFillShade="F2"/>
          </w:tcPr>
          <w:p w:rsidR="0061431F" w:rsidRPr="0061431F" w:rsidRDefault="0061431F" w:rsidP="0061431F">
            <w:pPr>
              <w:rPr>
                <w:rFonts w:ascii="Arial" w:hAnsi="Arial" w:cs="Arial"/>
                <w:b/>
                <w:sz w:val="18"/>
                <w:szCs w:val="18"/>
              </w:rPr>
            </w:pPr>
            <w:r w:rsidRPr="0061431F">
              <w:rPr>
                <w:rFonts w:ascii="Arial" w:hAnsi="Arial" w:cs="Arial"/>
                <w:b/>
                <w:sz w:val="18"/>
                <w:szCs w:val="18"/>
              </w:rPr>
              <w:t>CMET</w:t>
            </w:r>
          </w:p>
        </w:tc>
        <w:tc>
          <w:tcPr>
            <w:tcW w:w="419" w:type="pct"/>
            <w:shd w:val="clear" w:color="auto" w:fill="F2F2F2" w:themeFill="background1" w:themeFillShade="F2"/>
          </w:tcPr>
          <w:p w:rsidR="0061431F" w:rsidRPr="0061431F" w:rsidRDefault="0061431F" w:rsidP="0061431F">
            <w:pPr>
              <w:rPr>
                <w:rFonts w:ascii="Arial" w:hAnsi="Arial" w:cs="Arial"/>
                <w:b/>
                <w:sz w:val="18"/>
                <w:szCs w:val="18"/>
              </w:rPr>
            </w:pPr>
            <w:r w:rsidRPr="0061431F">
              <w:rPr>
                <w:rFonts w:ascii="Arial" w:hAnsi="Arial" w:cs="Arial"/>
                <w:b/>
                <w:sz w:val="18"/>
                <w:szCs w:val="18"/>
              </w:rPr>
              <w:t>?</w:t>
            </w:r>
          </w:p>
          <w:p w:rsidR="0061431F" w:rsidRPr="0061431F" w:rsidRDefault="0061431F" w:rsidP="0061431F">
            <w:pPr>
              <w:rPr>
                <w:rFonts w:ascii="Arial" w:hAnsi="Arial" w:cs="Arial"/>
                <w:b/>
                <w:sz w:val="18"/>
                <w:szCs w:val="18"/>
              </w:rPr>
            </w:pPr>
          </w:p>
        </w:tc>
        <w:tc>
          <w:tcPr>
            <w:tcW w:w="2134" w:type="pct"/>
            <w:shd w:val="clear" w:color="auto" w:fill="F2F2F2" w:themeFill="background1" w:themeFillShade="F2"/>
          </w:tcPr>
          <w:p w:rsidR="0061431F" w:rsidRPr="0061431F" w:rsidRDefault="0061431F" w:rsidP="0061431F">
            <w:pPr>
              <w:rPr>
                <w:rFonts w:ascii="Arial" w:hAnsi="Arial" w:cs="Arial"/>
                <w:sz w:val="16"/>
                <w:szCs w:val="18"/>
              </w:rPr>
            </w:pPr>
            <w:r w:rsidRPr="0061431F">
              <w:rPr>
                <w:rFonts w:ascii="Arial" w:hAnsi="Arial" w:cs="Arial"/>
                <w:sz w:val="16"/>
                <w:szCs w:val="18"/>
              </w:rPr>
              <w:t>Could CMET be announced on bonds?</w:t>
            </w:r>
          </w:p>
        </w:tc>
        <w:tc>
          <w:tcPr>
            <w:tcW w:w="2134" w:type="pct"/>
            <w:shd w:val="clear" w:color="auto" w:fill="DBE5F1" w:themeFill="accent1" w:themeFillTint="33"/>
          </w:tcPr>
          <w:p w:rsidR="0061431F" w:rsidRPr="0061431F" w:rsidRDefault="0061431F" w:rsidP="0061431F">
            <w:pPr>
              <w:rPr>
                <w:rFonts w:ascii="Arial" w:hAnsi="Arial" w:cs="Arial"/>
                <w:sz w:val="18"/>
                <w:szCs w:val="18"/>
              </w:rPr>
            </w:pPr>
          </w:p>
        </w:tc>
      </w:tr>
    </w:tbl>
    <w:p w:rsidR="0061431F" w:rsidRPr="0061431F" w:rsidRDefault="0061431F" w:rsidP="0061431F">
      <w:pPr>
        <w:spacing w:after="0" w:line="240" w:lineRule="auto"/>
        <w:rPr>
          <w:rFonts w:ascii="Arial" w:hAnsi="Arial" w:cs="Arial"/>
          <w:sz w:val="18"/>
          <w:szCs w:val="18"/>
        </w:rPr>
      </w:pPr>
    </w:p>
    <w:p w:rsidR="0061431F" w:rsidRPr="0061431F" w:rsidRDefault="0061431F" w:rsidP="0061431F">
      <w:pPr>
        <w:shd w:val="clear" w:color="auto" w:fill="365F91" w:themeFill="accent1" w:themeFillShade="BF"/>
        <w:spacing w:after="0" w:line="240" w:lineRule="auto"/>
        <w:rPr>
          <w:rFonts w:ascii="Arial" w:hAnsi="Arial" w:cs="Arial"/>
          <w:sz w:val="18"/>
          <w:szCs w:val="18"/>
        </w:rPr>
      </w:pPr>
    </w:p>
    <w:p w:rsidR="0061431F" w:rsidRPr="0061431F" w:rsidRDefault="0061431F" w:rsidP="0061431F">
      <w:pPr>
        <w:shd w:val="clear" w:color="auto" w:fill="365F91" w:themeFill="accent1" w:themeFillShade="BF"/>
        <w:spacing w:after="0" w:line="240" w:lineRule="auto"/>
        <w:jc w:val="both"/>
        <w:rPr>
          <w:rFonts w:ascii="Arial" w:hAnsi="Arial" w:cs="Arial"/>
          <w:b/>
          <w:color w:val="FFFFFF" w:themeColor="background1"/>
          <w:sz w:val="18"/>
          <w:szCs w:val="18"/>
        </w:rPr>
      </w:pPr>
      <w:r w:rsidRPr="0061431F">
        <w:rPr>
          <w:rFonts w:ascii="Arial" w:hAnsi="Arial" w:cs="Arial"/>
          <w:b/>
          <w:color w:val="FFFFFF" w:themeColor="background1"/>
          <w:sz w:val="18"/>
          <w:szCs w:val="18"/>
        </w:rPr>
        <w:t>Question 2: Market practice for the notification of blocking of securities (</w:t>
      </w:r>
      <w:r w:rsidR="007A56DE">
        <w:rPr>
          <w:rFonts w:ascii="Arial" w:hAnsi="Arial" w:cs="Arial"/>
          <w:b/>
          <w:color w:val="FFFFFF" w:themeColor="background1"/>
          <w:sz w:val="18"/>
          <w:szCs w:val="18"/>
        </w:rPr>
        <w:t>see Annex for full details)</w:t>
      </w:r>
    </w:p>
    <w:p w:rsidR="0061431F" w:rsidRPr="0061431F" w:rsidRDefault="0061431F" w:rsidP="0061431F">
      <w:pPr>
        <w:spacing w:after="0" w:line="240" w:lineRule="auto"/>
        <w:rPr>
          <w:rFonts w:ascii="Arial" w:hAnsi="Arial" w:cs="Arial"/>
          <w:b/>
          <w:sz w:val="18"/>
          <w:szCs w:val="18"/>
        </w:rPr>
      </w:pPr>
    </w:p>
    <w:p w:rsidR="0061431F" w:rsidRDefault="0061431F" w:rsidP="0061431F">
      <w:pPr>
        <w:spacing w:after="0" w:line="240" w:lineRule="auto"/>
        <w:jc w:val="both"/>
        <w:rPr>
          <w:rFonts w:ascii="Arial" w:hAnsi="Arial" w:cs="Arial"/>
          <w:sz w:val="18"/>
          <w:szCs w:val="18"/>
        </w:rPr>
      </w:pPr>
      <w:r w:rsidRPr="0061431F">
        <w:rPr>
          <w:rFonts w:ascii="Arial" w:hAnsi="Arial" w:cs="Arial"/>
          <w:sz w:val="18"/>
          <w:szCs w:val="18"/>
        </w:rPr>
        <w:t>Currently there is no standard market practice by which an (I</w:t>
      </w:r>
      <w:proofErr w:type="gramStart"/>
      <w:r w:rsidRPr="0061431F">
        <w:rPr>
          <w:rFonts w:ascii="Arial" w:hAnsi="Arial" w:cs="Arial"/>
          <w:sz w:val="18"/>
          <w:szCs w:val="18"/>
        </w:rPr>
        <w:t>)CSD</w:t>
      </w:r>
      <w:proofErr w:type="gramEnd"/>
      <w:r w:rsidRPr="0061431F">
        <w:rPr>
          <w:rFonts w:ascii="Arial" w:hAnsi="Arial" w:cs="Arial"/>
          <w:sz w:val="18"/>
          <w:szCs w:val="18"/>
        </w:rPr>
        <w:t xml:space="preserve"> and/or other intermediary confirm or process the blocking of securities following the receipt of an instruction to participate in certain elective CA events. </w:t>
      </w:r>
      <w:r w:rsidRPr="0061431F">
        <w:rPr>
          <w:rFonts w:ascii="Arial" w:hAnsi="Arial" w:cs="Arial"/>
          <w:b/>
          <w:sz w:val="18"/>
          <w:szCs w:val="18"/>
        </w:rPr>
        <w:t xml:space="preserve">The CMH-TF has identified a strong need to have a common process/market practice based on the usage of an ISO 20022 message by which CSDs in Europe should confirm or advise that security positions have been blocked. </w:t>
      </w:r>
      <w:r w:rsidRPr="0061431F">
        <w:rPr>
          <w:rFonts w:ascii="Arial" w:hAnsi="Arial" w:cs="Arial"/>
          <w:sz w:val="18"/>
          <w:szCs w:val="18"/>
        </w:rPr>
        <w:t>We welcome SMPG input on a common rule / process how this can be achieved.</w:t>
      </w:r>
      <w:r w:rsidRPr="0061431F">
        <w:rPr>
          <w:rFonts w:ascii="Arial" w:hAnsi="Arial" w:cs="Arial"/>
          <w:b/>
          <w:sz w:val="18"/>
          <w:szCs w:val="18"/>
        </w:rPr>
        <w:t xml:space="preserve"> </w:t>
      </w:r>
      <w:r w:rsidRPr="0061431F">
        <w:rPr>
          <w:rFonts w:ascii="Arial" w:hAnsi="Arial" w:cs="Arial"/>
          <w:sz w:val="18"/>
          <w:szCs w:val="18"/>
        </w:rPr>
        <w:t>For example it could be considered that the CSD should always notify the relevant party if securities have been blocked using a CA Instruction Status Advice (seev.034) message.</w:t>
      </w:r>
    </w:p>
    <w:p w:rsidR="0061431F" w:rsidRDefault="0061431F" w:rsidP="0061431F">
      <w:pPr>
        <w:spacing w:after="0" w:line="240" w:lineRule="auto"/>
        <w:jc w:val="both"/>
        <w:rPr>
          <w:rFonts w:ascii="Arial" w:hAnsi="Arial" w:cs="Arial"/>
          <w:sz w:val="18"/>
          <w:szCs w:val="18"/>
        </w:rPr>
      </w:pPr>
    </w:p>
    <w:p w:rsidR="0061431F" w:rsidRDefault="0061431F" w:rsidP="0061431F">
      <w:pPr>
        <w:spacing w:after="0" w:line="240" w:lineRule="auto"/>
        <w:jc w:val="both"/>
        <w:rPr>
          <w:rFonts w:ascii="Arial" w:hAnsi="Arial" w:cs="Arial"/>
          <w:sz w:val="18"/>
          <w:szCs w:val="18"/>
        </w:rPr>
      </w:pPr>
    </w:p>
    <w:p w:rsidR="0061431F" w:rsidRDefault="0061431F" w:rsidP="0061431F">
      <w:pPr>
        <w:spacing w:after="0" w:line="240" w:lineRule="auto"/>
        <w:jc w:val="both"/>
        <w:rPr>
          <w:rFonts w:ascii="Arial" w:hAnsi="Arial" w:cs="Arial"/>
          <w:sz w:val="18"/>
          <w:szCs w:val="18"/>
        </w:rPr>
      </w:pPr>
    </w:p>
    <w:p w:rsidR="0061431F" w:rsidRDefault="0061431F" w:rsidP="0061431F">
      <w:pPr>
        <w:spacing w:after="0" w:line="240" w:lineRule="auto"/>
        <w:jc w:val="both"/>
        <w:rPr>
          <w:rFonts w:ascii="Arial" w:hAnsi="Arial" w:cs="Arial"/>
          <w:sz w:val="18"/>
          <w:szCs w:val="18"/>
        </w:rPr>
      </w:pPr>
    </w:p>
    <w:p w:rsidR="007A56DE" w:rsidRPr="0061431F" w:rsidRDefault="007A56DE" w:rsidP="0061431F">
      <w:pPr>
        <w:spacing w:after="0" w:line="240" w:lineRule="auto"/>
        <w:jc w:val="both"/>
        <w:rPr>
          <w:rFonts w:ascii="Arial" w:hAnsi="Arial" w:cs="Arial"/>
          <w:sz w:val="18"/>
          <w:szCs w:val="18"/>
        </w:rPr>
      </w:pPr>
    </w:p>
    <w:p w:rsidR="0061431F" w:rsidRPr="0061431F" w:rsidRDefault="0061431F" w:rsidP="0061431F">
      <w:pPr>
        <w:spacing w:after="0" w:line="240" w:lineRule="auto"/>
        <w:jc w:val="both"/>
        <w:rPr>
          <w:rFonts w:ascii="Arial" w:hAnsi="Arial" w:cs="Arial"/>
          <w:b/>
          <w:sz w:val="18"/>
          <w:szCs w:val="18"/>
        </w:rPr>
      </w:pPr>
    </w:p>
    <w:p w:rsidR="0061431F" w:rsidRPr="0061431F" w:rsidRDefault="0061431F" w:rsidP="0061431F">
      <w:pPr>
        <w:shd w:val="clear" w:color="auto" w:fill="365F91" w:themeFill="accent1" w:themeFillShade="BF"/>
        <w:spacing w:after="0" w:line="240" w:lineRule="auto"/>
        <w:rPr>
          <w:rFonts w:ascii="Arial" w:hAnsi="Arial" w:cs="Arial"/>
          <w:b/>
          <w:sz w:val="18"/>
          <w:szCs w:val="18"/>
        </w:rPr>
      </w:pPr>
    </w:p>
    <w:p w:rsidR="0061431F" w:rsidRPr="0061431F" w:rsidRDefault="0061431F" w:rsidP="0061431F">
      <w:pPr>
        <w:shd w:val="clear" w:color="auto" w:fill="365F91" w:themeFill="accent1" w:themeFillShade="BF"/>
        <w:spacing w:after="0" w:line="240" w:lineRule="auto"/>
        <w:jc w:val="both"/>
        <w:rPr>
          <w:rFonts w:ascii="Arial" w:hAnsi="Arial" w:cs="Arial"/>
          <w:b/>
          <w:color w:val="FFFFFF" w:themeColor="background1"/>
          <w:sz w:val="18"/>
          <w:szCs w:val="18"/>
        </w:rPr>
      </w:pPr>
      <w:r w:rsidRPr="0061431F">
        <w:rPr>
          <w:rFonts w:ascii="Arial" w:hAnsi="Arial" w:cs="Arial"/>
          <w:b/>
          <w:color w:val="FFFFFF" w:themeColor="background1"/>
          <w:sz w:val="18"/>
          <w:szCs w:val="18"/>
        </w:rPr>
        <w:t>Question 3: Guidance on usage of ISO 20022 message types</w:t>
      </w:r>
    </w:p>
    <w:p w:rsidR="0061431F" w:rsidRPr="0061431F" w:rsidRDefault="0061431F" w:rsidP="0061431F">
      <w:pPr>
        <w:spacing w:after="0" w:line="240" w:lineRule="auto"/>
        <w:rPr>
          <w:rFonts w:ascii="Arial" w:hAnsi="Arial" w:cs="Arial"/>
          <w:b/>
          <w:sz w:val="18"/>
          <w:szCs w:val="18"/>
        </w:rPr>
      </w:pPr>
      <w:r w:rsidRPr="0061431F">
        <w:rPr>
          <w:rFonts w:ascii="Arial" w:hAnsi="Arial" w:cs="Arial"/>
          <w:b/>
          <w:sz w:val="18"/>
          <w:szCs w:val="18"/>
        </w:rPr>
        <w:t xml:space="preserve">The following ISO 20022 message types have been identified as being relevant to the processing of CA events. In this context we have the following questions on the usage of both messages in </w:t>
      </w:r>
      <w:proofErr w:type="gramStart"/>
      <w:r w:rsidRPr="0061431F">
        <w:rPr>
          <w:rFonts w:ascii="Arial" w:hAnsi="Arial" w:cs="Arial"/>
          <w:b/>
          <w:sz w:val="18"/>
          <w:szCs w:val="18"/>
        </w:rPr>
        <w:t>an</w:t>
      </w:r>
      <w:proofErr w:type="gramEnd"/>
      <w:r w:rsidRPr="0061431F">
        <w:rPr>
          <w:rFonts w:ascii="Arial" w:hAnsi="Arial" w:cs="Arial"/>
          <w:b/>
          <w:sz w:val="18"/>
          <w:szCs w:val="18"/>
        </w:rPr>
        <w:t xml:space="preserve"> European context.</w:t>
      </w:r>
    </w:p>
    <w:p w:rsidR="0061431F" w:rsidRPr="0061431F" w:rsidRDefault="0061431F" w:rsidP="0061431F">
      <w:pPr>
        <w:spacing w:after="0" w:line="240" w:lineRule="auto"/>
        <w:rPr>
          <w:rFonts w:ascii="Arial" w:hAnsi="Arial" w:cs="Arial"/>
          <w:b/>
          <w:sz w:val="18"/>
          <w:szCs w:val="18"/>
        </w:rPr>
      </w:pPr>
    </w:p>
    <w:p w:rsidR="0061431F" w:rsidRPr="0061431F" w:rsidRDefault="0061431F" w:rsidP="0061431F">
      <w:pPr>
        <w:pStyle w:val="ListParagraph"/>
        <w:numPr>
          <w:ilvl w:val="0"/>
          <w:numId w:val="29"/>
        </w:numPr>
        <w:autoSpaceDE w:val="0"/>
        <w:autoSpaceDN w:val="0"/>
        <w:adjustRightInd w:val="0"/>
        <w:spacing w:after="0" w:line="240" w:lineRule="auto"/>
        <w:rPr>
          <w:rFonts w:ascii="Arial" w:hAnsi="Arial" w:cs="Arial"/>
          <w:sz w:val="18"/>
          <w:szCs w:val="18"/>
        </w:rPr>
      </w:pPr>
      <w:r w:rsidRPr="0061431F">
        <w:rPr>
          <w:rFonts w:ascii="Arial" w:hAnsi="Arial" w:cs="Arial"/>
          <w:b/>
          <w:sz w:val="18"/>
          <w:szCs w:val="18"/>
        </w:rPr>
        <w:t>Message Name:</w:t>
      </w:r>
      <w:r w:rsidRPr="0061431F">
        <w:rPr>
          <w:rFonts w:ascii="Arial" w:hAnsi="Arial" w:cs="Arial"/>
          <w:sz w:val="18"/>
          <w:szCs w:val="18"/>
        </w:rPr>
        <w:t xml:space="preserve"> Corporate Action Movement Preliminary Advice (seev.035)</w:t>
      </w:r>
    </w:p>
    <w:p w:rsidR="0061431F" w:rsidRPr="0061431F" w:rsidRDefault="0061431F" w:rsidP="0061431F">
      <w:pPr>
        <w:pStyle w:val="ListParagraph"/>
        <w:numPr>
          <w:ilvl w:val="0"/>
          <w:numId w:val="29"/>
        </w:numPr>
        <w:spacing w:after="0" w:line="240" w:lineRule="auto"/>
        <w:rPr>
          <w:rFonts w:ascii="Arial" w:hAnsi="Arial" w:cs="Arial"/>
          <w:sz w:val="18"/>
          <w:szCs w:val="18"/>
        </w:rPr>
      </w:pPr>
      <w:r w:rsidRPr="0061431F">
        <w:rPr>
          <w:rFonts w:ascii="Arial" w:hAnsi="Arial" w:cs="Arial"/>
          <w:b/>
          <w:sz w:val="18"/>
          <w:szCs w:val="18"/>
        </w:rPr>
        <w:t xml:space="preserve">Usage: </w:t>
      </w:r>
      <w:r w:rsidRPr="0061431F">
        <w:rPr>
          <w:rFonts w:ascii="Arial" w:hAnsi="Arial" w:cs="Arial"/>
          <w:sz w:val="18"/>
          <w:szCs w:val="18"/>
        </w:rPr>
        <w:t xml:space="preserve">An account servicer sends the </w:t>
      </w:r>
      <w:proofErr w:type="spellStart"/>
      <w:r w:rsidRPr="0061431F">
        <w:rPr>
          <w:rFonts w:ascii="Arial" w:hAnsi="Arial" w:cs="Arial"/>
          <w:sz w:val="18"/>
          <w:szCs w:val="18"/>
        </w:rPr>
        <w:t>CorporateActionMovementPreliminaryAdvice</w:t>
      </w:r>
      <w:proofErr w:type="spellEnd"/>
      <w:r w:rsidRPr="0061431F">
        <w:rPr>
          <w:rFonts w:ascii="Arial" w:hAnsi="Arial" w:cs="Arial"/>
          <w:sz w:val="18"/>
          <w:szCs w:val="18"/>
        </w:rPr>
        <w:t xml:space="preserve"> message to an account owner or its designated agent to pre</w:t>
      </w:r>
      <w:r w:rsidR="003608D5">
        <w:rPr>
          <w:rFonts w:ascii="Arial" w:hAnsi="Arial" w:cs="Arial"/>
          <w:sz w:val="18"/>
          <w:szCs w:val="18"/>
        </w:rPr>
        <w:t>-</w:t>
      </w:r>
      <w:r w:rsidRPr="0061431F">
        <w:rPr>
          <w:rFonts w:ascii="Arial" w:hAnsi="Arial" w:cs="Arial"/>
          <w:sz w:val="18"/>
          <w:szCs w:val="18"/>
        </w:rPr>
        <w:t>advise upcoming posting or reversal of securities and/or cash postings.</w:t>
      </w:r>
    </w:p>
    <w:p w:rsidR="0061431F" w:rsidRPr="0061431F" w:rsidRDefault="0061431F" w:rsidP="0061431F">
      <w:pPr>
        <w:pStyle w:val="ListParagraph"/>
        <w:numPr>
          <w:ilvl w:val="0"/>
          <w:numId w:val="29"/>
        </w:numPr>
        <w:spacing w:after="0" w:line="240" w:lineRule="auto"/>
        <w:rPr>
          <w:rFonts w:ascii="Arial" w:hAnsi="Arial" w:cs="Arial"/>
          <w:sz w:val="18"/>
          <w:szCs w:val="18"/>
        </w:rPr>
      </w:pPr>
      <w:r w:rsidRPr="0061431F">
        <w:rPr>
          <w:rFonts w:ascii="Arial" w:hAnsi="Arial" w:cs="Arial"/>
          <w:b/>
          <w:sz w:val="18"/>
          <w:szCs w:val="18"/>
        </w:rPr>
        <w:t xml:space="preserve">Question: </w:t>
      </w:r>
      <w:r w:rsidRPr="0061431F">
        <w:rPr>
          <w:rFonts w:ascii="Arial" w:hAnsi="Arial" w:cs="Arial"/>
          <w:sz w:val="18"/>
          <w:szCs w:val="18"/>
        </w:rPr>
        <w:t>our proposal is that European CSDs should send this message to relevant parties on a mandatory basis once the final information related to cash and/or securities movements is known i.e. the CA is in the status COMP</w:t>
      </w:r>
      <w:r>
        <w:rPr>
          <w:rFonts w:ascii="Arial" w:hAnsi="Arial" w:cs="Arial"/>
          <w:sz w:val="18"/>
          <w:szCs w:val="18"/>
        </w:rPr>
        <w:t xml:space="preserve"> (i.e. the CA information is considered final</w:t>
      </w:r>
      <w:r w:rsidR="007A56DE">
        <w:rPr>
          <w:rStyle w:val="FootnoteReference"/>
          <w:rFonts w:ascii="Arial" w:hAnsi="Arial" w:cs="Arial"/>
          <w:sz w:val="18"/>
          <w:szCs w:val="18"/>
        </w:rPr>
        <w:footnoteReference w:id="1"/>
      </w:r>
      <w:r>
        <w:rPr>
          <w:rFonts w:ascii="Arial" w:hAnsi="Arial" w:cs="Arial"/>
          <w:sz w:val="18"/>
          <w:szCs w:val="18"/>
        </w:rPr>
        <w:t>)</w:t>
      </w:r>
      <w:r w:rsidRPr="0061431F">
        <w:rPr>
          <w:rFonts w:ascii="Arial" w:hAnsi="Arial" w:cs="Arial"/>
          <w:sz w:val="18"/>
          <w:szCs w:val="18"/>
        </w:rPr>
        <w:t>. We invite the SMPG to agree with this proposal.</w:t>
      </w:r>
    </w:p>
    <w:p w:rsidR="0061431F" w:rsidRPr="0061431F" w:rsidRDefault="0061431F" w:rsidP="0061431F">
      <w:pPr>
        <w:spacing w:after="0" w:line="240" w:lineRule="auto"/>
        <w:rPr>
          <w:rFonts w:ascii="Arial" w:hAnsi="Arial" w:cs="Arial"/>
          <w:b/>
          <w:sz w:val="18"/>
          <w:szCs w:val="18"/>
        </w:rPr>
      </w:pPr>
    </w:p>
    <w:p w:rsidR="0061431F" w:rsidRPr="0061431F" w:rsidRDefault="0061431F" w:rsidP="0061431F">
      <w:pPr>
        <w:pStyle w:val="ListParagraph"/>
        <w:numPr>
          <w:ilvl w:val="0"/>
          <w:numId w:val="28"/>
        </w:numPr>
        <w:spacing w:after="0" w:line="240" w:lineRule="auto"/>
        <w:rPr>
          <w:rFonts w:ascii="Arial" w:hAnsi="Arial" w:cs="Arial"/>
          <w:sz w:val="18"/>
          <w:szCs w:val="18"/>
        </w:rPr>
      </w:pPr>
      <w:r w:rsidRPr="0061431F">
        <w:rPr>
          <w:rFonts w:ascii="Arial" w:hAnsi="Arial" w:cs="Arial"/>
          <w:b/>
          <w:sz w:val="18"/>
          <w:szCs w:val="18"/>
        </w:rPr>
        <w:t xml:space="preserve">Name: </w:t>
      </w:r>
      <w:r w:rsidRPr="0061431F">
        <w:rPr>
          <w:rFonts w:ascii="Arial" w:hAnsi="Arial" w:cs="Arial"/>
          <w:sz w:val="18"/>
          <w:szCs w:val="18"/>
        </w:rPr>
        <w:t>Corporate Action Instruction Statement Report (seev.042)</w:t>
      </w:r>
    </w:p>
    <w:p w:rsidR="0061431F" w:rsidRPr="0061431F" w:rsidRDefault="0061431F" w:rsidP="0061431F">
      <w:pPr>
        <w:pStyle w:val="ListParagraph"/>
        <w:numPr>
          <w:ilvl w:val="0"/>
          <w:numId w:val="28"/>
        </w:numPr>
        <w:autoSpaceDE w:val="0"/>
        <w:autoSpaceDN w:val="0"/>
        <w:adjustRightInd w:val="0"/>
        <w:spacing w:after="0" w:line="240" w:lineRule="auto"/>
        <w:rPr>
          <w:rFonts w:ascii="Arial" w:hAnsi="Arial" w:cs="Arial"/>
          <w:sz w:val="18"/>
          <w:szCs w:val="18"/>
        </w:rPr>
      </w:pPr>
      <w:r w:rsidRPr="0061431F">
        <w:rPr>
          <w:rFonts w:ascii="Arial" w:hAnsi="Arial" w:cs="Arial"/>
          <w:b/>
          <w:sz w:val="18"/>
          <w:szCs w:val="18"/>
        </w:rPr>
        <w:t>Usage:</w:t>
      </w:r>
      <w:r w:rsidRPr="0061431F">
        <w:rPr>
          <w:rFonts w:ascii="Arial" w:hAnsi="Arial" w:cs="Arial"/>
          <w:sz w:val="18"/>
          <w:szCs w:val="18"/>
        </w:rPr>
        <w:t xml:space="preserve"> An account servicer sends the </w:t>
      </w:r>
      <w:proofErr w:type="spellStart"/>
      <w:r w:rsidRPr="0061431F">
        <w:rPr>
          <w:rFonts w:ascii="Arial" w:hAnsi="Arial" w:cs="Arial"/>
          <w:sz w:val="18"/>
          <w:szCs w:val="18"/>
        </w:rPr>
        <w:t>CorporateActionInstructionStatementReport</w:t>
      </w:r>
      <w:proofErr w:type="spellEnd"/>
      <w:r w:rsidRPr="0061431F">
        <w:rPr>
          <w:rFonts w:ascii="Arial" w:hAnsi="Arial" w:cs="Arial"/>
          <w:sz w:val="18"/>
          <w:szCs w:val="18"/>
        </w:rPr>
        <w:t xml:space="preserve"> message to an account owner or its designated agent to report balances at the safekeeping account level for one or more corporate action events </w:t>
      </w:r>
      <w:proofErr w:type="gramStart"/>
      <w:r w:rsidRPr="0061431F">
        <w:rPr>
          <w:rFonts w:ascii="Arial" w:hAnsi="Arial" w:cs="Arial"/>
          <w:sz w:val="18"/>
          <w:szCs w:val="18"/>
        </w:rPr>
        <w:t>or  at</w:t>
      </w:r>
      <w:proofErr w:type="gramEnd"/>
      <w:r w:rsidRPr="0061431F">
        <w:rPr>
          <w:rFonts w:ascii="Arial" w:hAnsi="Arial" w:cs="Arial"/>
          <w:sz w:val="18"/>
          <w:szCs w:val="18"/>
        </w:rPr>
        <w:t xml:space="preserve"> the corporate action event level for one or more safekeeping accounts.</w:t>
      </w:r>
    </w:p>
    <w:p w:rsidR="0061431F" w:rsidRPr="0061431F" w:rsidRDefault="0061431F" w:rsidP="0061431F">
      <w:pPr>
        <w:pStyle w:val="ListParagraph"/>
        <w:numPr>
          <w:ilvl w:val="0"/>
          <w:numId w:val="28"/>
        </w:numPr>
        <w:autoSpaceDE w:val="0"/>
        <w:autoSpaceDN w:val="0"/>
        <w:adjustRightInd w:val="0"/>
        <w:spacing w:after="0" w:line="240" w:lineRule="auto"/>
        <w:rPr>
          <w:rFonts w:ascii="Arial" w:hAnsi="Arial" w:cs="Arial"/>
          <w:b/>
          <w:sz w:val="18"/>
          <w:szCs w:val="18"/>
        </w:rPr>
      </w:pPr>
      <w:r w:rsidRPr="0061431F">
        <w:rPr>
          <w:rFonts w:ascii="Arial" w:hAnsi="Arial" w:cs="Arial"/>
          <w:b/>
          <w:sz w:val="18"/>
          <w:szCs w:val="18"/>
        </w:rPr>
        <w:t xml:space="preserve">Question: </w:t>
      </w:r>
      <w:r w:rsidRPr="0061431F">
        <w:rPr>
          <w:rFonts w:ascii="Arial" w:hAnsi="Arial" w:cs="Arial"/>
          <w:sz w:val="18"/>
          <w:szCs w:val="18"/>
        </w:rPr>
        <w:t>we understand that this ISO message can be sent to participants on an optional basis. Do SMPG members consider that this message would be used by CSDs/custodians to its clients in Europe?</w:t>
      </w:r>
    </w:p>
    <w:p w:rsidR="0061431F" w:rsidRPr="0061431F" w:rsidRDefault="0061431F" w:rsidP="0061431F">
      <w:pPr>
        <w:autoSpaceDE w:val="0"/>
        <w:autoSpaceDN w:val="0"/>
        <w:adjustRightInd w:val="0"/>
        <w:spacing w:after="0" w:line="240" w:lineRule="auto"/>
        <w:rPr>
          <w:rFonts w:ascii="Arial" w:hAnsi="Arial" w:cs="Arial"/>
          <w:b/>
          <w:sz w:val="18"/>
          <w:szCs w:val="18"/>
        </w:rPr>
      </w:pPr>
    </w:p>
    <w:p w:rsidR="0061431F" w:rsidRPr="0061431F" w:rsidRDefault="0061431F" w:rsidP="0061431F">
      <w:pPr>
        <w:shd w:val="clear" w:color="auto" w:fill="365F91" w:themeFill="accent1" w:themeFillShade="BF"/>
        <w:spacing w:after="0" w:line="240" w:lineRule="auto"/>
        <w:rPr>
          <w:rFonts w:ascii="Arial" w:hAnsi="Arial" w:cs="Arial"/>
          <w:b/>
          <w:sz w:val="18"/>
          <w:szCs w:val="18"/>
        </w:rPr>
      </w:pPr>
    </w:p>
    <w:p w:rsidR="0061431F" w:rsidRPr="0061431F" w:rsidRDefault="0061431F" w:rsidP="0061431F">
      <w:pPr>
        <w:shd w:val="clear" w:color="auto" w:fill="365F91" w:themeFill="accent1" w:themeFillShade="BF"/>
        <w:spacing w:after="0" w:line="240" w:lineRule="auto"/>
        <w:jc w:val="both"/>
        <w:rPr>
          <w:rFonts w:ascii="Arial" w:hAnsi="Arial" w:cs="Arial"/>
          <w:b/>
          <w:color w:val="FFFFFF" w:themeColor="background1"/>
          <w:sz w:val="18"/>
          <w:szCs w:val="18"/>
        </w:rPr>
      </w:pPr>
      <w:r w:rsidRPr="0061431F">
        <w:rPr>
          <w:rFonts w:ascii="Arial" w:hAnsi="Arial" w:cs="Arial"/>
          <w:b/>
          <w:color w:val="FFFFFF" w:themeColor="background1"/>
          <w:sz w:val="18"/>
          <w:szCs w:val="18"/>
        </w:rPr>
        <w:t>Question 4: Need for market practice for key dates relevant to the sending of CA messages</w:t>
      </w:r>
    </w:p>
    <w:p w:rsidR="0061431F" w:rsidRPr="0061431F" w:rsidRDefault="0061431F" w:rsidP="0061431F">
      <w:pPr>
        <w:spacing w:after="0" w:line="240" w:lineRule="auto"/>
        <w:rPr>
          <w:rFonts w:ascii="Arial" w:hAnsi="Arial" w:cs="Arial"/>
          <w:b/>
          <w:sz w:val="18"/>
          <w:szCs w:val="18"/>
        </w:rPr>
      </w:pPr>
    </w:p>
    <w:p w:rsidR="0061431F" w:rsidRPr="0061431F" w:rsidRDefault="0061431F" w:rsidP="0061431F">
      <w:pPr>
        <w:spacing w:after="0" w:line="240" w:lineRule="auto"/>
        <w:rPr>
          <w:rFonts w:ascii="Arial" w:hAnsi="Arial" w:cs="Arial"/>
          <w:sz w:val="18"/>
          <w:szCs w:val="18"/>
        </w:rPr>
      </w:pPr>
      <w:r w:rsidRPr="0061431F">
        <w:rPr>
          <w:rFonts w:ascii="Arial" w:hAnsi="Arial" w:cs="Arial"/>
          <w:sz w:val="18"/>
          <w:szCs w:val="18"/>
        </w:rPr>
        <w:t>In case a CA has to be reversed, a CA Movement Preliminary Advice (CAPA) message should be sent in advance of the reversal date to pre-</w:t>
      </w:r>
      <w:r w:rsidR="003608D5" w:rsidRPr="0061431F">
        <w:rPr>
          <w:rFonts w:ascii="Arial" w:hAnsi="Arial" w:cs="Arial"/>
          <w:sz w:val="18"/>
          <w:szCs w:val="18"/>
        </w:rPr>
        <w:t>a</w:t>
      </w:r>
      <w:r w:rsidR="003608D5">
        <w:rPr>
          <w:rFonts w:ascii="Arial" w:hAnsi="Arial" w:cs="Arial"/>
          <w:sz w:val="18"/>
          <w:szCs w:val="18"/>
        </w:rPr>
        <w:t>dvise</w:t>
      </w:r>
      <w:r w:rsidR="003608D5" w:rsidRPr="0061431F">
        <w:rPr>
          <w:rFonts w:ascii="Arial" w:hAnsi="Arial" w:cs="Arial"/>
          <w:sz w:val="18"/>
          <w:szCs w:val="18"/>
        </w:rPr>
        <w:t xml:space="preserve"> </w:t>
      </w:r>
      <w:r w:rsidRPr="0061431F">
        <w:rPr>
          <w:rFonts w:ascii="Arial" w:hAnsi="Arial" w:cs="Arial"/>
          <w:sz w:val="18"/>
          <w:szCs w:val="18"/>
        </w:rPr>
        <w:t xml:space="preserve">the need for the proceeds of the corporate action event to be returned in order to allow sufficient time to arrange for the return of cash proceeds paid out as part of the original corporate action. In this context </w:t>
      </w:r>
      <w:r w:rsidRPr="0061431F">
        <w:rPr>
          <w:rFonts w:ascii="Arial" w:hAnsi="Arial" w:cs="Arial"/>
          <w:b/>
          <w:sz w:val="18"/>
          <w:szCs w:val="18"/>
        </w:rPr>
        <w:t>we have identified a need to define rules for the following processes related to the reversal of CA movements</w:t>
      </w:r>
      <w:r w:rsidRPr="0061431F">
        <w:rPr>
          <w:rFonts w:ascii="Arial" w:hAnsi="Arial" w:cs="Arial"/>
          <w:sz w:val="18"/>
          <w:szCs w:val="18"/>
        </w:rPr>
        <w:t>.</w:t>
      </w:r>
    </w:p>
    <w:p w:rsidR="0061431F" w:rsidRPr="0061431F" w:rsidRDefault="0061431F" w:rsidP="0061431F">
      <w:pPr>
        <w:numPr>
          <w:ilvl w:val="0"/>
          <w:numId w:val="30"/>
        </w:numPr>
        <w:spacing w:after="0" w:line="240" w:lineRule="auto"/>
        <w:contextualSpacing/>
        <w:rPr>
          <w:rFonts w:ascii="Arial" w:hAnsi="Arial" w:cs="Arial"/>
          <w:sz w:val="18"/>
          <w:szCs w:val="18"/>
        </w:rPr>
      </w:pPr>
      <w:r w:rsidRPr="0061431F">
        <w:rPr>
          <w:rFonts w:ascii="Arial" w:hAnsi="Arial" w:cs="Arial"/>
          <w:sz w:val="18"/>
          <w:szCs w:val="18"/>
        </w:rPr>
        <w:t xml:space="preserve">A market practice should be established specifying the minimum no. of days the CA Preliminary Advice message should be sent in advance of the reversal date in order to allow the account holder sufficient time to arrange for the return of the cash proceeds paid out as part of the original CA. </w:t>
      </w:r>
    </w:p>
    <w:p w:rsidR="0061431F" w:rsidRPr="0061431F" w:rsidRDefault="0061431F" w:rsidP="0061431F">
      <w:pPr>
        <w:numPr>
          <w:ilvl w:val="0"/>
          <w:numId w:val="30"/>
        </w:numPr>
        <w:spacing w:after="0" w:line="240" w:lineRule="auto"/>
        <w:contextualSpacing/>
        <w:rPr>
          <w:rFonts w:ascii="Arial" w:hAnsi="Arial" w:cs="Arial"/>
          <w:sz w:val="18"/>
          <w:szCs w:val="18"/>
        </w:rPr>
      </w:pPr>
      <w:r w:rsidRPr="0061431F">
        <w:rPr>
          <w:rFonts w:ascii="Arial" w:hAnsi="Arial" w:cs="Arial"/>
          <w:sz w:val="18"/>
          <w:szCs w:val="18"/>
        </w:rPr>
        <w:t xml:space="preserve">In addition we would also like to define a rule specifying the maximum no. of days after the original payment date that the reversal should be announced within. </w:t>
      </w:r>
    </w:p>
    <w:p w:rsidR="0061431F" w:rsidRPr="0061431F" w:rsidRDefault="0061431F" w:rsidP="0061431F">
      <w:pPr>
        <w:spacing w:after="0" w:line="240" w:lineRule="auto"/>
        <w:ind w:left="360"/>
        <w:contextualSpacing/>
        <w:rPr>
          <w:rFonts w:ascii="Arial" w:hAnsi="Arial" w:cs="Arial"/>
          <w:sz w:val="18"/>
          <w:szCs w:val="18"/>
        </w:rPr>
      </w:pPr>
    </w:p>
    <w:p w:rsidR="0061431F" w:rsidRPr="0061431F" w:rsidRDefault="0061431F" w:rsidP="0061431F">
      <w:pPr>
        <w:shd w:val="clear" w:color="auto" w:fill="365F91" w:themeFill="accent1" w:themeFillShade="BF"/>
        <w:spacing w:after="0" w:line="240" w:lineRule="auto"/>
        <w:rPr>
          <w:rFonts w:ascii="Arial" w:hAnsi="Arial" w:cs="Arial"/>
          <w:b/>
          <w:sz w:val="18"/>
          <w:szCs w:val="18"/>
        </w:rPr>
      </w:pPr>
    </w:p>
    <w:p w:rsidR="0061431F" w:rsidRPr="0061431F" w:rsidRDefault="0061431F" w:rsidP="0061431F">
      <w:pPr>
        <w:shd w:val="clear" w:color="auto" w:fill="365F91" w:themeFill="accent1" w:themeFillShade="BF"/>
        <w:spacing w:after="0" w:line="240" w:lineRule="auto"/>
        <w:jc w:val="both"/>
        <w:rPr>
          <w:rFonts w:ascii="Arial" w:hAnsi="Arial" w:cs="Arial"/>
          <w:b/>
          <w:color w:val="FFFFFF" w:themeColor="background1"/>
          <w:sz w:val="18"/>
          <w:szCs w:val="18"/>
        </w:rPr>
      </w:pPr>
      <w:r w:rsidRPr="0061431F">
        <w:rPr>
          <w:rFonts w:ascii="Arial" w:hAnsi="Arial" w:cs="Arial"/>
          <w:b/>
          <w:color w:val="FFFFFF" w:themeColor="background1"/>
          <w:sz w:val="18"/>
          <w:szCs w:val="18"/>
        </w:rPr>
        <w:t xml:space="preserve">Question 5: SMPG Guidelines for the processing of all CA events </w:t>
      </w:r>
    </w:p>
    <w:p w:rsidR="0061431F" w:rsidRPr="0061431F" w:rsidRDefault="0061431F" w:rsidP="0061431F">
      <w:pPr>
        <w:spacing w:after="0" w:line="240" w:lineRule="auto"/>
        <w:rPr>
          <w:rFonts w:ascii="Arial" w:hAnsi="Arial" w:cs="Arial"/>
          <w:b/>
          <w:sz w:val="18"/>
          <w:szCs w:val="18"/>
        </w:rPr>
      </w:pPr>
    </w:p>
    <w:p w:rsidR="0061431F" w:rsidRPr="0061431F" w:rsidRDefault="0061431F" w:rsidP="0061431F">
      <w:pPr>
        <w:spacing w:after="0" w:line="240" w:lineRule="auto"/>
        <w:rPr>
          <w:rFonts w:ascii="Arial" w:hAnsi="Arial" w:cs="Arial"/>
          <w:sz w:val="18"/>
          <w:szCs w:val="18"/>
        </w:rPr>
      </w:pPr>
      <w:r w:rsidRPr="0061431F">
        <w:rPr>
          <w:rFonts w:ascii="Arial" w:hAnsi="Arial" w:cs="Arial"/>
          <w:sz w:val="18"/>
          <w:szCs w:val="18"/>
        </w:rPr>
        <w:t xml:space="preserve">As part of the next phase towards implementation of ISO 20022 messaging for CAs by relevant actors in Europe </w:t>
      </w:r>
      <w:r w:rsidRPr="0061431F">
        <w:rPr>
          <w:rFonts w:ascii="Arial" w:hAnsi="Arial" w:cs="Arial"/>
          <w:b/>
          <w:sz w:val="18"/>
          <w:szCs w:val="18"/>
        </w:rPr>
        <w:t xml:space="preserve">we would investigate whether it is possible for the SMPG to create ISO 20022 messaging guidelines for </w:t>
      </w:r>
      <w:r w:rsidR="007A56DE">
        <w:rPr>
          <w:rFonts w:ascii="Arial" w:hAnsi="Arial" w:cs="Arial"/>
          <w:b/>
          <w:sz w:val="18"/>
          <w:szCs w:val="18"/>
        </w:rPr>
        <w:t xml:space="preserve">the few </w:t>
      </w:r>
      <w:r w:rsidRPr="0061431F">
        <w:rPr>
          <w:rFonts w:ascii="Arial" w:hAnsi="Arial" w:cs="Arial"/>
          <w:b/>
          <w:sz w:val="18"/>
          <w:szCs w:val="18"/>
        </w:rPr>
        <w:t xml:space="preserve">remaining CA events/meeting events not yet covered in </w:t>
      </w:r>
      <w:proofErr w:type="spellStart"/>
      <w:r w:rsidRPr="0061431F">
        <w:rPr>
          <w:rFonts w:ascii="Arial" w:hAnsi="Arial" w:cs="Arial"/>
          <w:b/>
          <w:sz w:val="18"/>
          <w:szCs w:val="18"/>
        </w:rPr>
        <w:t>MyStandards</w:t>
      </w:r>
      <w:proofErr w:type="spellEnd"/>
      <w:r w:rsidR="003608D5">
        <w:rPr>
          <w:rStyle w:val="FootnoteReference"/>
          <w:rFonts w:ascii="Arial" w:hAnsi="Arial" w:cs="Arial"/>
          <w:b/>
          <w:sz w:val="18"/>
          <w:szCs w:val="18"/>
        </w:rPr>
        <w:footnoteReference w:id="2"/>
      </w:r>
      <w:r w:rsidRPr="0061431F">
        <w:rPr>
          <w:rFonts w:ascii="Arial" w:hAnsi="Arial" w:cs="Arial"/>
          <w:sz w:val="18"/>
          <w:szCs w:val="18"/>
        </w:rPr>
        <w:t xml:space="preserve"> </w:t>
      </w:r>
      <w:r w:rsidR="007A56DE" w:rsidRPr="007A56DE">
        <w:rPr>
          <w:rFonts w:ascii="Arial" w:hAnsi="Arial" w:cs="Arial"/>
          <w:b/>
          <w:sz w:val="18"/>
          <w:szCs w:val="18"/>
        </w:rPr>
        <w:t>b</w:t>
      </w:r>
      <w:r w:rsidR="007A56DE">
        <w:rPr>
          <w:rFonts w:ascii="Arial" w:hAnsi="Arial" w:cs="Arial"/>
          <w:b/>
          <w:sz w:val="18"/>
          <w:szCs w:val="18"/>
        </w:rPr>
        <w:t>y end</w:t>
      </w:r>
      <w:r w:rsidR="007A56DE" w:rsidRPr="007A56DE">
        <w:rPr>
          <w:rFonts w:ascii="Arial" w:hAnsi="Arial" w:cs="Arial"/>
          <w:b/>
          <w:sz w:val="18"/>
          <w:szCs w:val="18"/>
        </w:rPr>
        <w:t xml:space="preserve"> </w:t>
      </w:r>
      <w:r w:rsidR="007A56DE">
        <w:rPr>
          <w:rFonts w:ascii="Arial" w:hAnsi="Arial" w:cs="Arial"/>
          <w:b/>
          <w:sz w:val="18"/>
          <w:szCs w:val="18"/>
        </w:rPr>
        <w:t>Q1</w:t>
      </w:r>
      <w:r w:rsidR="007A56DE" w:rsidRPr="007A56DE">
        <w:rPr>
          <w:rFonts w:ascii="Arial" w:hAnsi="Arial" w:cs="Arial"/>
          <w:b/>
          <w:sz w:val="18"/>
          <w:szCs w:val="18"/>
        </w:rPr>
        <w:t>-2019</w:t>
      </w:r>
      <w:r w:rsidR="007A56DE">
        <w:rPr>
          <w:rFonts w:ascii="Arial" w:hAnsi="Arial" w:cs="Arial"/>
          <w:sz w:val="18"/>
          <w:szCs w:val="18"/>
        </w:rPr>
        <w:t xml:space="preserve"> </w:t>
      </w:r>
      <w:r w:rsidRPr="0061431F">
        <w:rPr>
          <w:rFonts w:ascii="Arial" w:hAnsi="Arial" w:cs="Arial"/>
          <w:sz w:val="18"/>
          <w:szCs w:val="18"/>
        </w:rPr>
        <w:t>(initially starting with those events deemed relevant to Eurosystem eligible debt instruments</w:t>
      </w:r>
      <w:r w:rsidR="007C5F48">
        <w:rPr>
          <w:rFonts w:ascii="Arial" w:hAnsi="Arial" w:cs="Arial"/>
          <w:sz w:val="18"/>
          <w:szCs w:val="18"/>
        </w:rPr>
        <w:t xml:space="preserve"> – See CA report</w:t>
      </w:r>
      <w:r w:rsidRPr="0061431F">
        <w:rPr>
          <w:rFonts w:ascii="Arial" w:hAnsi="Arial" w:cs="Arial"/>
          <w:sz w:val="18"/>
          <w:szCs w:val="18"/>
        </w:rPr>
        <w:t>) to ensure that ISO 20022 messages implemented by relevant bodies are compliant with SMPG market practices. As the AMI-SeCo will implement a formal monitoring framework to ensure compliance with the relevant standards it is a good opportunity to ensure SMPG messaging practices are adhered to.</w:t>
      </w:r>
    </w:p>
    <w:p w:rsidR="0061431F" w:rsidRPr="0061431F" w:rsidRDefault="0061431F" w:rsidP="0061431F">
      <w:pPr>
        <w:spacing w:after="0" w:line="240" w:lineRule="auto"/>
        <w:rPr>
          <w:rFonts w:ascii="Arial" w:hAnsi="Arial" w:cs="Arial"/>
          <w:sz w:val="18"/>
          <w:szCs w:val="18"/>
        </w:rPr>
      </w:pPr>
    </w:p>
    <w:p w:rsidR="0061431F" w:rsidRPr="0061431F" w:rsidRDefault="0061431F" w:rsidP="0061431F">
      <w:pPr>
        <w:shd w:val="clear" w:color="auto" w:fill="365F91" w:themeFill="accent1" w:themeFillShade="BF"/>
        <w:spacing w:after="0" w:line="240" w:lineRule="auto"/>
        <w:rPr>
          <w:rFonts w:ascii="Arial" w:hAnsi="Arial" w:cs="Arial"/>
          <w:b/>
          <w:sz w:val="18"/>
          <w:szCs w:val="18"/>
        </w:rPr>
      </w:pPr>
    </w:p>
    <w:p w:rsidR="0061431F" w:rsidRPr="0061431F" w:rsidRDefault="0061431F" w:rsidP="0061431F">
      <w:pPr>
        <w:shd w:val="clear" w:color="auto" w:fill="365F91" w:themeFill="accent1" w:themeFillShade="BF"/>
        <w:spacing w:after="0" w:line="240" w:lineRule="auto"/>
        <w:jc w:val="both"/>
        <w:rPr>
          <w:rFonts w:ascii="Arial" w:hAnsi="Arial" w:cs="Arial"/>
          <w:b/>
          <w:color w:val="FFFFFF" w:themeColor="background1"/>
          <w:sz w:val="18"/>
          <w:szCs w:val="18"/>
        </w:rPr>
      </w:pPr>
      <w:r w:rsidRPr="0061431F">
        <w:rPr>
          <w:rFonts w:ascii="Arial" w:hAnsi="Arial" w:cs="Arial"/>
          <w:b/>
          <w:color w:val="FFFFFF" w:themeColor="background1"/>
          <w:sz w:val="18"/>
          <w:szCs w:val="18"/>
        </w:rPr>
        <w:t>Question 6: Identification of CA events where the CA Narrative (CANA) message could be used</w:t>
      </w:r>
    </w:p>
    <w:p w:rsidR="0061431F" w:rsidRPr="0061431F" w:rsidRDefault="0061431F" w:rsidP="0061431F">
      <w:pPr>
        <w:spacing w:after="0" w:line="240" w:lineRule="auto"/>
        <w:rPr>
          <w:rFonts w:ascii="Arial" w:hAnsi="Arial" w:cs="Arial"/>
          <w:b/>
          <w:sz w:val="18"/>
          <w:szCs w:val="18"/>
        </w:rPr>
      </w:pPr>
    </w:p>
    <w:p w:rsidR="0061431F" w:rsidRPr="0061431F" w:rsidRDefault="0061431F" w:rsidP="0061431F">
      <w:pPr>
        <w:spacing w:after="0" w:line="240" w:lineRule="auto"/>
        <w:rPr>
          <w:rFonts w:ascii="Arial" w:hAnsi="Arial" w:cs="Arial"/>
          <w:sz w:val="18"/>
        </w:rPr>
      </w:pPr>
      <w:r w:rsidRPr="0061431F">
        <w:rPr>
          <w:rFonts w:ascii="Arial" w:hAnsi="Arial" w:cs="Arial"/>
          <w:sz w:val="18"/>
        </w:rPr>
        <w:t>The ISO 20022 CANA message specification states that the message should only be used for the processing of the cases specified in the table below. As part of follow-up we would like to</w:t>
      </w:r>
      <w:r w:rsidRPr="0061431F">
        <w:rPr>
          <w:rFonts w:ascii="Arial" w:hAnsi="Arial" w:cs="Arial"/>
          <w:b/>
          <w:sz w:val="18"/>
        </w:rPr>
        <w:t xml:space="preserve"> elaborate further rules on those restricted CA processes where a CA Narrative (CANA) message should be used and identification of CA events to which they relate</w:t>
      </w:r>
      <w:r w:rsidRPr="0061431F">
        <w:rPr>
          <w:rFonts w:ascii="Arial" w:hAnsi="Arial" w:cs="Arial"/>
          <w:sz w:val="18"/>
        </w:rPr>
        <w:t>.</w:t>
      </w:r>
    </w:p>
    <w:p w:rsidR="0061431F" w:rsidRPr="0061431F" w:rsidRDefault="0061431F" w:rsidP="0061431F">
      <w:pPr>
        <w:spacing w:after="0" w:line="240" w:lineRule="auto"/>
        <w:rPr>
          <w:rFonts w:ascii="Arial" w:hAnsi="Arial" w:cs="Arial"/>
          <w:b/>
          <w:sz w:val="14"/>
          <w:szCs w:val="18"/>
        </w:rPr>
      </w:pPr>
    </w:p>
    <w:p w:rsidR="0061431F" w:rsidRPr="0061431F" w:rsidRDefault="0061431F" w:rsidP="0061431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Arial" w:hAnsi="Arial" w:cs="Arial"/>
          <w:b/>
          <w:sz w:val="18"/>
          <w:szCs w:val="18"/>
        </w:rPr>
      </w:pPr>
      <w:r w:rsidRPr="0061431F">
        <w:rPr>
          <w:rFonts w:ascii="Arial" w:hAnsi="Arial" w:cs="Arial"/>
          <w:b/>
          <w:sz w:val="18"/>
          <w:szCs w:val="18"/>
        </w:rPr>
        <w:t>Current Usage Rules for CA Narrative Message (seev.038)</w:t>
      </w:r>
    </w:p>
    <w:p w:rsidR="0061431F" w:rsidRPr="0061431F" w:rsidRDefault="0061431F" w:rsidP="0061431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Arial" w:hAnsi="Arial" w:cs="Arial"/>
          <w:sz w:val="18"/>
          <w:szCs w:val="18"/>
        </w:rPr>
      </w:pPr>
      <w:r w:rsidRPr="0061431F">
        <w:rPr>
          <w:rFonts w:ascii="Arial" w:hAnsi="Arial" w:cs="Arial"/>
          <w:sz w:val="18"/>
          <w:szCs w:val="18"/>
        </w:rPr>
        <w:t>If the CA event contains any of the 6 restricted processes listed below then the account owner or the</w:t>
      </w:r>
    </w:p>
    <w:p w:rsidR="0061431F" w:rsidRPr="0061431F" w:rsidRDefault="0061431F" w:rsidP="0061431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Arial" w:hAnsi="Arial" w:cs="Arial"/>
          <w:sz w:val="18"/>
          <w:szCs w:val="18"/>
        </w:rPr>
      </w:pPr>
      <w:proofErr w:type="gramStart"/>
      <w:r w:rsidRPr="0061431F">
        <w:rPr>
          <w:rFonts w:ascii="Arial" w:hAnsi="Arial" w:cs="Arial"/>
          <w:sz w:val="18"/>
          <w:szCs w:val="18"/>
        </w:rPr>
        <w:t>account</w:t>
      </w:r>
      <w:proofErr w:type="gramEnd"/>
      <w:r w:rsidRPr="0061431F">
        <w:rPr>
          <w:rFonts w:ascii="Arial" w:hAnsi="Arial" w:cs="Arial"/>
          <w:sz w:val="18"/>
          <w:szCs w:val="18"/>
        </w:rPr>
        <w:t xml:space="preserve"> servicer may send the Corporate Action Narrative message to provide specific narrative</w:t>
      </w:r>
    </w:p>
    <w:p w:rsidR="0061431F" w:rsidRPr="0061431F" w:rsidRDefault="0061431F" w:rsidP="0061431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Arial" w:hAnsi="Arial" w:cs="Arial"/>
          <w:sz w:val="18"/>
          <w:szCs w:val="18"/>
        </w:rPr>
      </w:pPr>
      <w:proofErr w:type="gramStart"/>
      <w:r w:rsidRPr="0061431F">
        <w:rPr>
          <w:rFonts w:ascii="Arial" w:hAnsi="Arial" w:cs="Arial"/>
          <w:sz w:val="18"/>
          <w:szCs w:val="18"/>
        </w:rPr>
        <w:lastRenderedPageBreak/>
        <w:t>information</w:t>
      </w:r>
      <w:proofErr w:type="gramEnd"/>
      <w:r w:rsidRPr="0061431F">
        <w:rPr>
          <w:rFonts w:ascii="Arial" w:hAnsi="Arial" w:cs="Arial"/>
          <w:sz w:val="18"/>
          <w:szCs w:val="18"/>
        </w:rPr>
        <w:t>:</w:t>
      </w:r>
    </w:p>
    <w:p w:rsidR="0061431F" w:rsidRPr="0061431F" w:rsidRDefault="0061431F" w:rsidP="0061431F">
      <w:pPr>
        <w:numPr>
          <w:ilvl w:val="0"/>
          <w:numId w:val="27"/>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rPr>
          <w:rFonts w:ascii="Arial" w:hAnsi="Arial" w:cs="Arial"/>
          <w:sz w:val="18"/>
          <w:szCs w:val="18"/>
        </w:rPr>
      </w:pPr>
      <w:r w:rsidRPr="0061431F">
        <w:rPr>
          <w:rFonts w:ascii="Arial" w:hAnsi="Arial" w:cs="Arial"/>
          <w:b/>
          <w:sz w:val="18"/>
          <w:szCs w:val="18"/>
        </w:rPr>
        <w:t>Taxation Conditions</w:t>
      </w:r>
      <w:r w:rsidRPr="0061431F">
        <w:rPr>
          <w:rFonts w:ascii="Arial" w:hAnsi="Arial" w:cs="Arial"/>
          <w:sz w:val="18"/>
          <w:szCs w:val="18"/>
        </w:rPr>
        <w:t xml:space="preserve"> - Provides taxation conditions that cannot be included within the structured fields of this message.</w:t>
      </w:r>
    </w:p>
    <w:p w:rsidR="0061431F" w:rsidRPr="0061431F" w:rsidRDefault="0061431F" w:rsidP="0061431F">
      <w:pPr>
        <w:numPr>
          <w:ilvl w:val="0"/>
          <w:numId w:val="27"/>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rPr>
          <w:rFonts w:ascii="Arial" w:hAnsi="Arial" w:cs="Arial"/>
          <w:sz w:val="18"/>
          <w:szCs w:val="18"/>
        </w:rPr>
      </w:pPr>
      <w:r w:rsidRPr="0061431F">
        <w:rPr>
          <w:rFonts w:ascii="Arial" w:hAnsi="Arial" w:cs="Arial"/>
          <w:b/>
          <w:sz w:val="18"/>
          <w:szCs w:val="18"/>
        </w:rPr>
        <w:t>Registration Details</w:t>
      </w:r>
      <w:r w:rsidRPr="0061431F">
        <w:rPr>
          <w:rFonts w:ascii="Arial" w:hAnsi="Arial" w:cs="Arial"/>
          <w:sz w:val="18"/>
          <w:szCs w:val="18"/>
        </w:rPr>
        <w:t xml:space="preserve"> - Provides information required for the registration.</w:t>
      </w:r>
    </w:p>
    <w:p w:rsidR="0061431F" w:rsidRPr="0061431F" w:rsidRDefault="0061431F" w:rsidP="0061431F">
      <w:pPr>
        <w:numPr>
          <w:ilvl w:val="0"/>
          <w:numId w:val="27"/>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rPr>
          <w:rFonts w:ascii="Arial" w:hAnsi="Arial" w:cs="Arial"/>
          <w:sz w:val="18"/>
          <w:szCs w:val="18"/>
        </w:rPr>
      </w:pPr>
      <w:r w:rsidRPr="0061431F">
        <w:rPr>
          <w:rFonts w:ascii="Arial" w:hAnsi="Arial" w:cs="Arial"/>
          <w:b/>
          <w:sz w:val="18"/>
          <w:szCs w:val="18"/>
        </w:rPr>
        <w:t>Withholding Tax Relief Certification</w:t>
      </w:r>
      <w:r w:rsidRPr="0061431F">
        <w:rPr>
          <w:rFonts w:ascii="Arial" w:hAnsi="Arial" w:cs="Arial"/>
          <w:sz w:val="18"/>
          <w:szCs w:val="18"/>
        </w:rPr>
        <w:t xml:space="preserve"> - Certification process for withholding tax reduction or exemption based on the tax status of the holder.</w:t>
      </w:r>
    </w:p>
    <w:p w:rsidR="0061431F" w:rsidRPr="0061431F" w:rsidRDefault="0061431F" w:rsidP="0061431F">
      <w:pPr>
        <w:numPr>
          <w:ilvl w:val="0"/>
          <w:numId w:val="27"/>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rPr>
          <w:rFonts w:ascii="Arial" w:hAnsi="Arial" w:cs="Arial"/>
          <w:sz w:val="18"/>
          <w:szCs w:val="18"/>
        </w:rPr>
      </w:pPr>
      <w:r w:rsidRPr="0061431F">
        <w:rPr>
          <w:rFonts w:ascii="Arial" w:hAnsi="Arial" w:cs="Arial"/>
          <w:b/>
          <w:sz w:val="18"/>
          <w:szCs w:val="18"/>
        </w:rPr>
        <w:t>ICSD Refusal Of Mark Up Down Confirmation</w:t>
      </w:r>
      <w:r w:rsidRPr="0061431F">
        <w:rPr>
          <w:rFonts w:ascii="Arial" w:hAnsi="Arial" w:cs="Arial"/>
          <w:sz w:val="18"/>
          <w:szCs w:val="18"/>
        </w:rPr>
        <w:t xml:space="preserve"> - In the context of a corporate action, an International central Securities Depository (ICSD) refuses a mark-up/mark-down confirmation sent by the account servicer.</w:t>
      </w:r>
    </w:p>
    <w:p w:rsidR="0061431F" w:rsidRPr="0061431F" w:rsidRDefault="0061431F" w:rsidP="0061431F">
      <w:pPr>
        <w:numPr>
          <w:ilvl w:val="0"/>
          <w:numId w:val="27"/>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rPr>
          <w:rFonts w:ascii="Arial" w:hAnsi="Arial" w:cs="Arial"/>
          <w:sz w:val="18"/>
          <w:szCs w:val="18"/>
        </w:rPr>
      </w:pPr>
      <w:r w:rsidRPr="0061431F">
        <w:rPr>
          <w:rFonts w:ascii="Arial" w:hAnsi="Arial" w:cs="Arial"/>
          <w:b/>
          <w:sz w:val="18"/>
          <w:szCs w:val="18"/>
        </w:rPr>
        <w:t>Chasing Of Prior Authorization</w:t>
      </w:r>
      <w:r w:rsidRPr="0061431F">
        <w:rPr>
          <w:rFonts w:ascii="Arial" w:hAnsi="Arial" w:cs="Arial"/>
          <w:sz w:val="18"/>
          <w:szCs w:val="18"/>
        </w:rPr>
        <w:t xml:space="preserve"> - International Central Securities Depository (ICSD) chases the authorisation from the account servicer in order to process the exchange from global temporary to global permanent.</w:t>
      </w:r>
    </w:p>
    <w:p w:rsidR="0061431F" w:rsidRPr="0061431F" w:rsidRDefault="0061431F" w:rsidP="0061431F">
      <w:pPr>
        <w:numPr>
          <w:ilvl w:val="0"/>
          <w:numId w:val="27"/>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rPr>
          <w:rFonts w:ascii="Arial" w:hAnsi="Arial" w:cs="Arial"/>
          <w:sz w:val="18"/>
          <w:szCs w:val="18"/>
        </w:rPr>
      </w:pPr>
      <w:r w:rsidRPr="0061431F">
        <w:rPr>
          <w:rFonts w:ascii="Arial" w:hAnsi="Arial" w:cs="Arial"/>
          <w:b/>
          <w:sz w:val="18"/>
          <w:szCs w:val="18"/>
        </w:rPr>
        <w:t>Confirmation Of Holding Transfer</w:t>
      </w:r>
      <w:r w:rsidRPr="0061431F">
        <w:rPr>
          <w:rFonts w:ascii="Arial" w:hAnsi="Arial" w:cs="Arial"/>
          <w:sz w:val="18"/>
          <w:szCs w:val="18"/>
        </w:rPr>
        <w:t xml:space="preserve"> - Confirmation of transfer of interests between International Central Securities Depositories (ICSDs) following a corporate action.</w:t>
      </w:r>
      <w:r w:rsidRPr="0061431F">
        <w:rPr>
          <w:rFonts w:ascii="Arial" w:hAnsi="Arial" w:cs="Arial"/>
          <w:sz w:val="18"/>
          <w:szCs w:val="18"/>
        </w:rPr>
        <w:cr/>
      </w:r>
    </w:p>
    <w:p w:rsidR="007A56DE" w:rsidRDefault="007A56DE" w:rsidP="0061431F">
      <w:pPr>
        <w:jc w:val="both"/>
        <w:rPr>
          <w:rFonts w:ascii="Arial" w:hAnsi="Arial" w:cs="Arial"/>
          <w:b/>
          <w:sz w:val="18"/>
        </w:rPr>
      </w:pPr>
    </w:p>
    <w:p w:rsidR="003608D5" w:rsidRDefault="007A56DE" w:rsidP="003608D5">
      <w:pPr>
        <w:rPr>
          <w:rFonts w:ascii="Arial" w:hAnsi="Arial" w:cs="Arial"/>
          <w:sz w:val="18"/>
        </w:rPr>
      </w:pPr>
      <w:r w:rsidRPr="007A56DE">
        <w:rPr>
          <w:rFonts w:ascii="Arial" w:hAnsi="Arial" w:cs="Arial"/>
          <w:sz w:val="18"/>
        </w:rPr>
        <w:t>SMPG members are invited to</w:t>
      </w:r>
      <w:r w:rsidR="003608D5">
        <w:rPr>
          <w:rFonts w:ascii="Arial" w:hAnsi="Arial" w:cs="Arial"/>
          <w:sz w:val="18"/>
        </w:rPr>
        <w:t>:</w:t>
      </w:r>
      <w:r w:rsidRPr="007A56DE">
        <w:rPr>
          <w:rFonts w:ascii="Arial" w:hAnsi="Arial" w:cs="Arial"/>
          <w:sz w:val="18"/>
        </w:rPr>
        <w:t xml:space="preserve"> </w:t>
      </w:r>
    </w:p>
    <w:p w:rsidR="003608D5" w:rsidRDefault="003608D5" w:rsidP="003608D5">
      <w:pPr>
        <w:pStyle w:val="ListParagraph"/>
        <w:numPr>
          <w:ilvl w:val="0"/>
          <w:numId w:val="33"/>
        </w:numPr>
        <w:rPr>
          <w:rFonts w:ascii="Arial" w:hAnsi="Arial" w:cs="Arial"/>
          <w:sz w:val="18"/>
        </w:rPr>
      </w:pPr>
      <w:r>
        <w:rPr>
          <w:rFonts w:ascii="Arial" w:hAnsi="Arial" w:cs="Arial"/>
          <w:sz w:val="18"/>
        </w:rPr>
        <w:t xml:space="preserve">Confirm that </w:t>
      </w:r>
      <w:r w:rsidRPr="003608D5">
        <w:rPr>
          <w:rFonts w:ascii="Arial" w:hAnsi="Arial" w:cs="Arial"/>
          <w:sz w:val="18"/>
        </w:rPr>
        <w:t>the narrative message</w:t>
      </w:r>
      <w:r>
        <w:rPr>
          <w:rFonts w:ascii="Arial" w:hAnsi="Arial" w:cs="Arial"/>
          <w:sz w:val="18"/>
        </w:rPr>
        <w:t xml:space="preserve"> should only be used to transmit the information specified above</w:t>
      </w:r>
    </w:p>
    <w:p w:rsidR="003608D5" w:rsidRPr="003608D5" w:rsidRDefault="003608D5" w:rsidP="003608D5">
      <w:pPr>
        <w:pStyle w:val="ListParagraph"/>
        <w:numPr>
          <w:ilvl w:val="0"/>
          <w:numId w:val="33"/>
        </w:numPr>
        <w:rPr>
          <w:rFonts w:ascii="Arial" w:hAnsi="Arial" w:cs="Arial"/>
          <w:sz w:val="18"/>
        </w:rPr>
      </w:pPr>
      <w:r>
        <w:rPr>
          <w:rFonts w:ascii="Arial" w:hAnsi="Arial" w:cs="Arial"/>
          <w:sz w:val="18"/>
        </w:rPr>
        <w:t>Specify the CA events for which the CANA message is relevant e.g. WTRC, CERT etc.</w:t>
      </w:r>
    </w:p>
    <w:p w:rsidR="007A56DE" w:rsidRPr="003608D5" w:rsidRDefault="003608D5" w:rsidP="003608D5">
      <w:pPr>
        <w:rPr>
          <w:rFonts w:ascii="Arial" w:hAnsi="Arial" w:cs="Arial"/>
          <w:sz w:val="18"/>
        </w:rPr>
      </w:pPr>
      <w:r>
        <w:rPr>
          <w:rFonts w:ascii="Arial" w:hAnsi="Arial" w:cs="Arial"/>
          <w:sz w:val="18"/>
        </w:rPr>
        <w:t xml:space="preserve"> </w:t>
      </w:r>
    </w:p>
    <w:p w:rsidR="007A56DE" w:rsidRPr="003608D5" w:rsidRDefault="007A56DE" w:rsidP="003608D5">
      <w:pPr>
        <w:rPr>
          <w:rFonts w:ascii="Arial" w:hAnsi="Arial" w:cs="Arial"/>
          <w:sz w:val="18"/>
        </w:rPr>
      </w:pPr>
    </w:p>
    <w:p w:rsidR="007A56DE" w:rsidRPr="003608D5" w:rsidRDefault="007A56DE" w:rsidP="003608D5">
      <w:pPr>
        <w:rPr>
          <w:rFonts w:ascii="Arial" w:hAnsi="Arial" w:cs="Arial"/>
          <w:sz w:val="18"/>
        </w:rPr>
      </w:pPr>
    </w:p>
    <w:p w:rsidR="007A56DE" w:rsidRPr="003608D5" w:rsidRDefault="007A56DE" w:rsidP="003608D5">
      <w:pPr>
        <w:rPr>
          <w:rFonts w:ascii="Arial" w:hAnsi="Arial" w:cs="Arial"/>
          <w:sz w:val="18"/>
        </w:rPr>
      </w:pPr>
    </w:p>
    <w:p w:rsidR="007A56DE" w:rsidRPr="003608D5" w:rsidRDefault="007A56DE" w:rsidP="003608D5">
      <w:pPr>
        <w:rPr>
          <w:rFonts w:ascii="Arial" w:hAnsi="Arial" w:cs="Arial"/>
          <w:sz w:val="18"/>
        </w:rPr>
      </w:pPr>
    </w:p>
    <w:p w:rsidR="007A56DE" w:rsidRPr="003608D5" w:rsidRDefault="007A56DE" w:rsidP="003608D5">
      <w:pPr>
        <w:rPr>
          <w:rFonts w:ascii="Arial" w:hAnsi="Arial" w:cs="Arial"/>
          <w:sz w:val="18"/>
        </w:rPr>
      </w:pPr>
    </w:p>
    <w:p w:rsidR="007A56DE" w:rsidRPr="003608D5" w:rsidRDefault="007A56DE" w:rsidP="003608D5">
      <w:pPr>
        <w:rPr>
          <w:rFonts w:ascii="Arial" w:hAnsi="Arial" w:cs="Arial"/>
          <w:sz w:val="18"/>
        </w:rPr>
      </w:pPr>
    </w:p>
    <w:p w:rsidR="007A56DE" w:rsidRPr="003608D5" w:rsidRDefault="007A56DE" w:rsidP="003608D5">
      <w:pPr>
        <w:rPr>
          <w:rFonts w:ascii="Arial" w:hAnsi="Arial" w:cs="Arial"/>
          <w:sz w:val="18"/>
        </w:rPr>
      </w:pPr>
    </w:p>
    <w:p w:rsidR="007A56DE" w:rsidRPr="003608D5" w:rsidRDefault="007A56DE" w:rsidP="003608D5">
      <w:pPr>
        <w:rPr>
          <w:rFonts w:ascii="Arial" w:hAnsi="Arial" w:cs="Arial"/>
          <w:sz w:val="18"/>
        </w:rPr>
      </w:pPr>
    </w:p>
    <w:p w:rsidR="007A56DE" w:rsidRPr="003608D5" w:rsidRDefault="007A56DE" w:rsidP="003608D5">
      <w:pPr>
        <w:rPr>
          <w:rFonts w:ascii="Arial" w:hAnsi="Arial" w:cs="Arial"/>
          <w:sz w:val="18"/>
        </w:rPr>
      </w:pPr>
    </w:p>
    <w:p w:rsidR="007A56DE" w:rsidRPr="003608D5" w:rsidRDefault="007A56DE" w:rsidP="003608D5">
      <w:pPr>
        <w:rPr>
          <w:rFonts w:ascii="Arial" w:hAnsi="Arial" w:cs="Arial"/>
          <w:sz w:val="18"/>
        </w:rPr>
      </w:pPr>
    </w:p>
    <w:p w:rsidR="007A56DE" w:rsidRPr="003608D5" w:rsidRDefault="007A56DE" w:rsidP="003608D5">
      <w:pPr>
        <w:rPr>
          <w:rFonts w:ascii="Arial" w:hAnsi="Arial" w:cs="Arial"/>
          <w:sz w:val="18"/>
        </w:rPr>
      </w:pPr>
    </w:p>
    <w:p w:rsidR="007A56DE" w:rsidRPr="003608D5" w:rsidRDefault="007A56DE" w:rsidP="003608D5">
      <w:pPr>
        <w:rPr>
          <w:rFonts w:ascii="Arial" w:hAnsi="Arial" w:cs="Arial"/>
          <w:sz w:val="18"/>
        </w:rPr>
      </w:pPr>
    </w:p>
    <w:p w:rsidR="007A56DE" w:rsidRPr="003608D5" w:rsidRDefault="007A56DE" w:rsidP="003608D5">
      <w:pPr>
        <w:rPr>
          <w:rFonts w:ascii="Arial" w:hAnsi="Arial" w:cs="Arial"/>
          <w:sz w:val="18"/>
        </w:rPr>
      </w:pPr>
    </w:p>
    <w:p w:rsidR="007A56DE" w:rsidRDefault="007A56DE" w:rsidP="007A56DE">
      <w:pPr>
        <w:rPr>
          <w:rFonts w:ascii="Arial" w:hAnsi="Arial" w:cs="Arial"/>
          <w:sz w:val="18"/>
        </w:rPr>
      </w:pPr>
    </w:p>
    <w:p w:rsidR="008C3577" w:rsidRDefault="007A56DE" w:rsidP="003608D5">
      <w:pPr>
        <w:tabs>
          <w:tab w:val="left" w:pos="951"/>
        </w:tabs>
        <w:rPr>
          <w:rFonts w:ascii="Arial" w:hAnsi="Arial" w:cs="Arial"/>
          <w:sz w:val="18"/>
        </w:rPr>
      </w:pPr>
      <w:r>
        <w:rPr>
          <w:rFonts w:ascii="Arial" w:hAnsi="Arial" w:cs="Arial"/>
          <w:sz w:val="18"/>
        </w:rPr>
        <w:tab/>
      </w:r>
    </w:p>
    <w:p w:rsidR="007A56DE" w:rsidRDefault="007A56DE" w:rsidP="003608D5">
      <w:pPr>
        <w:tabs>
          <w:tab w:val="left" w:pos="951"/>
        </w:tabs>
        <w:rPr>
          <w:rFonts w:ascii="Arial" w:hAnsi="Arial" w:cs="Arial"/>
          <w:sz w:val="18"/>
        </w:rPr>
      </w:pPr>
    </w:p>
    <w:p w:rsidR="007A56DE" w:rsidRDefault="007A56DE" w:rsidP="003608D5">
      <w:pPr>
        <w:tabs>
          <w:tab w:val="left" w:pos="951"/>
        </w:tabs>
        <w:rPr>
          <w:rFonts w:ascii="Arial" w:hAnsi="Arial" w:cs="Arial"/>
          <w:sz w:val="18"/>
        </w:rPr>
      </w:pPr>
    </w:p>
    <w:p w:rsidR="007A56DE" w:rsidRDefault="007A56DE" w:rsidP="003608D5">
      <w:pPr>
        <w:tabs>
          <w:tab w:val="left" w:pos="951"/>
        </w:tabs>
        <w:rPr>
          <w:rFonts w:ascii="Arial" w:hAnsi="Arial" w:cs="Arial"/>
          <w:sz w:val="18"/>
        </w:rPr>
      </w:pPr>
    </w:p>
    <w:p w:rsidR="007A56DE" w:rsidRDefault="007A56DE" w:rsidP="003608D5">
      <w:pPr>
        <w:tabs>
          <w:tab w:val="left" w:pos="951"/>
        </w:tabs>
        <w:rPr>
          <w:rFonts w:ascii="Arial" w:hAnsi="Arial" w:cs="Arial"/>
          <w:sz w:val="18"/>
        </w:rPr>
      </w:pPr>
    </w:p>
    <w:p w:rsidR="007A56DE" w:rsidRDefault="007A56DE" w:rsidP="003608D5">
      <w:pPr>
        <w:tabs>
          <w:tab w:val="left" w:pos="951"/>
        </w:tabs>
        <w:rPr>
          <w:rFonts w:ascii="Arial" w:hAnsi="Arial" w:cs="Arial"/>
          <w:sz w:val="18"/>
        </w:rPr>
      </w:pPr>
    </w:p>
    <w:p w:rsidR="007A56DE" w:rsidRPr="003608D5" w:rsidRDefault="007A56DE" w:rsidP="003608D5">
      <w:pPr>
        <w:tabs>
          <w:tab w:val="left" w:pos="951"/>
        </w:tabs>
        <w:rPr>
          <w:rFonts w:ascii="Arial" w:hAnsi="Arial" w:cs="Arial"/>
          <w:b/>
          <w:sz w:val="20"/>
        </w:rPr>
      </w:pPr>
      <w:r w:rsidRPr="003608D5">
        <w:rPr>
          <w:rFonts w:ascii="Arial" w:hAnsi="Arial" w:cs="Arial"/>
          <w:b/>
          <w:sz w:val="20"/>
        </w:rPr>
        <w:lastRenderedPageBreak/>
        <w:t>Annex</w:t>
      </w:r>
      <w:r>
        <w:rPr>
          <w:rFonts w:ascii="Arial" w:hAnsi="Arial" w:cs="Arial"/>
          <w:b/>
          <w:sz w:val="20"/>
        </w:rPr>
        <w:t xml:space="preserve"> 1</w:t>
      </w:r>
      <w:r w:rsidRPr="003608D5">
        <w:rPr>
          <w:rFonts w:ascii="Arial" w:hAnsi="Arial" w:cs="Arial"/>
          <w:b/>
          <w:sz w:val="20"/>
        </w:rPr>
        <w:t>: CMH-TF analysis on blocking of securities subject to a CA event</w:t>
      </w:r>
    </w:p>
    <w:p w:rsidR="007A56DE" w:rsidRPr="003608D5" w:rsidRDefault="007A56DE" w:rsidP="007A56DE">
      <w:pPr>
        <w:keepNext/>
        <w:tabs>
          <w:tab w:val="num" w:pos="567"/>
        </w:tabs>
        <w:spacing w:before="340" w:after="120" w:line="340" w:lineRule="atLeast"/>
        <w:ind w:left="567" w:hanging="567"/>
        <w:outlineLvl w:val="0"/>
        <w:rPr>
          <w:rFonts w:ascii="Arial" w:eastAsia="Times New Roman" w:hAnsi="Arial" w:cs="Times New Roman"/>
          <w:b/>
          <w:bCs/>
          <w:kern w:val="28"/>
          <w:sz w:val="20"/>
          <w:szCs w:val="20"/>
          <w:lang w:eastAsia="en-GB"/>
        </w:rPr>
      </w:pPr>
      <w:r w:rsidRPr="003608D5">
        <w:rPr>
          <w:rFonts w:ascii="Arial" w:eastAsia="Times New Roman" w:hAnsi="Arial" w:cs="Times New Roman"/>
          <w:b/>
          <w:bCs/>
          <w:kern w:val="28"/>
          <w:sz w:val="20"/>
          <w:szCs w:val="20"/>
          <w:lang w:eastAsia="en-GB"/>
        </w:rPr>
        <w:t>Background</w:t>
      </w:r>
    </w:p>
    <w:p w:rsidR="007A56DE" w:rsidRPr="007A56DE" w:rsidRDefault="007A56DE" w:rsidP="007A56DE">
      <w:pPr>
        <w:spacing w:before="60" w:after="60" w:line="340" w:lineRule="atLeast"/>
        <w:rPr>
          <w:rFonts w:ascii="Arial" w:eastAsia="Times New Roman" w:hAnsi="Arial" w:cs="Sendnya"/>
          <w:sz w:val="20"/>
          <w:lang w:eastAsia="en-GB"/>
        </w:rPr>
      </w:pPr>
      <w:r w:rsidRPr="007A56DE">
        <w:rPr>
          <w:rFonts w:ascii="Arial" w:eastAsia="Times New Roman" w:hAnsi="Arial" w:cs="Sendnya"/>
          <w:sz w:val="20"/>
          <w:lang w:eastAsia="en-GB"/>
        </w:rPr>
        <w:t>A harmonisation need was identified by the CMH-TF with regard to the blocking</w:t>
      </w:r>
      <w:r w:rsidRPr="007A56DE">
        <w:rPr>
          <w:rFonts w:ascii="Arial" w:eastAsia="Times New Roman" w:hAnsi="Arial" w:cs="Sendnya"/>
          <w:sz w:val="20"/>
          <w:vertAlign w:val="superscript"/>
          <w:lang w:eastAsia="en-GB"/>
        </w:rPr>
        <w:footnoteReference w:id="3"/>
      </w:r>
      <w:r w:rsidRPr="007A56DE">
        <w:rPr>
          <w:rFonts w:ascii="Arial" w:eastAsia="Times New Roman" w:hAnsi="Arial" w:cs="Sendnya"/>
          <w:sz w:val="20"/>
          <w:lang w:eastAsia="en-GB"/>
        </w:rPr>
        <w:t xml:space="preserve"> of securities subject to a CA event as described below.</w:t>
      </w:r>
    </w:p>
    <w:p w:rsidR="007A56DE" w:rsidRPr="007A56DE" w:rsidRDefault="007A56DE" w:rsidP="007A56DE">
      <w:pPr>
        <w:keepNext/>
        <w:tabs>
          <w:tab w:val="num" w:pos="567"/>
        </w:tabs>
        <w:spacing w:before="340" w:after="120" w:line="340" w:lineRule="atLeast"/>
        <w:ind w:left="567" w:hanging="567"/>
        <w:outlineLvl w:val="0"/>
        <w:rPr>
          <w:rFonts w:ascii="Arial" w:eastAsia="Times New Roman" w:hAnsi="Arial" w:cs="Times New Roman"/>
          <w:b/>
          <w:bCs/>
          <w:kern w:val="28"/>
          <w:sz w:val="24"/>
          <w:szCs w:val="20"/>
          <w:lang w:eastAsia="en-GB"/>
        </w:rPr>
      </w:pPr>
      <w:r w:rsidRPr="007A56DE">
        <w:rPr>
          <w:rFonts w:ascii="Arial" w:eastAsia="Times New Roman" w:hAnsi="Arial" w:cs="Times New Roman"/>
          <w:b/>
          <w:bCs/>
          <w:noProof/>
          <w:kern w:val="28"/>
          <w:sz w:val="24"/>
          <w:szCs w:val="20"/>
          <w:lang w:eastAsia="en-GB"/>
        </w:rPr>
        <mc:AlternateContent>
          <mc:Choice Requires="wps">
            <w:drawing>
              <wp:anchor distT="0" distB="0" distL="114300" distR="114300" simplePos="0" relativeHeight="251659264" behindDoc="0" locked="0" layoutInCell="1" allowOverlap="1" wp14:anchorId="7BA6CB0B" wp14:editId="48C86D24">
                <wp:simplePos x="0" y="0"/>
                <wp:positionH relativeFrom="column">
                  <wp:posOffset>57785</wp:posOffset>
                </wp:positionH>
                <wp:positionV relativeFrom="paragraph">
                  <wp:posOffset>223520</wp:posOffset>
                </wp:positionV>
                <wp:extent cx="5949950" cy="1877060"/>
                <wp:effectExtent l="0" t="0" r="1333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877060"/>
                        </a:xfrm>
                        <a:prstGeom prst="rect">
                          <a:avLst/>
                        </a:prstGeom>
                        <a:solidFill>
                          <a:srgbClr val="9BBB59">
                            <a:lumMod val="20000"/>
                            <a:lumOff val="80000"/>
                          </a:srgbClr>
                        </a:solidFill>
                        <a:ln w="9525">
                          <a:solidFill>
                            <a:sysClr val="windowText" lastClr="000000"/>
                          </a:solidFill>
                          <a:miter lim="800000"/>
                          <a:headEnd/>
                          <a:tailEnd/>
                        </a:ln>
                      </wps:spPr>
                      <wps:txbx>
                        <w:txbxContent>
                          <w:p w:rsidR="007A56DE" w:rsidRPr="003608D5" w:rsidRDefault="007A56DE" w:rsidP="007A56DE">
                            <w:pPr>
                              <w:autoSpaceDE w:val="0"/>
                              <w:autoSpaceDN w:val="0"/>
                              <w:adjustRightInd w:val="0"/>
                              <w:spacing w:after="0" w:line="240" w:lineRule="auto"/>
                              <w:rPr>
                                <w:rFonts w:ascii="Arial" w:hAnsi="Arial" w:cs="Arial"/>
                                <w:b/>
                                <w:bCs/>
                                <w:sz w:val="16"/>
                                <w:szCs w:val="16"/>
                              </w:rPr>
                            </w:pPr>
                            <w:r w:rsidRPr="003608D5">
                              <w:rPr>
                                <w:rFonts w:ascii="Arial" w:hAnsi="Arial" w:cs="Arial"/>
                                <w:b/>
                                <w:bCs/>
                                <w:sz w:val="16"/>
                                <w:szCs w:val="16"/>
                              </w:rPr>
                              <w:t xml:space="preserve">Priority 2 - No. 3: CA Events where Participation Requires the Blocking of Securities </w:t>
                            </w:r>
                          </w:p>
                          <w:p w:rsidR="007A56DE" w:rsidRPr="003608D5" w:rsidRDefault="007A56DE" w:rsidP="007A56DE">
                            <w:pPr>
                              <w:autoSpaceDE w:val="0"/>
                              <w:autoSpaceDN w:val="0"/>
                              <w:adjustRightInd w:val="0"/>
                              <w:spacing w:after="0" w:line="240" w:lineRule="auto"/>
                              <w:rPr>
                                <w:rFonts w:ascii="Arial" w:hAnsi="Arial" w:cs="Arial"/>
                                <w:sz w:val="16"/>
                                <w:szCs w:val="16"/>
                              </w:rPr>
                            </w:pPr>
                            <w:r w:rsidRPr="003608D5">
                              <w:rPr>
                                <w:rFonts w:ascii="Arial" w:hAnsi="Arial" w:cs="Arial"/>
                                <w:sz w:val="16"/>
                                <w:szCs w:val="16"/>
                                <w:u w:val="single"/>
                              </w:rPr>
                              <w:t>Description:</w:t>
                            </w:r>
                            <w:r w:rsidRPr="003608D5">
                              <w:rPr>
                                <w:rFonts w:ascii="Arial" w:hAnsi="Arial" w:cs="Arial"/>
                                <w:sz w:val="16"/>
                                <w:szCs w:val="16"/>
                              </w:rPr>
                              <w:t xml:space="preserve"> Identification of those CA events where participation in the CA event requires the blocking of securities. </w:t>
                            </w:r>
                          </w:p>
                          <w:p w:rsidR="007A56DE" w:rsidRPr="003608D5" w:rsidRDefault="007A56DE" w:rsidP="007A56DE">
                            <w:pPr>
                              <w:autoSpaceDE w:val="0"/>
                              <w:autoSpaceDN w:val="0"/>
                              <w:adjustRightInd w:val="0"/>
                              <w:spacing w:after="0" w:line="240" w:lineRule="auto"/>
                              <w:rPr>
                                <w:rFonts w:ascii="Arial" w:hAnsi="Arial" w:cs="Arial"/>
                                <w:b/>
                                <w:bCs/>
                                <w:sz w:val="16"/>
                                <w:szCs w:val="16"/>
                              </w:rPr>
                            </w:pPr>
                            <w:r w:rsidRPr="003608D5">
                              <w:rPr>
                                <w:rFonts w:ascii="Arial" w:hAnsi="Arial" w:cs="Arial"/>
                                <w:b/>
                                <w:bCs/>
                                <w:sz w:val="16"/>
                                <w:szCs w:val="16"/>
                                <w:u w:val="single"/>
                              </w:rPr>
                              <w:t>Harmonisation Need:</w:t>
                            </w:r>
                            <w:r w:rsidRPr="003608D5">
                              <w:rPr>
                                <w:rFonts w:ascii="Arial" w:hAnsi="Arial" w:cs="Arial"/>
                                <w:b/>
                                <w:bCs/>
                                <w:sz w:val="16"/>
                                <w:szCs w:val="16"/>
                              </w:rPr>
                              <w:t xml:space="preserve"> Further input / analysis is required in order to clarify if the same set of CA events are subject to blocking across all CSDs. Accordingly there may be a need for harmonisation in this area.</w:t>
                            </w:r>
                          </w:p>
                          <w:p w:rsidR="007A56DE" w:rsidRPr="003608D5" w:rsidRDefault="007A56DE" w:rsidP="007A56DE">
                            <w:pPr>
                              <w:rPr>
                                <w:rFonts w:ascii="Arial" w:hAnsi="Arial" w:cs="Arial"/>
                                <w:sz w:val="16"/>
                                <w:szCs w:val="16"/>
                              </w:rPr>
                            </w:pPr>
                          </w:p>
                          <w:p w:rsidR="007A56DE" w:rsidRPr="003608D5" w:rsidRDefault="007A56DE" w:rsidP="007A56DE">
                            <w:pPr>
                              <w:autoSpaceDE w:val="0"/>
                              <w:autoSpaceDN w:val="0"/>
                              <w:adjustRightInd w:val="0"/>
                              <w:spacing w:after="0" w:line="240" w:lineRule="auto"/>
                              <w:rPr>
                                <w:rFonts w:ascii="Arial" w:hAnsi="Arial" w:cs="Arial"/>
                                <w:sz w:val="16"/>
                                <w:szCs w:val="16"/>
                              </w:rPr>
                            </w:pPr>
                            <w:r w:rsidRPr="003608D5">
                              <w:rPr>
                                <w:rFonts w:ascii="Arial" w:hAnsi="Arial" w:cs="Arial"/>
                                <w:sz w:val="16"/>
                                <w:szCs w:val="16"/>
                                <w:u w:val="single"/>
                              </w:rPr>
                              <w:t>Description:</w:t>
                            </w:r>
                            <w:r w:rsidRPr="003608D5">
                              <w:rPr>
                                <w:rFonts w:ascii="Arial" w:hAnsi="Arial" w:cs="Arial"/>
                                <w:sz w:val="16"/>
                                <w:szCs w:val="16"/>
                              </w:rPr>
                              <w:t xml:space="preserve"> Identification of those CA events where participation in the CA event requires the blocking of securities. </w:t>
                            </w:r>
                          </w:p>
                          <w:p w:rsidR="007A56DE" w:rsidRPr="003608D5" w:rsidRDefault="007A56DE" w:rsidP="007A56DE">
                            <w:pPr>
                              <w:autoSpaceDE w:val="0"/>
                              <w:autoSpaceDN w:val="0"/>
                              <w:adjustRightInd w:val="0"/>
                              <w:spacing w:after="0" w:line="240" w:lineRule="auto"/>
                              <w:rPr>
                                <w:rFonts w:ascii="Arial" w:hAnsi="Arial" w:cs="Arial"/>
                                <w:b/>
                                <w:bCs/>
                                <w:sz w:val="16"/>
                                <w:szCs w:val="16"/>
                              </w:rPr>
                            </w:pPr>
                            <w:r w:rsidRPr="003608D5">
                              <w:rPr>
                                <w:rFonts w:ascii="Arial" w:hAnsi="Arial" w:cs="Arial"/>
                                <w:b/>
                                <w:bCs/>
                                <w:sz w:val="16"/>
                                <w:szCs w:val="16"/>
                                <w:u w:val="single"/>
                              </w:rPr>
                              <w:t>Harmonisation Need:</w:t>
                            </w:r>
                            <w:r w:rsidRPr="003608D5">
                              <w:rPr>
                                <w:rFonts w:ascii="Arial" w:hAnsi="Arial" w:cs="Arial"/>
                                <w:b/>
                                <w:bCs/>
                                <w:sz w:val="16"/>
                                <w:szCs w:val="16"/>
                              </w:rPr>
                              <w:t xml:space="preserve"> Further input / analysis is required in order to clarify if the same set of CA events are subject to blocking across all CSDs. Accordingly there may be a need for harmonisation in this area.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5pt;margin-top:17.6pt;width:468.5pt;height:147.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" fillcolor="#ebf1de" strokecolor="windowText">
                <v:textbox style="mso-fit-shape-to-text:t">
                  <w:txbxContent>
                    <w:p w:rsidR="007A56DE" w:rsidRPr="003608D5" w:rsidRDefault="007A56DE" w:rsidP="007A56DE">
                      <w:pPr>
                        <w:autoSpaceDE w:val="0"/>
                        <w:autoSpaceDN w:val="0"/>
                        <w:adjustRightInd w:val="0"/>
                        <w:spacing w:after="0" w:line="240" w:lineRule="auto"/>
                        <w:rPr>
                          <w:rFonts w:ascii="Arial" w:hAnsi="Arial" w:cs="Arial"/>
                          <w:b/>
                          <w:bCs/>
                          <w:sz w:val="16"/>
                          <w:szCs w:val="16"/>
                        </w:rPr>
                      </w:pPr>
                      <w:r w:rsidRPr="003608D5">
                        <w:rPr>
                          <w:rFonts w:ascii="Arial" w:hAnsi="Arial" w:cs="Arial"/>
                          <w:b/>
                          <w:bCs/>
                          <w:sz w:val="16"/>
                          <w:szCs w:val="16"/>
                        </w:rPr>
                        <w:t xml:space="preserve">Priority 2 - No. 3: CA Events where Participation Requires the Blocking of Securities </w:t>
                      </w:r>
                    </w:p>
                    <w:p w:rsidR="007A56DE" w:rsidRPr="003608D5" w:rsidRDefault="007A56DE" w:rsidP="007A56DE">
                      <w:pPr>
                        <w:autoSpaceDE w:val="0"/>
                        <w:autoSpaceDN w:val="0"/>
                        <w:adjustRightInd w:val="0"/>
                        <w:spacing w:after="0" w:line="240" w:lineRule="auto"/>
                        <w:rPr>
                          <w:rFonts w:ascii="Arial" w:hAnsi="Arial" w:cs="Arial"/>
                          <w:sz w:val="16"/>
                          <w:szCs w:val="16"/>
                        </w:rPr>
                      </w:pPr>
                      <w:r w:rsidRPr="003608D5">
                        <w:rPr>
                          <w:rFonts w:ascii="Arial" w:hAnsi="Arial" w:cs="Arial"/>
                          <w:sz w:val="16"/>
                          <w:szCs w:val="16"/>
                          <w:u w:val="single"/>
                        </w:rPr>
                        <w:t>Description:</w:t>
                      </w:r>
                      <w:r w:rsidRPr="003608D5">
                        <w:rPr>
                          <w:rFonts w:ascii="Arial" w:hAnsi="Arial" w:cs="Arial"/>
                          <w:sz w:val="16"/>
                          <w:szCs w:val="16"/>
                        </w:rPr>
                        <w:t xml:space="preserve"> Identification of those CA events where participation in the CA event requires the blocking of securities. </w:t>
                      </w:r>
                    </w:p>
                    <w:p w:rsidR="007A56DE" w:rsidRPr="003608D5" w:rsidRDefault="007A56DE" w:rsidP="007A56DE">
                      <w:pPr>
                        <w:autoSpaceDE w:val="0"/>
                        <w:autoSpaceDN w:val="0"/>
                        <w:adjustRightInd w:val="0"/>
                        <w:spacing w:after="0" w:line="240" w:lineRule="auto"/>
                        <w:rPr>
                          <w:rFonts w:ascii="Arial" w:hAnsi="Arial" w:cs="Arial"/>
                          <w:b/>
                          <w:bCs/>
                          <w:sz w:val="16"/>
                          <w:szCs w:val="16"/>
                        </w:rPr>
                      </w:pPr>
                      <w:r w:rsidRPr="003608D5">
                        <w:rPr>
                          <w:rFonts w:ascii="Arial" w:hAnsi="Arial" w:cs="Arial"/>
                          <w:b/>
                          <w:bCs/>
                          <w:sz w:val="16"/>
                          <w:szCs w:val="16"/>
                          <w:u w:val="single"/>
                        </w:rPr>
                        <w:t>Harmonisation Need:</w:t>
                      </w:r>
                      <w:r w:rsidRPr="003608D5">
                        <w:rPr>
                          <w:rFonts w:ascii="Arial" w:hAnsi="Arial" w:cs="Arial"/>
                          <w:b/>
                          <w:bCs/>
                          <w:sz w:val="16"/>
                          <w:szCs w:val="16"/>
                        </w:rPr>
                        <w:t xml:space="preserve"> Further input / analysis is required in order to clarify if the same set of CA events are subject to blocking across all CSDs. Accordingly there may be a need for harmonisation in this area.</w:t>
                      </w:r>
                    </w:p>
                    <w:p w:rsidR="007A56DE" w:rsidRPr="003608D5" w:rsidRDefault="007A56DE" w:rsidP="007A56DE">
                      <w:pPr>
                        <w:rPr>
                          <w:rFonts w:ascii="Arial" w:hAnsi="Arial" w:cs="Arial"/>
                          <w:sz w:val="16"/>
                          <w:szCs w:val="16"/>
                        </w:rPr>
                      </w:pPr>
                    </w:p>
                    <w:p w:rsidR="007A56DE" w:rsidRPr="003608D5" w:rsidRDefault="007A56DE" w:rsidP="007A56DE">
                      <w:pPr>
                        <w:autoSpaceDE w:val="0"/>
                        <w:autoSpaceDN w:val="0"/>
                        <w:adjustRightInd w:val="0"/>
                        <w:spacing w:after="0" w:line="240" w:lineRule="auto"/>
                        <w:rPr>
                          <w:rFonts w:ascii="Arial" w:hAnsi="Arial" w:cs="Arial"/>
                          <w:sz w:val="16"/>
                          <w:szCs w:val="16"/>
                        </w:rPr>
                      </w:pPr>
                      <w:r w:rsidRPr="003608D5">
                        <w:rPr>
                          <w:rFonts w:ascii="Arial" w:hAnsi="Arial" w:cs="Arial"/>
                          <w:sz w:val="16"/>
                          <w:szCs w:val="16"/>
                          <w:u w:val="single"/>
                        </w:rPr>
                        <w:t>Description:</w:t>
                      </w:r>
                      <w:r w:rsidRPr="003608D5">
                        <w:rPr>
                          <w:rFonts w:ascii="Arial" w:hAnsi="Arial" w:cs="Arial"/>
                          <w:sz w:val="16"/>
                          <w:szCs w:val="16"/>
                        </w:rPr>
                        <w:t xml:space="preserve"> Identification of those CA events where participation in the CA event requires the blocking of securities. </w:t>
                      </w:r>
                    </w:p>
                    <w:p w:rsidR="007A56DE" w:rsidRPr="003608D5" w:rsidRDefault="007A56DE" w:rsidP="007A56DE">
                      <w:pPr>
                        <w:autoSpaceDE w:val="0"/>
                        <w:autoSpaceDN w:val="0"/>
                        <w:adjustRightInd w:val="0"/>
                        <w:spacing w:after="0" w:line="240" w:lineRule="auto"/>
                        <w:rPr>
                          <w:rFonts w:ascii="Arial" w:hAnsi="Arial" w:cs="Arial"/>
                          <w:b/>
                          <w:bCs/>
                          <w:sz w:val="16"/>
                          <w:szCs w:val="16"/>
                        </w:rPr>
                      </w:pPr>
                      <w:r w:rsidRPr="003608D5">
                        <w:rPr>
                          <w:rFonts w:ascii="Arial" w:hAnsi="Arial" w:cs="Arial"/>
                          <w:b/>
                          <w:bCs/>
                          <w:sz w:val="16"/>
                          <w:szCs w:val="16"/>
                          <w:u w:val="single"/>
                        </w:rPr>
                        <w:t>Harmonisation Need:</w:t>
                      </w:r>
                      <w:r w:rsidRPr="003608D5">
                        <w:rPr>
                          <w:rFonts w:ascii="Arial" w:hAnsi="Arial" w:cs="Arial"/>
                          <w:b/>
                          <w:bCs/>
                          <w:sz w:val="16"/>
                          <w:szCs w:val="16"/>
                        </w:rPr>
                        <w:t xml:space="preserve"> Further input / analysis is required in order to clarify if the same set of CA events are subject to blocking across all CSDs. Accordingly there may be a need for harmonisation in this area.</w:t>
                      </w:r>
                    </w:p>
                  </w:txbxContent>
                </v:textbox>
                <w10:wrap type="square"/>
              </v:shape>
            </w:pict>
          </mc:Fallback>
        </mc:AlternateContent>
      </w:r>
      <w:r w:rsidRPr="007A56DE">
        <w:rPr>
          <w:rFonts w:ascii="Arial" w:eastAsia="Times New Roman" w:hAnsi="Arial" w:cs="Times New Roman"/>
          <w:b/>
          <w:bCs/>
          <w:kern w:val="28"/>
          <w:sz w:val="24"/>
          <w:szCs w:val="20"/>
          <w:lang w:eastAsia="en-GB"/>
        </w:rPr>
        <w:t>Issue Description</w:t>
      </w:r>
    </w:p>
    <w:p w:rsidR="007A56DE" w:rsidRPr="007A56DE" w:rsidRDefault="007A56DE" w:rsidP="007A56DE">
      <w:pPr>
        <w:spacing w:before="60" w:after="60" w:line="340" w:lineRule="atLeast"/>
        <w:jc w:val="both"/>
        <w:rPr>
          <w:rFonts w:ascii="Arial" w:eastAsia="Times New Roman" w:hAnsi="Arial" w:cs="Sendnya"/>
          <w:sz w:val="20"/>
          <w:lang w:eastAsia="en-GB"/>
        </w:rPr>
      </w:pPr>
      <w:r w:rsidRPr="007A56DE">
        <w:rPr>
          <w:rFonts w:ascii="Arial" w:eastAsia="Times New Roman" w:hAnsi="Arial" w:cs="Sendnya"/>
          <w:sz w:val="20"/>
          <w:lang w:eastAsia="en-GB"/>
        </w:rPr>
        <w:t xml:space="preserve">Blocking is typically used on elective events from the moment a clients' election has been positioned and an instruction to the agent has been sent until debit (surrender) of accepted securities must occur and payment takes place. Blocking is not used in case only record date positioning is required (This method is used when the exercise security that does not need to be </w:t>
      </w:r>
      <w:proofErr w:type="spellStart"/>
      <w:r w:rsidRPr="007A56DE">
        <w:rPr>
          <w:rFonts w:ascii="Arial" w:eastAsia="Times New Roman" w:hAnsi="Arial" w:cs="Sendnya"/>
          <w:sz w:val="20"/>
          <w:lang w:eastAsia="en-GB"/>
        </w:rPr>
        <w:t>surrended</w:t>
      </w:r>
      <w:proofErr w:type="spellEnd"/>
      <w:r w:rsidRPr="007A56DE">
        <w:rPr>
          <w:rFonts w:ascii="Arial" w:eastAsia="Times New Roman" w:hAnsi="Arial" w:cs="Sendnya"/>
          <w:sz w:val="20"/>
          <w:lang w:eastAsia="en-GB"/>
        </w:rPr>
        <w:t xml:space="preserve"> by entitlement is defined only by record date holding basis (such as rights distribution, often voting etc.). The movement of securities to ensure acceptance of instruction is required in the majority of markets, however when, and how, differs (see Annex 1). In addition, when securities are subject to blocking, different message types may be sent to confirm the blocking and subsequent unblocking of these securities. </w:t>
      </w:r>
    </w:p>
    <w:p w:rsidR="007A56DE" w:rsidRPr="007A56DE" w:rsidRDefault="007A56DE" w:rsidP="007A56DE">
      <w:pPr>
        <w:keepNext/>
        <w:tabs>
          <w:tab w:val="num" w:pos="567"/>
        </w:tabs>
        <w:spacing w:before="340" w:after="120" w:line="340" w:lineRule="atLeast"/>
        <w:ind w:left="567" w:hanging="567"/>
        <w:outlineLvl w:val="0"/>
        <w:rPr>
          <w:rFonts w:ascii="Arial" w:eastAsia="Times New Roman" w:hAnsi="Arial" w:cs="Times New Roman"/>
          <w:b/>
          <w:bCs/>
          <w:kern w:val="28"/>
          <w:sz w:val="24"/>
          <w:szCs w:val="20"/>
          <w:lang w:eastAsia="en-GB"/>
        </w:rPr>
      </w:pPr>
      <w:r w:rsidRPr="007A56DE">
        <w:rPr>
          <w:rFonts w:ascii="Arial" w:eastAsia="Times New Roman" w:hAnsi="Arial" w:cs="Times New Roman"/>
          <w:b/>
          <w:bCs/>
          <w:kern w:val="28"/>
          <w:sz w:val="24"/>
          <w:szCs w:val="20"/>
          <w:lang w:eastAsia="en-GB"/>
        </w:rPr>
        <w:t xml:space="preserve">Fundaments underpinning potential harmonisation proposal </w:t>
      </w:r>
    </w:p>
    <w:p w:rsidR="007A56DE" w:rsidRPr="007A56DE" w:rsidRDefault="007A56DE" w:rsidP="007A56DE">
      <w:pPr>
        <w:spacing w:before="60" w:after="60" w:line="340" w:lineRule="atLeast"/>
        <w:jc w:val="both"/>
        <w:rPr>
          <w:rFonts w:ascii="Arial" w:eastAsia="Times New Roman" w:hAnsi="Arial" w:cs="Sendnya"/>
          <w:sz w:val="20"/>
          <w:lang w:eastAsia="en-GB"/>
        </w:rPr>
      </w:pPr>
      <w:r w:rsidRPr="007A56DE">
        <w:rPr>
          <w:rFonts w:ascii="Arial" w:eastAsia="Times New Roman" w:hAnsi="Arial" w:cs="Sendnya"/>
          <w:sz w:val="20"/>
          <w:lang w:eastAsia="en-GB"/>
        </w:rPr>
        <w:t xml:space="preserve">Of the CA events identified as relevant to </w:t>
      </w:r>
      <w:proofErr w:type="spellStart"/>
      <w:r w:rsidRPr="007A56DE">
        <w:rPr>
          <w:rFonts w:ascii="Arial" w:eastAsia="Times New Roman" w:hAnsi="Arial" w:cs="Sendnya"/>
          <w:sz w:val="20"/>
          <w:lang w:eastAsia="en-GB"/>
        </w:rPr>
        <w:t>Eurosystem</w:t>
      </w:r>
      <w:proofErr w:type="spellEnd"/>
      <w:r w:rsidRPr="007A56DE">
        <w:rPr>
          <w:rFonts w:ascii="Arial" w:eastAsia="Times New Roman" w:hAnsi="Arial" w:cs="Sendnya"/>
          <w:sz w:val="20"/>
          <w:lang w:eastAsia="en-GB"/>
        </w:rPr>
        <w:t xml:space="preserve"> debt instruments, the participation in predefined list of CA events should lead to a blocking of the underlying security (together with the exceptions identified). It is understood that the blocking is performed automatically if participating in any of the identified event types i.e. the customer does not have to request a blocking of securities. The standard market practice should be based on an ISO 20022 message by which market participants are notified of a blocking/unblocking of securities. Based on the feedback received from (I</w:t>
      </w:r>
      <w:proofErr w:type="gramStart"/>
      <w:r w:rsidRPr="007A56DE">
        <w:rPr>
          <w:rFonts w:ascii="Arial" w:eastAsia="Times New Roman" w:hAnsi="Arial" w:cs="Sendnya"/>
          <w:sz w:val="20"/>
          <w:lang w:eastAsia="en-GB"/>
        </w:rPr>
        <w:t>)CSDs</w:t>
      </w:r>
      <w:proofErr w:type="gramEnd"/>
      <w:r w:rsidRPr="007A56DE">
        <w:rPr>
          <w:rFonts w:ascii="Arial" w:eastAsia="Times New Roman" w:hAnsi="Arial" w:cs="Sendnya"/>
          <w:sz w:val="20"/>
          <w:lang w:eastAsia="en-GB"/>
        </w:rPr>
        <w:t xml:space="preserve"> in ECSDA, the following harmonisation proposal is made for blocking of securities in T2S markets.</w:t>
      </w:r>
    </w:p>
    <w:p w:rsidR="007A56DE" w:rsidRPr="007A56DE" w:rsidRDefault="007A56DE" w:rsidP="007A56DE">
      <w:pPr>
        <w:spacing w:before="60" w:after="60" w:line="340" w:lineRule="atLeast"/>
        <w:jc w:val="both"/>
        <w:rPr>
          <w:rFonts w:ascii="Arial" w:eastAsia="Times New Roman" w:hAnsi="Arial" w:cs="Sendnya"/>
          <w:sz w:val="20"/>
          <w:lang w:eastAsia="en-GB"/>
        </w:rPr>
      </w:pPr>
    </w:p>
    <w:p w:rsidR="007A56DE" w:rsidRPr="007A56DE" w:rsidRDefault="007A56DE" w:rsidP="007A56DE">
      <w:pPr>
        <w:numPr>
          <w:ilvl w:val="0"/>
          <w:numId w:val="32"/>
        </w:numPr>
        <w:spacing w:before="60" w:after="60" w:line="340" w:lineRule="atLeast"/>
        <w:contextualSpacing/>
        <w:rPr>
          <w:rFonts w:ascii="Arial" w:eastAsia="Times New Roman" w:hAnsi="Arial" w:cs="Sendnya"/>
          <w:sz w:val="20"/>
          <w:lang w:eastAsia="en-GB"/>
        </w:rPr>
      </w:pPr>
      <w:r w:rsidRPr="007A56DE">
        <w:rPr>
          <w:rFonts w:ascii="Arial" w:eastAsia="Times New Roman" w:hAnsi="Arial" w:cs="Sendnya"/>
          <w:b/>
          <w:i/>
          <w:sz w:val="20"/>
          <w:lang w:eastAsia="en-GB"/>
        </w:rPr>
        <w:t>Securities should be blocked upon instruction on an elective event - by moving the securities from one account to another securities account with restrictions.</w:t>
      </w:r>
      <w:r w:rsidRPr="007A56DE">
        <w:rPr>
          <w:rFonts w:ascii="Arial" w:eastAsia="Times New Roman" w:hAnsi="Arial" w:cs="Sendnya"/>
          <w:sz w:val="20"/>
          <w:lang w:eastAsia="en-GB"/>
        </w:rPr>
        <w:t xml:space="preserve"> </w:t>
      </w:r>
    </w:p>
    <w:p w:rsidR="007A56DE" w:rsidRPr="007A56DE" w:rsidRDefault="007A56DE" w:rsidP="007A56DE">
      <w:pPr>
        <w:spacing w:before="60" w:after="60" w:line="340" w:lineRule="atLeast"/>
        <w:ind w:left="360"/>
        <w:contextualSpacing/>
        <w:rPr>
          <w:rFonts w:ascii="Arial" w:eastAsia="Times New Roman" w:hAnsi="Arial" w:cs="Sendnya"/>
          <w:sz w:val="20"/>
          <w:lang w:eastAsia="en-GB"/>
        </w:rPr>
      </w:pPr>
      <w:r w:rsidRPr="007A56DE">
        <w:rPr>
          <w:rFonts w:ascii="Arial" w:eastAsia="Times New Roman" w:hAnsi="Arial" w:cs="Sendnya"/>
          <w:sz w:val="20"/>
          <w:lang w:eastAsia="en-GB"/>
        </w:rPr>
        <w:t>This is a standard settlement to a distinct securities account with restrictions so that clients cannot instruct. I</w:t>
      </w:r>
      <w:r w:rsidRPr="007A56DE">
        <w:rPr>
          <w:rFonts w:ascii="Arial" w:eastAsia="Times New Roman" w:hAnsi="Arial" w:cs="Sendnya"/>
          <w:bCs/>
          <w:sz w:val="20"/>
          <w:lang w:eastAsia="en-GB"/>
        </w:rPr>
        <w:t xml:space="preserve">f there is no record date (RD), on an elective event, there is a blocking of securities; if </w:t>
      </w:r>
      <w:r w:rsidRPr="007A56DE">
        <w:rPr>
          <w:rFonts w:ascii="Arial" w:eastAsia="Times New Roman" w:hAnsi="Arial" w:cs="Sendnya"/>
          <w:bCs/>
          <w:sz w:val="20"/>
          <w:lang w:eastAsia="en-GB"/>
        </w:rPr>
        <w:lastRenderedPageBreak/>
        <w:t>there is a RD, there is a blocking only if instruction is received before the RD</w:t>
      </w:r>
      <w:r w:rsidRPr="007A56DE">
        <w:rPr>
          <w:rFonts w:ascii="Arial" w:eastAsia="Times New Roman" w:hAnsi="Arial" w:cs="Sendnya"/>
          <w:bCs/>
          <w:sz w:val="20"/>
          <w:vertAlign w:val="superscript"/>
          <w:lang w:eastAsia="en-GB"/>
        </w:rPr>
        <w:footnoteReference w:id="4"/>
      </w:r>
      <w:r w:rsidRPr="007A56DE">
        <w:rPr>
          <w:rFonts w:ascii="Arial" w:eastAsia="Times New Roman" w:hAnsi="Arial" w:cs="Sendnya"/>
          <w:bCs/>
          <w:sz w:val="20"/>
          <w:lang w:eastAsia="en-GB"/>
        </w:rPr>
        <w:t xml:space="preserve">. The table illustrates this: </w:t>
      </w:r>
    </w:p>
    <w:tbl>
      <w:tblPr>
        <w:tblW w:w="4542" w:type="pct"/>
        <w:tblInd w:w="664" w:type="dxa"/>
        <w:tblLayout w:type="fixed"/>
        <w:tblCellMar>
          <w:left w:w="0" w:type="dxa"/>
          <w:right w:w="0" w:type="dxa"/>
        </w:tblCellMar>
        <w:tblLook w:val="04A0" w:firstRow="1" w:lastRow="0" w:firstColumn="1" w:lastColumn="0" w:noHBand="0" w:noVBand="1"/>
      </w:tblPr>
      <w:tblGrid>
        <w:gridCol w:w="965"/>
        <w:gridCol w:w="1120"/>
        <w:gridCol w:w="6310"/>
      </w:tblGrid>
      <w:tr w:rsidR="007A56DE" w:rsidRPr="007A56DE" w:rsidTr="00191A73">
        <w:trPr>
          <w:trHeight w:val="205"/>
          <w:tblHeader/>
        </w:trPr>
        <w:tc>
          <w:tcPr>
            <w:tcW w:w="575" w:type="pct"/>
            <w:shd w:val="clear" w:color="auto" w:fill="366092"/>
            <w:noWrap/>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color w:val="FFFFFF" w:themeColor="background1"/>
                <w:sz w:val="16"/>
                <w:szCs w:val="16"/>
                <w:lang w:eastAsia="en-GB"/>
              </w:rPr>
            </w:pPr>
            <w:r w:rsidRPr="007A56DE">
              <w:rPr>
                <w:rFonts w:ascii="Arial" w:eastAsia="Times New Roman" w:hAnsi="Arial" w:cs="Sendnya"/>
                <w:b/>
                <w:bCs/>
                <w:color w:val="FFFFFF" w:themeColor="background1"/>
                <w:sz w:val="16"/>
                <w:szCs w:val="16"/>
                <w:lang w:eastAsia="en-GB"/>
              </w:rPr>
              <w:t>CA Event</w:t>
            </w:r>
          </w:p>
        </w:tc>
        <w:tc>
          <w:tcPr>
            <w:tcW w:w="667" w:type="pct"/>
            <w:shd w:val="clear" w:color="auto" w:fill="366092"/>
            <w:noWrap/>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color w:val="FFFFFF" w:themeColor="background1"/>
                <w:sz w:val="16"/>
                <w:szCs w:val="16"/>
                <w:lang w:eastAsia="en-GB"/>
              </w:rPr>
            </w:pPr>
            <w:r w:rsidRPr="007A56DE">
              <w:rPr>
                <w:rFonts w:ascii="Arial" w:eastAsia="Times New Roman" w:hAnsi="Arial" w:cs="Sendnya"/>
                <w:b/>
                <w:bCs/>
                <w:color w:val="FFFFFF" w:themeColor="background1"/>
                <w:sz w:val="16"/>
                <w:szCs w:val="16"/>
                <w:lang w:eastAsia="en-GB"/>
              </w:rPr>
              <w:t>Mandatory / Voluntary</w:t>
            </w:r>
          </w:p>
        </w:tc>
        <w:tc>
          <w:tcPr>
            <w:tcW w:w="3758" w:type="pct"/>
            <w:shd w:val="clear" w:color="auto" w:fill="366092"/>
            <w:noWrap/>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color w:val="FFFFFF" w:themeColor="background1"/>
                <w:sz w:val="16"/>
                <w:szCs w:val="16"/>
                <w:lang w:eastAsia="en-GB"/>
              </w:rPr>
            </w:pPr>
            <w:r w:rsidRPr="007A56DE">
              <w:rPr>
                <w:rFonts w:ascii="Arial" w:eastAsia="Times New Roman" w:hAnsi="Arial" w:cs="Sendnya"/>
                <w:b/>
                <w:bCs/>
                <w:color w:val="FFFFFF" w:themeColor="background1"/>
                <w:sz w:val="16"/>
                <w:szCs w:val="16"/>
                <w:lang w:eastAsia="en-GB"/>
              </w:rPr>
              <w:t>CMH-TF Proposal: CA events for which participation should lead to a blocking of the underlying security</w:t>
            </w:r>
          </w:p>
        </w:tc>
      </w:tr>
      <w:tr w:rsidR="007A56DE" w:rsidRPr="007A56DE" w:rsidTr="00191A73">
        <w:trPr>
          <w:trHeight w:val="205"/>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BIDS</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VOLU</w:t>
            </w:r>
          </w:p>
        </w:tc>
        <w:tc>
          <w:tcPr>
            <w:tcW w:w="3758" w:type="pct"/>
            <w:tcBorders>
              <w:top w:val="single" w:sz="8" w:space="0" w:color="auto"/>
              <w:left w:val="nil"/>
              <w:bottom w:val="single" w:sz="8" w:space="0" w:color="auto"/>
              <w:right w:val="single" w:sz="8" w:space="0" w:color="auto"/>
            </w:tcBorders>
            <w:shd w:val="clear" w:color="auto" w:fill="DCE6F1"/>
            <w:tcMar>
              <w:top w:w="0" w:type="dxa"/>
              <w:left w:w="108" w:type="dxa"/>
              <w:bottom w:w="0" w:type="dxa"/>
              <w:right w:w="108" w:type="dxa"/>
            </w:tcMar>
            <w:vAlign w:val="bottom"/>
            <w:hideMark/>
          </w:tcPr>
          <w:p w:rsidR="007A56DE" w:rsidRPr="007A56DE" w:rsidRDefault="007A56DE" w:rsidP="007A56DE">
            <w:pPr>
              <w:spacing w:before="60" w:after="60" w:line="240" w:lineRule="auto"/>
              <w:rPr>
                <w:rFonts w:ascii="Arial" w:eastAsia="Times New Roman" w:hAnsi="Arial" w:cs="Sendnya"/>
                <w:sz w:val="16"/>
                <w:szCs w:val="16"/>
                <w:lang w:eastAsia="en-GB"/>
              </w:rPr>
            </w:pPr>
            <w:r w:rsidRPr="007A56DE">
              <w:rPr>
                <w:rFonts w:ascii="Arial" w:eastAsia="Times New Roman" w:hAnsi="Arial" w:cs="Sendnya"/>
                <w:sz w:val="16"/>
                <w:szCs w:val="16"/>
                <w:lang w:eastAsia="en-GB"/>
              </w:rPr>
              <w:t>Yes, blocking</w:t>
            </w:r>
          </w:p>
        </w:tc>
      </w:tr>
      <w:tr w:rsidR="007A56DE" w:rsidRPr="007A56DE" w:rsidTr="00191A73">
        <w:trPr>
          <w:trHeight w:val="410"/>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BMET</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VOLU</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7A56DE" w:rsidRPr="007A56DE" w:rsidRDefault="007A56DE" w:rsidP="007A56DE">
            <w:pPr>
              <w:spacing w:before="60" w:after="60" w:line="240" w:lineRule="auto"/>
              <w:rPr>
                <w:rFonts w:ascii="Arial" w:eastAsia="Times New Roman" w:hAnsi="Arial" w:cs="Sendnya"/>
                <w:sz w:val="16"/>
                <w:szCs w:val="16"/>
                <w:lang w:eastAsia="en-GB"/>
              </w:rPr>
            </w:pPr>
            <w:r w:rsidRPr="007A56DE">
              <w:rPr>
                <w:rFonts w:ascii="Arial" w:eastAsia="Times New Roman" w:hAnsi="Arial" w:cs="Sendnya"/>
                <w:sz w:val="16"/>
                <w:szCs w:val="16"/>
                <w:lang w:eastAsia="en-GB"/>
              </w:rPr>
              <w:t>If RD is in the past, no blocking. If RD in the future, blocking until RD. If no RD, blocking</w:t>
            </w:r>
          </w:p>
        </w:tc>
      </w:tr>
      <w:tr w:rsidR="007A56DE" w:rsidRPr="007A56DE" w:rsidTr="00191A73">
        <w:trPr>
          <w:trHeight w:val="205"/>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BPUT</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VOLU</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7A56DE" w:rsidRPr="007A56DE" w:rsidRDefault="007A56DE" w:rsidP="007A56DE">
            <w:pPr>
              <w:spacing w:before="60" w:after="60" w:line="240" w:lineRule="auto"/>
              <w:rPr>
                <w:rFonts w:ascii="Arial" w:eastAsia="Times New Roman" w:hAnsi="Arial" w:cs="Sendnya"/>
                <w:sz w:val="16"/>
                <w:szCs w:val="16"/>
                <w:lang w:eastAsia="en-GB"/>
              </w:rPr>
            </w:pPr>
            <w:r w:rsidRPr="007A56DE">
              <w:rPr>
                <w:rFonts w:ascii="Arial" w:eastAsia="Times New Roman" w:hAnsi="Arial" w:cs="Sendnya"/>
                <w:sz w:val="16"/>
                <w:szCs w:val="16"/>
                <w:lang w:eastAsia="en-GB"/>
              </w:rPr>
              <w:t>Yes, blocking</w:t>
            </w:r>
          </w:p>
        </w:tc>
      </w:tr>
      <w:tr w:rsidR="007A56DE" w:rsidRPr="007A56DE" w:rsidTr="00191A73">
        <w:trPr>
          <w:trHeight w:val="205"/>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CERT</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CHOS</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7A56DE" w:rsidRPr="007A56DE" w:rsidRDefault="007A56DE" w:rsidP="007A56DE">
            <w:pPr>
              <w:spacing w:before="60" w:after="60" w:line="240" w:lineRule="auto"/>
              <w:rPr>
                <w:rFonts w:ascii="Arial" w:eastAsia="Times New Roman" w:hAnsi="Arial" w:cs="Sendnya"/>
                <w:sz w:val="16"/>
                <w:szCs w:val="16"/>
                <w:lang w:eastAsia="en-GB"/>
              </w:rPr>
            </w:pPr>
            <w:r w:rsidRPr="007A56DE">
              <w:rPr>
                <w:rFonts w:ascii="Arial" w:eastAsia="Times New Roman" w:hAnsi="Arial" w:cs="Sendnya"/>
                <w:sz w:val="16"/>
                <w:szCs w:val="16"/>
                <w:lang w:eastAsia="en-GB"/>
              </w:rPr>
              <w:t> Yes, blocking</w:t>
            </w:r>
          </w:p>
        </w:tc>
      </w:tr>
      <w:tr w:rsidR="007A56DE" w:rsidRPr="007A56DE" w:rsidTr="00191A73">
        <w:trPr>
          <w:trHeight w:val="410"/>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CMET</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VOLU</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7A56DE" w:rsidRPr="007A56DE" w:rsidRDefault="007A56DE" w:rsidP="007A56DE">
            <w:pPr>
              <w:spacing w:before="60" w:after="60" w:line="240" w:lineRule="auto"/>
              <w:rPr>
                <w:rFonts w:ascii="Arial" w:eastAsia="Times New Roman" w:hAnsi="Arial" w:cs="Sendnya"/>
                <w:sz w:val="16"/>
                <w:szCs w:val="16"/>
                <w:lang w:eastAsia="en-GB"/>
              </w:rPr>
            </w:pPr>
            <w:r w:rsidRPr="007A56DE">
              <w:rPr>
                <w:rFonts w:ascii="Arial" w:eastAsia="Times New Roman" w:hAnsi="Arial" w:cs="Sendnya"/>
                <w:sz w:val="16"/>
                <w:szCs w:val="16"/>
                <w:lang w:eastAsia="en-GB"/>
              </w:rPr>
              <w:t>If RD is in the past, no blocking. If RD in the future, blocking until RD. If no RD, blocking</w:t>
            </w:r>
          </w:p>
        </w:tc>
      </w:tr>
      <w:tr w:rsidR="007A56DE" w:rsidRPr="007A56DE" w:rsidTr="00191A73">
        <w:trPr>
          <w:trHeight w:val="410"/>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CONS</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VOLU</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7A56DE" w:rsidRPr="007A56DE" w:rsidRDefault="007A56DE" w:rsidP="007A56DE">
            <w:pPr>
              <w:spacing w:before="60" w:after="60" w:line="240" w:lineRule="auto"/>
              <w:rPr>
                <w:rFonts w:ascii="Arial" w:eastAsia="Times New Roman" w:hAnsi="Arial" w:cs="Sendnya"/>
                <w:sz w:val="16"/>
                <w:szCs w:val="16"/>
                <w:lang w:eastAsia="en-GB"/>
              </w:rPr>
            </w:pPr>
            <w:r w:rsidRPr="007A56DE">
              <w:rPr>
                <w:rFonts w:ascii="Arial" w:eastAsia="Times New Roman" w:hAnsi="Arial" w:cs="Sendnya"/>
                <w:sz w:val="16"/>
                <w:szCs w:val="16"/>
                <w:lang w:eastAsia="en-GB"/>
              </w:rPr>
              <w:t>If RD is in the past, no blocking. If RD in the future, blocking until RD. If no RD, blocking</w:t>
            </w:r>
          </w:p>
        </w:tc>
      </w:tr>
      <w:tr w:rsidR="007A56DE" w:rsidRPr="007A56DE" w:rsidTr="00191A73">
        <w:trPr>
          <w:trHeight w:val="205"/>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DSCL</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VOLU</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7A56DE" w:rsidRPr="007A56DE" w:rsidRDefault="007A56DE" w:rsidP="007A56DE">
            <w:pPr>
              <w:spacing w:before="60" w:after="60" w:line="240" w:lineRule="auto"/>
              <w:rPr>
                <w:rFonts w:ascii="Arial" w:eastAsia="Times New Roman" w:hAnsi="Arial" w:cs="Sendnya"/>
                <w:sz w:val="16"/>
                <w:szCs w:val="16"/>
                <w:lang w:eastAsia="en-GB"/>
              </w:rPr>
            </w:pPr>
            <w:r w:rsidRPr="007A56DE">
              <w:rPr>
                <w:rFonts w:ascii="Arial" w:eastAsia="Times New Roman" w:hAnsi="Arial" w:cs="Sendnya"/>
                <w:sz w:val="16"/>
                <w:szCs w:val="16"/>
                <w:lang w:eastAsia="en-GB"/>
              </w:rPr>
              <w:t>If RD is in the past, no blocking. If RD in the future, blocking until RD. If no RD, blocking</w:t>
            </w:r>
          </w:p>
        </w:tc>
      </w:tr>
      <w:tr w:rsidR="007A56DE" w:rsidRPr="007A56DE" w:rsidTr="00191A73">
        <w:trPr>
          <w:trHeight w:val="205"/>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DTCH</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VOLU</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7A56DE" w:rsidRPr="007A56DE" w:rsidRDefault="007A56DE" w:rsidP="007A56DE">
            <w:pPr>
              <w:spacing w:before="60" w:after="60" w:line="240" w:lineRule="auto"/>
              <w:rPr>
                <w:rFonts w:ascii="Arial" w:eastAsia="Times New Roman" w:hAnsi="Arial" w:cs="Sendnya"/>
                <w:sz w:val="16"/>
                <w:szCs w:val="16"/>
                <w:lang w:eastAsia="en-GB"/>
              </w:rPr>
            </w:pPr>
            <w:r w:rsidRPr="007A56DE">
              <w:rPr>
                <w:rFonts w:ascii="Arial" w:eastAsia="Times New Roman" w:hAnsi="Arial" w:cs="Sendnya"/>
                <w:sz w:val="16"/>
                <w:szCs w:val="16"/>
                <w:lang w:eastAsia="en-GB"/>
              </w:rPr>
              <w:t>Yes, blocking</w:t>
            </w:r>
          </w:p>
        </w:tc>
      </w:tr>
      <w:tr w:rsidR="007A56DE" w:rsidRPr="007A56DE" w:rsidTr="00191A73">
        <w:trPr>
          <w:trHeight w:val="205"/>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EXOF</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VOLU</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7A56DE" w:rsidRPr="007A56DE" w:rsidRDefault="007A56DE" w:rsidP="007A56DE">
            <w:pPr>
              <w:spacing w:before="60" w:after="60" w:line="240" w:lineRule="auto"/>
              <w:rPr>
                <w:rFonts w:ascii="Arial" w:eastAsia="Times New Roman" w:hAnsi="Arial" w:cs="Sendnya"/>
                <w:sz w:val="16"/>
                <w:szCs w:val="16"/>
                <w:lang w:eastAsia="en-GB"/>
              </w:rPr>
            </w:pPr>
            <w:r w:rsidRPr="007A56DE">
              <w:rPr>
                <w:rFonts w:ascii="Arial" w:eastAsia="Times New Roman" w:hAnsi="Arial" w:cs="Sendnya"/>
                <w:sz w:val="16"/>
                <w:szCs w:val="16"/>
                <w:lang w:eastAsia="en-GB"/>
              </w:rPr>
              <w:t>Yes, blocking</w:t>
            </w:r>
          </w:p>
        </w:tc>
      </w:tr>
      <w:tr w:rsidR="007A56DE" w:rsidRPr="007A56DE" w:rsidTr="00191A73">
        <w:trPr>
          <w:trHeight w:val="205"/>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EXOF</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CHOS</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7A56DE" w:rsidRPr="007A56DE" w:rsidRDefault="007A56DE" w:rsidP="007A56DE">
            <w:pPr>
              <w:spacing w:before="60" w:after="60" w:line="240" w:lineRule="auto"/>
              <w:rPr>
                <w:rFonts w:ascii="Arial" w:eastAsia="Times New Roman" w:hAnsi="Arial" w:cs="Sendnya"/>
                <w:sz w:val="16"/>
                <w:szCs w:val="16"/>
                <w:lang w:eastAsia="en-GB"/>
              </w:rPr>
            </w:pPr>
            <w:r w:rsidRPr="007A56DE">
              <w:rPr>
                <w:rFonts w:ascii="Arial" w:eastAsia="Times New Roman" w:hAnsi="Arial" w:cs="Sendnya"/>
                <w:sz w:val="16"/>
                <w:szCs w:val="16"/>
                <w:lang w:eastAsia="en-GB"/>
              </w:rPr>
              <w:t>Yes, blocking</w:t>
            </w:r>
          </w:p>
        </w:tc>
      </w:tr>
      <w:tr w:rsidR="007A56DE" w:rsidRPr="007A56DE" w:rsidTr="00191A73">
        <w:trPr>
          <w:trHeight w:val="205"/>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EXTM</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CHOS</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7A56DE" w:rsidRPr="007A56DE" w:rsidRDefault="007A56DE" w:rsidP="007A56DE">
            <w:pPr>
              <w:spacing w:before="60" w:after="60" w:line="240" w:lineRule="auto"/>
              <w:rPr>
                <w:rFonts w:ascii="Arial" w:eastAsia="Times New Roman" w:hAnsi="Arial" w:cs="Sendnya"/>
                <w:sz w:val="16"/>
                <w:szCs w:val="16"/>
                <w:lang w:eastAsia="en-GB"/>
              </w:rPr>
            </w:pPr>
            <w:r w:rsidRPr="007A56DE">
              <w:rPr>
                <w:rFonts w:ascii="Arial" w:eastAsia="Times New Roman" w:hAnsi="Arial" w:cs="Sendnya"/>
                <w:sz w:val="16"/>
                <w:szCs w:val="16"/>
                <w:lang w:eastAsia="en-GB"/>
              </w:rPr>
              <w:t>Yes, blocking</w:t>
            </w:r>
          </w:p>
        </w:tc>
      </w:tr>
      <w:tr w:rsidR="007A56DE" w:rsidRPr="007A56DE" w:rsidTr="00191A73">
        <w:trPr>
          <w:trHeight w:val="205"/>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INTR</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CHOS</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7A56DE" w:rsidRPr="007A56DE" w:rsidRDefault="007A56DE" w:rsidP="007A56DE">
            <w:pPr>
              <w:spacing w:before="60" w:after="60" w:line="240" w:lineRule="auto"/>
              <w:rPr>
                <w:rFonts w:ascii="Arial" w:eastAsia="Times New Roman" w:hAnsi="Arial" w:cs="Sendnya"/>
                <w:sz w:val="16"/>
                <w:szCs w:val="16"/>
                <w:lang w:eastAsia="en-GB"/>
              </w:rPr>
            </w:pPr>
            <w:r w:rsidRPr="007A56DE">
              <w:rPr>
                <w:rFonts w:ascii="Arial" w:eastAsia="Times New Roman" w:hAnsi="Arial" w:cs="Sendnya"/>
                <w:sz w:val="16"/>
                <w:szCs w:val="16"/>
                <w:lang w:eastAsia="en-GB"/>
              </w:rPr>
              <w:t>Yes, blocking</w:t>
            </w:r>
          </w:p>
        </w:tc>
      </w:tr>
      <w:tr w:rsidR="007A56DE" w:rsidRPr="007A56DE" w:rsidTr="00191A73">
        <w:trPr>
          <w:trHeight w:val="205"/>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LIQU</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CHOS</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7A56DE" w:rsidRPr="007A56DE" w:rsidRDefault="007A56DE" w:rsidP="007A56DE">
            <w:pPr>
              <w:spacing w:before="60" w:after="60" w:line="240" w:lineRule="auto"/>
              <w:rPr>
                <w:rFonts w:ascii="Arial" w:eastAsia="Times New Roman" w:hAnsi="Arial" w:cs="Sendnya"/>
                <w:sz w:val="16"/>
                <w:szCs w:val="16"/>
                <w:lang w:eastAsia="en-GB"/>
              </w:rPr>
            </w:pPr>
            <w:r w:rsidRPr="007A56DE">
              <w:rPr>
                <w:rFonts w:ascii="Arial" w:eastAsia="Times New Roman" w:hAnsi="Arial" w:cs="Sendnya"/>
                <w:sz w:val="16"/>
                <w:szCs w:val="16"/>
                <w:lang w:eastAsia="en-GB"/>
              </w:rPr>
              <w:t>Yes, blocking</w:t>
            </w:r>
          </w:p>
        </w:tc>
      </w:tr>
      <w:tr w:rsidR="007A56DE" w:rsidRPr="007A56DE" w:rsidTr="00191A73">
        <w:trPr>
          <w:trHeight w:val="205"/>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MCAL</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CHOS</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7A56DE" w:rsidRPr="007A56DE" w:rsidRDefault="007A56DE" w:rsidP="007A56DE">
            <w:pPr>
              <w:spacing w:before="60" w:after="60" w:line="240" w:lineRule="auto"/>
              <w:rPr>
                <w:rFonts w:ascii="Arial" w:eastAsia="Times New Roman" w:hAnsi="Arial" w:cs="Sendnya"/>
                <w:sz w:val="16"/>
                <w:szCs w:val="16"/>
                <w:lang w:eastAsia="en-GB"/>
              </w:rPr>
            </w:pPr>
            <w:r w:rsidRPr="007A56DE">
              <w:rPr>
                <w:rFonts w:ascii="Arial" w:eastAsia="Times New Roman" w:hAnsi="Arial" w:cs="Sendnya"/>
                <w:sz w:val="16"/>
                <w:szCs w:val="16"/>
                <w:lang w:eastAsia="en-GB"/>
              </w:rPr>
              <w:t>Yes, blocking</w:t>
            </w:r>
          </w:p>
        </w:tc>
      </w:tr>
      <w:tr w:rsidR="007A56DE" w:rsidRPr="007A56DE" w:rsidTr="00191A73">
        <w:trPr>
          <w:trHeight w:val="410"/>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MEET</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VOLU</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7A56DE" w:rsidRPr="007A56DE" w:rsidRDefault="007A56DE" w:rsidP="007A56DE">
            <w:pPr>
              <w:spacing w:before="60" w:after="60" w:line="240" w:lineRule="auto"/>
              <w:rPr>
                <w:rFonts w:ascii="Arial" w:eastAsia="Times New Roman" w:hAnsi="Arial" w:cs="Sendnya"/>
                <w:sz w:val="16"/>
                <w:szCs w:val="16"/>
                <w:lang w:eastAsia="en-GB"/>
              </w:rPr>
            </w:pPr>
            <w:r w:rsidRPr="007A56DE">
              <w:rPr>
                <w:rFonts w:ascii="Arial" w:eastAsia="Times New Roman" w:hAnsi="Arial" w:cs="Sendnya"/>
                <w:sz w:val="16"/>
                <w:szCs w:val="16"/>
                <w:lang w:eastAsia="en-GB"/>
              </w:rPr>
              <w:t>If RD is in the past, no blocking. If RD in the future, blocking until RD. If no RD, blocking</w:t>
            </w:r>
          </w:p>
        </w:tc>
      </w:tr>
      <w:tr w:rsidR="007A56DE" w:rsidRPr="007A56DE" w:rsidTr="00191A73">
        <w:trPr>
          <w:trHeight w:val="410"/>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MRGR</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CHOS</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7A56DE" w:rsidRPr="007A56DE" w:rsidRDefault="007A56DE" w:rsidP="007A56DE">
            <w:pPr>
              <w:spacing w:before="60" w:after="60" w:line="240" w:lineRule="auto"/>
              <w:rPr>
                <w:rFonts w:ascii="Arial" w:eastAsia="Times New Roman" w:hAnsi="Arial" w:cs="Sendnya"/>
                <w:sz w:val="16"/>
                <w:szCs w:val="16"/>
                <w:lang w:eastAsia="en-GB"/>
              </w:rPr>
            </w:pPr>
            <w:r w:rsidRPr="007A56DE">
              <w:rPr>
                <w:rFonts w:ascii="Arial" w:eastAsia="Times New Roman" w:hAnsi="Arial" w:cs="Sendnya"/>
                <w:sz w:val="16"/>
                <w:szCs w:val="16"/>
                <w:lang w:eastAsia="en-GB"/>
              </w:rPr>
              <w:t>No RD =&gt; blocking</w:t>
            </w:r>
          </w:p>
        </w:tc>
      </w:tr>
      <w:tr w:rsidR="007A56DE" w:rsidRPr="007A56DE" w:rsidTr="00191A73">
        <w:trPr>
          <w:trHeight w:val="410"/>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OMET</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VOLU</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7A56DE" w:rsidRPr="007A56DE" w:rsidRDefault="007A56DE" w:rsidP="007A56DE">
            <w:pPr>
              <w:spacing w:before="60" w:after="60" w:line="240" w:lineRule="auto"/>
              <w:rPr>
                <w:rFonts w:ascii="Arial" w:eastAsia="Times New Roman" w:hAnsi="Arial" w:cs="Sendnya"/>
                <w:sz w:val="16"/>
                <w:szCs w:val="16"/>
                <w:lang w:eastAsia="en-GB"/>
              </w:rPr>
            </w:pPr>
            <w:r w:rsidRPr="007A56DE">
              <w:rPr>
                <w:rFonts w:ascii="Arial" w:eastAsia="Times New Roman" w:hAnsi="Arial" w:cs="Sendnya"/>
                <w:sz w:val="16"/>
                <w:szCs w:val="16"/>
                <w:lang w:eastAsia="en-GB"/>
              </w:rPr>
              <w:t>If RD is in the past, no blocking. If RD in the future, blocking until RD. If no RD, blocking</w:t>
            </w:r>
          </w:p>
        </w:tc>
      </w:tr>
      <w:tr w:rsidR="007A56DE" w:rsidRPr="007A56DE" w:rsidTr="00191A73">
        <w:trPr>
          <w:trHeight w:val="410"/>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OTHR</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CHOS</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7A56DE" w:rsidRPr="007A56DE" w:rsidRDefault="007A56DE" w:rsidP="007A56DE">
            <w:pPr>
              <w:spacing w:before="60" w:after="60" w:line="240" w:lineRule="auto"/>
              <w:rPr>
                <w:rFonts w:ascii="Arial" w:eastAsia="Times New Roman" w:hAnsi="Arial" w:cs="Sendnya"/>
                <w:sz w:val="16"/>
                <w:szCs w:val="16"/>
                <w:lang w:eastAsia="en-GB"/>
              </w:rPr>
            </w:pPr>
            <w:r w:rsidRPr="007A56DE">
              <w:rPr>
                <w:rFonts w:ascii="Arial" w:eastAsia="Times New Roman" w:hAnsi="Arial" w:cs="Sendnya"/>
                <w:sz w:val="16"/>
                <w:szCs w:val="16"/>
                <w:lang w:eastAsia="en-GB"/>
              </w:rPr>
              <w:t>If RD is in the past, no blocking. If RD in the future, blocking until RD. If no RD, blocking</w:t>
            </w:r>
          </w:p>
        </w:tc>
      </w:tr>
      <w:tr w:rsidR="007A56DE" w:rsidRPr="007A56DE" w:rsidTr="00191A73">
        <w:trPr>
          <w:trHeight w:val="410"/>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OTHR</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VOLU</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7A56DE" w:rsidRPr="007A56DE" w:rsidRDefault="007A56DE" w:rsidP="007A56DE">
            <w:pPr>
              <w:spacing w:before="60" w:after="60" w:line="240" w:lineRule="auto"/>
              <w:rPr>
                <w:rFonts w:ascii="Arial" w:eastAsia="Times New Roman" w:hAnsi="Arial" w:cs="Sendnya"/>
                <w:sz w:val="16"/>
                <w:szCs w:val="16"/>
                <w:lang w:eastAsia="en-GB"/>
              </w:rPr>
            </w:pPr>
            <w:r w:rsidRPr="007A56DE">
              <w:rPr>
                <w:rFonts w:ascii="Arial" w:eastAsia="Times New Roman" w:hAnsi="Arial" w:cs="Sendnya"/>
                <w:sz w:val="16"/>
                <w:szCs w:val="16"/>
                <w:lang w:eastAsia="en-GB"/>
              </w:rPr>
              <w:t>If RD is in the past, no blocking. If RD in the future, blocking until RD. If no RD, blocking</w:t>
            </w:r>
          </w:p>
        </w:tc>
      </w:tr>
      <w:tr w:rsidR="007A56DE" w:rsidRPr="007A56DE" w:rsidTr="00191A73">
        <w:trPr>
          <w:trHeight w:val="205"/>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REDM</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CHOS</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7A56DE" w:rsidRPr="007A56DE" w:rsidRDefault="007A56DE" w:rsidP="007A56DE">
            <w:pPr>
              <w:spacing w:before="60" w:after="60" w:line="240" w:lineRule="auto"/>
              <w:rPr>
                <w:rFonts w:ascii="Arial" w:eastAsia="Times New Roman" w:hAnsi="Arial" w:cs="Sendnya"/>
                <w:sz w:val="16"/>
                <w:szCs w:val="16"/>
                <w:lang w:eastAsia="en-GB"/>
              </w:rPr>
            </w:pPr>
            <w:r w:rsidRPr="007A56DE">
              <w:rPr>
                <w:rFonts w:ascii="Arial" w:eastAsia="Times New Roman" w:hAnsi="Arial" w:cs="Sendnya"/>
                <w:sz w:val="16"/>
                <w:szCs w:val="16"/>
                <w:lang w:eastAsia="en-GB"/>
              </w:rPr>
              <w:t>Yes, blocking</w:t>
            </w:r>
          </w:p>
        </w:tc>
      </w:tr>
      <w:tr w:rsidR="007A56DE" w:rsidRPr="007A56DE" w:rsidTr="00191A73">
        <w:trPr>
          <w:trHeight w:val="205"/>
        </w:trPr>
        <w:tc>
          <w:tcPr>
            <w:tcW w:w="575" w:type="pct"/>
            <w:tcBorders>
              <w:top w:val="nil"/>
              <w:left w:val="nil"/>
              <w:bottom w:val="single" w:sz="8" w:space="0" w:color="16365C"/>
              <w:right w:val="nil"/>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TEND</w:t>
            </w:r>
          </w:p>
        </w:tc>
        <w:tc>
          <w:tcPr>
            <w:tcW w:w="667" w:type="pct"/>
            <w:tcBorders>
              <w:top w:val="nil"/>
              <w:left w:val="single" w:sz="8" w:space="0" w:color="16365C"/>
              <w:bottom w:val="single" w:sz="8" w:space="0" w:color="16365C"/>
              <w:right w:val="single" w:sz="8" w:space="0" w:color="16365C"/>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VOLU</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7A56DE" w:rsidRPr="007A56DE" w:rsidRDefault="007A56DE" w:rsidP="007A56DE">
            <w:pPr>
              <w:spacing w:before="60" w:after="60" w:line="240" w:lineRule="auto"/>
              <w:rPr>
                <w:rFonts w:ascii="Arial" w:eastAsia="Times New Roman" w:hAnsi="Arial" w:cs="Sendnya"/>
                <w:sz w:val="16"/>
                <w:szCs w:val="16"/>
                <w:lang w:eastAsia="en-GB"/>
              </w:rPr>
            </w:pPr>
            <w:r w:rsidRPr="007A56DE">
              <w:rPr>
                <w:rFonts w:ascii="Arial" w:eastAsia="Times New Roman" w:hAnsi="Arial" w:cs="Sendnya"/>
                <w:sz w:val="16"/>
                <w:szCs w:val="16"/>
                <w:lang w:eastAsia="en-GB"/>
              </w:rPr>
              <w:t>Yes, blocking</w:t>
            </w:r>
          </w:p>
        </w:tc>
      </w:tr>
      <w:tr w:rsidR="007A56DE" w:rsidRPr="007A56DE" w:rsidTr="00191A73">
        <w:trPr>
          <w:trHeight w:val="410"/>
        </w:trPr>
        <w:tc>
          <w:tcPr>
            <w:tcW w:w="575" w:type="pct"/>
            <w:tcBorders>
              <w:top w:val="nil"/>
              <w:left w:val="nil"/>
              <w:bottom w:val="single" w:sz="8" w:space="0" w:color="auto"/>
              <w:right w:val="nil"/>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XMET</w:t>
            </w:r>
          </w:p>
        </w:tc>
        <w:tc>
          <w:tcPr>
            <w:tcW w:w="667" w:type="pct"/>
            <w:tcBorders>
              <w:top w:val="nil"/>
              <w:left w:val="single" w:sz="8" w:space="0" w:color="16365C"/>
              <w:bottom w:val="single" w:sz="8" w:space="0" w:color="auto"/>
              <w:right w:val="single" w:sz="8" w:space="0" w:color="16365C"/>
            </w:tcBorders>
            <w:tcMar>
              <w:top w:w="0" w:type="dxa"/>
              <w:left w:w="108" w:type="dxa"/>
              <w:bottom w:w="0" w:type="dxa"/>
              <w:right w:w="108" w:type="dxa"/>
            </w:tcMar>
            <w:vAlign w:val="center"/>
            <w:hideMark/>
          </w:tcPr>
          <w:p w:rsidR="007A56DE" w:rsidRPr="007A56DE" w:rsidRDefault="007A56DE" w:rsidP="007A56DE">
            <w:pPr>
              <w:spacing w:before="60" w:after="60" w:line="240" w:lineRule="auto"/>
              <w:rPr>
                <w:rFonts w:ascii="Arial" w:eastAsia="Times New Roman" w:hAnsi="Arial" w:cs="Sendnya"/>
                <w:b/>
                <w:bCs/>
                <w:sz w:val="16"/>
                <w:szCs w:val="16"/>
                <w:lang w:eastAsia="en-GB"/>
              </w:rPr>
            </w:pPr>
            <w:r w:rsidRPr="007A56DE">
              <w:rPr>
                <w:rFonts w:ascii="Arial" w:eastAsia="Times New Roman" w:hAnsi="Arial" w:cs="Sendnya"/>
                <w:b/>
                <w:bCs/>
                <w:sz w:val="16"/>
                <w:szCs w:val="16"/>
                <w:lang w:eastAsia="en-GB"/>
              </w:rPr>
              <w:t>VOLU</w:t>
            </w:r>
          </w:p>
        </w:tc>
        <w:tc>
          <w:tcPr>
            <w:tcW w:w="3758" w:type="pct"/>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7A56DE" w:rsidRPr="007A56DE" w:rsidRDefault="007A56DE" w:rsidP="007A56DE">
            <w:pPr>
              <w:spacing w:before="60" w:after="60" w:line="240" w:lineRule="auto"/>
              <w:rPr>
                <w:rFonts w:ascii="Arial" w:eastAsia="Times New Roman" w:hAnsi="Arial" w:cs="Sendnya"/>
                <w:sz w:val="16"/>
                <w:szCs w:val="16"/>
                <w:lang w:eastAsia="en-GB"/>
              </w:rPr>
            </w:pPr>
            <w:r w:rsidRPr="007A56DE">
              <w:rPr>
                <w:rFonts w:ascii="Arial" w:eastAsia="Times New Roman" w:hAnsi="Arial" w:cs="Sendnya"/>
                <w:sz w:val="16"/>
                <w:szCs w:val="16"/>
                <w:lang w:eastAsia="en-GB"/>
              </w:rPr>
              <w:t>If RD is in the past, no blocking. If RD in the future, blocking until RD. If no RD, blocking</w:t>
            </w:r>
          </w:p>
        </w:tc>
      </w:tr>
    </w:tbl>
    <w:p w:rsidR="007A56DE" w:rsidRPr="007A56DE" w:rsidRDefault="007A56DE" w:rsidP="007A56DE">
      <w:pPr>
        <w:numPr>
          <w:ilvl w:val="0"/>
          <w:numId w:val="32"/>
        </w:numPr>
        <w:spacing w:before="60" w:after="60" w:line="340" w:lineRule="atLeast"/>
        <w:contextualSpacing/>
        <w:rPr>
          <w:rFonts w:ascii="Arial" w:eastAsia="Times New Roman" w:hAnsi="Arial" w:cs="Sendnya"/>
          <w:sz w:val="20"/>
          <w:lang w:eastAsia="en-GB"/>
        </w:rPr>
      </w:pPr>
      <w:r w:rsidRPr="007A56DE">
        <w:rPr>
          <w:rFonts w:ascii="Arial" w:eastAsia="Times New Roman" w:hAnsi="Arial" w:cs="Sendnya"/>
          <w:b/>
          <w:i/>
          <w:sz w:val="20"/>
          <w:lang w:eastAsia="en-GB"/>
        </w:rPr>
        <w:t>There should be a single set of messages for blocking.</w:t>
      </w:r>
      <w:r w:rsidRPr="007A56DE">
        <w:rPr>
          <w:rFonts w:ascii="Arial" w:eastAsia="Times New Roman" w:hAnsi="Arial" w:cs="Sendnya"/>
          <w:sz w:val="20"/>
          <w:lang w:eastAsia="en-GB"/>
        </w:rPr>
        <w:t xml:space="preserve"> For those CA events that may be subject to blocking, messages are sent in an automated way by the account service provider to confirm the blocking and unblocking (see table).  </w:t>
      </w:r>
    </w:p>
    <w:p w:rsidR="007A56DE" w:rsidRPr="007A56DE" w:rsidRDefault="007A56DE" w:rsidP="007A56DE">
      <w:pPr>
        <w:spacing w:before="60" w:after="60" w:line="340" w:lineRule="atLeast"/>
        <w:ind w:left="360"/>
        <w:contextualSpacing/>
        <w:rPr>
          <w:rFonts w:ascii="Arial" w:eastAsia="Times New Roman" w:hAnsi="Arial" w:cs="Sendnya"/>
          <w:sz w:val="20"/>
          <w:lang w:eastAsia="en-GB"/>
        </w:rPr>
      </w:pPr>
      <w:r w:rsidRPr="007A56DE">
        <w:rPr>
          <w:rFonts w:ascii="Arial" w:eastAsia="Times New Roman" w:hAnsi="Arial" w:cs="Sendnya"/>
          <w:sz w:val="20"/>
          <w:lang w:eastAsia="en-GB"/>
        </w:rPr>
        <w:t xml:space="preserve"> </w:t>
      </w:r>
    </w:p>
    <w:p w:rsidR="007A56DE" w:rsidRPr="007A56DE" w:rsidRDefault="007A56DE" w:rsidP="007A56DE">
      <w:pPr>
        <w:numPr>
          <w:ilvl w:val="0"/>
          <w:numId w:val="32"/>
        </w:numPr>
        <w:spacing w:before="60" w:after="60" w:line="340" w:lineRule="atLeast"/>
        <w:contextualSpacing/>
        <w:rPr>
          <w:rFonts w:ascii="Arial" w:eastAsia="Times New Roman" w:hAnsi="Arial" w:cs="Sendnya"/>
          <w:b/>
          <w:sz w:val="20"/>
          <w:lang w:eastAsia="en-GB"/>
        </w:rPr>
      </w:pPr>
      <w:r w:rsidRPr="007A56DE">
        <w:rPr>
          <w:rFonts w:ascii="Arial" w:eastAsia="Times New Roman" w:hAnsi="Arial" w:cs="Sendnya"/>
          <w:b/>
          <w:sz w:val="20"/>
          <w:lang w:eastAsia="en-GB"/>
        </w:rPr>
        <w:t xml:space="preserve">Reporting/notifications of the blocking </w:t>
      </w:r>
      <w:proofErr w:type="gramStart"/>
      <w:r w:rsidRPr="007A56DE">
        <w:rPr>
          <w:rFonts w:ascii="Arial" w:eastAsia="Times New Roman" w:hAnsi="Arial" w:cs="Sendnya"/>
          <w:b/>
          <w:sz w:val="20"/>
          <w:lang w:eastAsia="en-GB"/>
        </w:rPr>
        <w:t>is</w:t>
      </w:r>
      <w:proofErr w:type="gramEnd"/>
      <w:r w:rsidRPr="007A56DE">
        <w:rPr>
          <w:rFonts w:ascii="Arial" w:eastAsia="Times New Roman" w:hAnsi="Arial" w:cs="Sendnya"/>
          <w:b/>
          <w:sz w:val="20"/>
          <w:lang w:eastAsia="en-GB"/>
        </w:rPr>
        <w:t xml:space="preserve"> done via settlement messages in T2S markets </w:t>
      </w:r>
      <w:r w:rsidRPr="007A56DE">
        <w:rPr>
          <w:rFonts w:ascii="Arial" w:eastAsia="Times New Roman" w:hAnsi="Arial" w:cs="Sendnya"/>
          <w:sz w:val="20"/>
          <w:lang w:eastAsia="en-GB"/>
        </w:rPr>
        <w:t>i.e. the settlement message indicates that it has been transferred to a restricted account. The blocking of the security may also be reported in the CA notification message</w:t>
      </w:r>
    </w:p>
    <w:p w:rsidR="007A56DE" w:rsidRPr="007A56DE" w:rsidRDefault="007A56DE" w:rsidP="007A56DE">
      <w:pPr>
        <w:spacing w:before="60" w:after="60" w:line="340" w:lineRule="atLeast"/>
        <w:ind w:left="360"/>
        <w:contextualSpacing/>
        <w:rPr>
          <w:rFonts w:ascii="Arial" w:eastAsia="Times New Roman" w:hAnsi="Arial" w:cs="Sendnya"/>
          <w:b/>
          <w:sz w:val="20"/>
          <w:lang w:eastAsia="en-GB"/>
        </w:rPr>
      </w:pPr>
    </w:p>
    <w:tbl>
      <w:tblPr>
        <w:tblStyle w:val="TableGrid"/>
        <w:tblW w:w="4610" w:type="pct"/>
        <w:tblInd w:w="534" w:type="dxa"/>
        <w:tblLook w:val="04A0" w:firstRow="1" w:lastRow="0" w:firstColumn="1" w:lastColumn="0" w:noHBand="0" w:noVBand="1"/>
      </w:tblPr>
      <w:tblGrid>
        <w:gridCol w:w="1643"/>
        <w:gridCol w:w="1505"/>
        <w:gridCol w:w="5373"/>
      </w:tblGrid>
      <w:tr w:rsidR="007A56DE" w:rsidRPr="007A56DE" w:rsidTr="00191A73">
        <w:trPr>
          <w:trHeight w:val="428"/>
        </w:trPr>
        <w:tc>
          <w:tcPr>
            <w:tcW w:w="964" w:type="pct"/>
            <w:shd w:val="clear" w:color="auto" w:fill="365F91" w:themeFill="accent1" w:themeFillShade="BF"/>
          </w:tcPr>
          <w:p w:rsidR="007A56DE" w:rsidRPr="007A56DE" w:rsidRDefault="007A56DE" w:rsidP="007A56DE">
            <w:pPr>
              <w:spacing w:before="60" w:after="60"/>
              <w:rPr>
                <w:rFonts w:ascii="Arial" w:hAnsi="Arial" w:cs="Sendnya"/>
                <w:b/>
                <w:bCs/>
                <w:color w:val="FFFFFF" w:themeColor="background1"/>
                <w:sz w:val="16"/>
                <w:szCs w:val="16"/>
              </w:rPr>
            </w:pPr>
            <w:r w:rsidRPr="007A56DE">
              <w:rPr>
                <w:rFonts w:ascii="Arial" w:hAnsi="Arial" w:cs="Sendnya"/>
                <w:b/>
                <w:bCs/>
                <w:color w:val="FFFFFF" w:themeColor="background1"/>
                <w:sz w:val="16"/>
                <w:szCs w:val="16"/>
              </w:rPr>
              <w:lastRenderedPageBreak/>
              <w:t xml:space="preserve">ISO 15022 Message Type </w:t>
            </w:r>
          </w:p>
        </w:tc>
        <w:tc>
          <w:tcPr>
            <w:tcW w:w="883" w:type="pct"/>
            <w:shd w:val="clear" w:color="auto" w:fill="365F91" w:themeFill="accent1" w:themeFillShade="BF"/>
          </w:tcPr>
          <w:p w:rsidR="007A56DE" w:rsidRPr="007A56DE" w:rsidRDefault="007A56DE" w:rsidP="007A56DE">
            <w:pPr>
              <w:spacing w:before="60" w:after="60"/>
              <w:rPr>
                <w:rFonts w:ascii="Arial" w:hAnsi="Arial" w:cs="Sendnya"/>
                <w:b/>
                <w:bCs/>
                <w:color w:val="FFFFFF" w:themeColor="background1"/>
                <w:sz w:val="16"/>
                <w:szCs w:val="16"/>
              </w:rPr>
            </w:pPr>
            <w:r w:rsidRPr="007A56DE">
              <w:rPr>
                <w:rFonts w:ascii="Arial" w:hAnsi="Arial" w:cs="Sendnya"/>
                <w:b/>
                <w:bCs/>
                <w:color w:val="FFFFFF" w:themeColor="background1"/>
                <w:sz w:val="16"/>
                <w:szCs w:val="16"/>
              </w:rPr>
              <w:t>ISO 20022 Message Type</w:t>
            </w:r>
          </w:p>
        </w:tc>
        <w:tc>
          <w:tcPr>
            <w:tcW w:w="3153" w:type="pct"/>
            <w:shd w:val="clear" w:color="auto" w:fill="365F91" w:themeFill="accent1" w:themeFillShade="BF"/>
          </w:tcPr>
          <w:p w:rsidR="007A56DE" w:rsidRPr="007A56DE" w:rsidRDefault="007A56DE" w:rsidP="007A56DE">
            <w:pPr>
              <w:spacing w:before="60" w:after="60"/>
              <w:rPr>
                <w:rFonts w:ascii="Arial" w:hAnsi="Arial" w:cs="Sendnya"/>
                <w:b/>
                <w:bCs/>
                <w:color w:val="FFFFFF" w:themeColor="background1"/>
                <w:sz w:val="16"/>
                <w:szCs w:val="16"/>
              </w:rPr>
            </w:pPr>
            <w:r w:rsidRPr="007A56DE">
              <w:rPr>
                <w:rFonts w:ascii="Arial" w:hAnsi="Arial" w:cs="Sendnya"/>
                <w:b/>
                <w:bCs/>
                <w:color w:val="FFFFFF" w:themeColor="background1"/>
                <w:sz w:val="16"/>
                <w:szCs w:val="16"/>
              </w:rPr>
              <w:t>Purpose</w:t>
            </w:r>
          </w:p>
        </w:tc>
      </w:tr>
      <w:tr w:rsidR="007A56DE" w:rsidRPr="007A56DE" w:rsidTr="00191A73">
        <w:trPr>
          <w:trHeight w:val="608"/>
        </w:trPr>
        <w:tc>
          <w:tcPr>
            <w:tcW w:w="964" w:type="pct"/>
          </w:tcPr>
          <w:p w:rsidR="007A56DE" w:rsidRPr="007A56DE" w:rsidRDefault="007A56DE" w:rsidP="007A56DE">
            <w:pPr>
              <w:spacing w:before="60" w:after="60"/>
              <w:jc w:val="both"/>
              <w:rPr>
                <w:rFonts w:ascii="Arial" w:hAnsi="Arial" w:cs="Sendnya"/>
                <w:b/>
                <w:sz w:val="16"/>
                <w:szCs w:val="16"/>
              </w:rPr>
            </w:pPr>
            <w:r w:rsidRPr="007A56DE">
              <w:rPr>
                <w:rFonts w:ascii="Arial" w:hAnsi="Arial" w:cs="Sendnya"/>
                <w:b/>
                <w:sz w:val="16"/>
                <w:szCs w:val="16"/>
              </w:rPr>
              <w:t xml:space="preserve">MT544 </w:t>
            </w:r>
          </w:p>
        </w:tc>
        <w:tc>
          <w:tcPr>
            <w:tcW w:w="883" w:type="pct"/>
          </w:tcPr>
          <w:p w:rsidR="007A56DE" w:rsidRPr="007A56DE" w:rsidRDefault="007A56DE" w:rsidP="007A56DE">
            <w:pPr>
              <w:spacing w:before="60" w:after="60"/>
              <w:jc w:val="both"/>
              <w:rPr>
                <w:rFonts w:ascii="Arial" w:hAnsi="Arial" w:cs="Sendnya"/>
                <w:sz w:val="16"/>
                <w:szCs w:val="16"/>
              </w:rPr>
            </w:pPr>
            <w:r w:rsidRPr="007A56DE">
              <w:rPr>
                <w:rFonts w:ascii="Arial" w:hAnsi="Arial" w:cs="Sendnya"/>
                <w:sz w:val="16"/>
                <w:szCs w:val="16"/>
              </w:rPr>
              <w:t>sese.025</w:t>
            </w:r>
          </w:p>
        </w:tc>
        <w:tc>
          <w:tcPr>
            <w:tcW w:w="3153" w:type="pct"/>
          </w:tcPr>
          <w:p w:rsidR="007A56DE" w:rsidRPr="007A56DE" w:rsidRDefault="007A56DE" w:rsidP="007A56DE">
            <w:pPr>
              <w:spacing w:before="60" w:after="60"/>
              <w:jc w:val="both"/>
              <w:rPr>
                <w:rFonts w:ascii="Arial" w:hAnsi="Arial" w:cs="Sendnya"/>
                <w:sz w:val="16"/>
                <w:szCs w:val="16"/>
              </w:rPr>
            </w:pPr>
            <w:r w:rsidRPr="007A56DE">
              <w:rPr>
                <w:rFonts w:ascii="Arial" w:hAnsi="Arial" w:cs="Sendnya"/>
                <w:sz w:val="16"/>
                <w:szCs w:val="16"/>
              </w:rPr>
              <w:t>A securities settlement confirmation message may be issued by the account servicer following the blocking of the securities which will identify the blocked ISINs.</w:t>
            </w:r>
          </w:p>
        </w:tc>
      </w:tr>
      <w:tr w:rsidR="007A56DE" w:rsidRPr="007A56DE" w:rsidTr="00191A73">
        <w:trPr>
          <w:trHeight w:val="597"/>
        </w:trPr>
        <w:tc>
          <w:tcPr>
            <w:tcW w:w="964" w:type="pct"/>
          </w:tcPr>
          <w:p w:rsidR="007A56DE" w:rsidRPr="007A56DE" w:rsidRDefault="007A56DE" w:rsidP="007A56DE">
            <w:pPr>
              <w:spacing w:before="60" w:after="60"/>
              <w:jc w:val="both"/>
              <w:rPr>
                <w:rFonts w:ascii="Arial" w:hAnsi="Arial" w:cs="Sendnya"/>
                <w:b/>
                <w:sz w:val="16"/>
                <w:szCs w:val="16"/>
              </w:rPr>
            </w:pPr>
            <w:r w:rsidRPr="007A56DE">
              <w:rPr>
                <w:rFonts w:ascii="Arial" w:hAnsi="Arial" w:cs="Sendnya"/>
                <w:b/>
                <w:sz w:val="16"/>
                <w:szCs w:val="16"/>
              </w:rPr>
              <w:t>MT546</w:t>
            </w:r>
          </w:p>
        </w:tc>
        <w:tc>
          <w:tcPr>
            <w:tcW w:w="883" w:type="pct"/>
          </w:tcPr>
          <w:p w:rsidR="007A56DE" w:rsidRPr="007A56DE" w:rsidRDefault="007A56DE" w:rsidP="007A56DE">
            <w:pPr>
              <w:spacing w:before="60" w:after="60"/>
              <w:jc w:val="both"/>
              <w:rPr>
                <w:rFonts w:ascii="Arial" w:hAnsi="Arial" w:cs="Sendnya"/>
                <w:sz w:val="16"/>
                <w:szCs w:val="16"/>
              </w:rPr>
            </w:pPr>
            <w:r w:rsidRPr="007A56DE">
              <w:rPr>
                <w:rFonts w:ascii="Arial" w:hAnsi="Arial" w:cs="Sendnya"/>
                <w:sz w:val="16"/>
                <w:szCs w:val="16"/>
              </w:rPr>
              <w:t>sese.025</w:t>
            </w:r>
          </w:p>
        </w:tc>
        <w:tc>
          <w:tcPr>
            <w:tcW w:w="3153" w:type="pct"/>
          </w:tcPr>
          <w:p w:rsidR="007A56DE" w:rsidRPr="007A56DE" w:rsidRDefault="007A56DE" w:rsidP="007A56DE">
            <w:pPr>
              <w:spacing w:before="60" w:after="60"/>
              <w:jc w:val="both"/>
              <w:rPr>
                <w:rFonts w:ascii="Arial" w:hAnsi="Arial" w:cs="Sendnya"/>
                <w:sz w:val="16"/>
                <w:szCs w:val="16"/>
              </w:rPr>
            </w:pPr>
            <w:r w:rsidRPr="007A56DE">
              <w:rPr>
                <w:rFonts w:ascii="Arial" w:hAnsi="Arial" w:cs="Sendnya"/>
                <w:sz w:val="16"/>
                <w:szCs w:val="16"/>
              </w:rPr>
              <w:t>A securities settlement confirmation message may again be issued by the account servicer following the unblocking of the securities which will confirm that securities have been unblocked.</w:t>
            </w:r>
          </w:p>
        </w:tc>
      </w:tr>
      <w:tr w:rsidR="007A56DE" w:rsidRPr="007A56DE" w:rsidTr="00191A73">
        <w:trPr>
          <w:trHeight w:val="450"/>
        </w:trPr>
        <w:tc>
          <w:tcPr>
            <w:tcW w:w="964" w:type="pct"/>
          </w:tcPr>
          <w:p w:rsidR="007A56DE" w:rsidRPr="007A56DE" w:rsidRDefault="007A56DE" w:rsidP="007A56DE">
            <w:pPr>
              <w:spacing w:before="60" w:after="60"/>
              <w:jc w:val="both"/>
              <w:rPr>
                <w:rFonts w:ascii="Arial" w:hAnsi="Arial" w:cs="Sendnya"/>
                <w:b/>
                <w:sz w:val="16"/>
                <w:szCs w:val="16"/>
              </w:rPr>
            </w:pPr>
            <w:r w:rsidRPr="007A56DE">
              <w:rPr>
                <w:rFonts w:ascii="Arial" w:hAnsi="Arial" w:cs="Sendnya"/>
                <w:b/>
                <w:sz w:val="16"/>
                <w:szCs w:val="16"/>
              </w:rPr>
              <w:t>MT564</w:t>
            </w:r>
          </w:p>
        </w:tc>
        <w:tc>
          <w:tcPr>
            <w:tcW w:w="883" w:type="pct"/>
          </w:tcPr>
          <w:p w:rsidR="007A56DE" w:rsidRPr="007A56DE" w:rsidRDefault="007A56DE" w:rsidP="007A56DE">
            <w:pPr>
              <w:spacing w:before="60" w:after="60"/>
              <w:jc w:val="both"/>
              <w:rPr>
                <w:rFonts w:ascii="Arial" w:hAnsi="Arial" w:cs="Sendnya"/>
                <w:sz w:val="16"/>
                <w:szCs w:val="16"/>
              </w:rPr>
            </w:pPr>
            <w:r w:rsidRPr="007A56DE">
              <w:rPr>
                <w:rFonts w:ascii="Arial" w:hAnsi="Arial" w:cs="Sendnya"/>
                <w:sz w:val="16"/>
                <w:szCs w:val="16"/>
              </w:rPr>
              <w:t>sese.033</w:t>
            </w:r>
          </w:p>
        </w:tc>
        <w:tc>
          <w:tcPr>
            <w:tcW w:w="3153" w:type="pct"/>
          </w:tcPr>
          <w:p w:rsidR="007A56DE" w:rsidRPr="007A56DE" w:rsidRDefault="007A56DE" w:rsidP="007A56DE">
            <w:pPr>
              <w:spacing w:before="60" w:after="60"/>
              <w:jc w:val="both"/>
              <w:rPr>
                <w:rFonts w:ascii="Arial" w:hAnsi="Arial" w:cs="Sendnya"/>
                <w:b/>
                <w:sz w:val="16"/>
                <w:szCs w:val="16"/>
              </w:rPr>
            </w:pPr>
            <w:r w:rsidRPr="007A56DE">
              <w:rPr>
                <w:rFonts w:ascii="Arial" w:hAnsi="Arial" w:cs="Sendnya"/>
                <w:sz w:val="16"/>
                <w:szCs w:val="16"/>
              </w:rPr>
              <w:t xml:space="preserve">A CA notification may be issued by the account servicer </w:t>
            </w:r>
            <w:proofErr w:type="gramStart"/>
            <w:r w:rsidRPr="007A56DE">
              <w:rPr>
                <w:rFonts w:ascii="Arial" w:hAnsi="Arial" w:cs="Sendnya"/>
                <w:sz w:val="16"/>
                <w:szCs w:val="16"/>
              </w:rPr>
              <w:t>which</w:t>
            </w:r>
            <w:proofErr w:type="gramEnd"/>
            <w:r w:rsidRPr="007A56DE">
              <w:rPr>
                <w:rFonts w:ascii="Arial" w:hAnsi="Arial" w:cs="Sendnya"/>
                <w:sz w:val="16"/>
                <w:szCs w:val="16"/>
              </w:rPr>
              <w:t xml:space="preserve"> will identify the blocked ISINs using the code BLOK.</w:t>
            </w:r>
          </w:p>
        </w:tc>
      </w:tr>
    </w:tbl>
    <w:p w:rsidR="007A56DE" w:rsidRPr="007A56DE" w:rsidRDefault="007A56DE" w:rsidP="007A56DE">
      <w:pPr>
        <w:spacing w:before="60" w:after="60" w:line="340" w:lineRule="atLeast"/>
        <w:jc w:val="both"/>
        <w:rPr>
          <w:rFonts w:ascii="Arial" w:eastAsia="Times New Roman" w:hAnsi="Arial" w:cs="Sendnya"/>
          <w:b/>
          <w:sz w:val="20"/>
          <w:lang w:eastAsia="en-GB"/>
        </w:rPr>
      </w:pPr>
    </w:p>
    <w:p w:rsidR="007A56DE" w:rsidRPr="007A56DE" w:rsidRDefault="007A56DE" w:rsidP="007A56DE">
      <w:pPr>
        <w:spacing w:after="0" w:line="240" w:lineRule="auto"/>
        <w:rPr>
          <w:rFonts w:ascii="Arial" w:eastAsia="Times New Roman" w:hAnsi="Arial" w:cs="Sendnya"/>
          <w:b/>
          <w:sz w:val="20"/>
          <w:lang w:eastAsia="en-GB"/>
        </w:rPr>
      </w:pPr>
      <w:r w:rsidRPr="007A56DE">
        <w:rPr>
          <w:rFonts w:ascii="Arial" w:eastAsia="Times New Roman" w:hAnsi="Arial" w:cs="Sendnya"/>
          <w:b/>
          <w:sz w:val="20"/>
          <w:lang w:eastAsia="en-GB"/>
        </w:rPr>
        <w:br w:type="page"/>
      </w:r>
    </w:p>
    <w:p w:rsidR="007A56DE" w:rsidRPr="007A56DE" w:rsidRDefault="007A56DE" w:rsidP="007A56DE">
      <w:pPr>
        <w:spacing w:before="60" w:after="60" w:line="340" w:lineRule="atLeast"/>
        <w:jc w:val="both"/>
        <w:rPr>
          <w:rFonts w:ascii="Arial" w:eastAsia="Times New Roman" w:hAnsi="Arial" w:cs="Sendnya"/>
          <w:b/>
          <w:sz w:val="20"/>
          <w:lang w:eastAsia="en-GB"/>
        </w:rPr>
      </w:pPr>
      <w:r w:rsidRPr="007A56DE">
        <w:rPr>
          <w:rFonts w:ascii="Arial" w:eastAsia="Times New Roman" w:hAnsi="Arial" w:cs="Sendnya"/>
          <w:b/>
          <w:sz w:val="20"/>
          <w:lang w:eastAsia="en-GB"/>
        </w:rPr>
        <w:lastRenderedPageBreak/>
        <w:t xml:space="preserve">Annex </w:t>
      </w:r>
      <w:r>
        <w:rPr>
          <w:rFonts w:ascii="Arial" w:eastAsia="Times New Roman" w:hAnsi="Arial" w:cs="Sendnya"/>
          <w:b/>
          <w:sz w:val="20"/>
          <w:lang w:eastAsia="en-GB"/>
        </w:rPr>
        <w:t>2</w:t>
      </w:r>
      <w:r w:rsidRPr="007A56DE">
        <w:rPr>
          <w:rFonts w:ascii="Arial" w:eastAsia="Times New Roman" w:hAnsi="Arial" w:cs="Sendnya"/>
          <w:b/>
          <w:sz w:val="20"/>
          <w:lang w:eastAsia="en-GB"/>
        </w:rPr>
        <w:t>: Current market practices</w:t>
      </w:r>
      <w:r>
        <w:rPr>
          <w:rFonts w:ascii="Arial" w:eastAsia="Times New Roman" w:hAnsi="Arial" w:cs="Sendnya"/>
          <w:b/>
          <w:sz w:val="20"/>
          <w:lang w:eastAsia="en-GB"/>
        </w:rPr>
        <w:t xml:space="preserve"> for blocking of securities</w:t>
      </w:r>
    </w:p>
    <w:p w:rsidR="007A56DE" w:rsidRPr="007A56DE" w:rsidRDefault="007A56DE" w:rsidP="007A56DE">
      <w:pPr>
        <w:numPr>
          <w:ilvl w:val="0"/>
          <w:numId w:val="31"/>
        </w:numPr>
        <w:spacing w:before="60" w:after="60" w:line="340" w:lineRule="atLeast"/>
        <w:contextualSpacing/>
        <w:jc w:val="both"/>
        <w:rPr>
          <w:rFonts w:ascii="Arial" w:eastAsia="Times New Roman" w:hAnsi="Arial" w:cs="Sendnya"/>
          <w:sz w:val="20"/>
          <w:lang w:eastAsia="en-GB"/>
        </w:rPr>
      </w:pPr>
      <w:r w:rsidRPr="007A56DE">
        <w:rPr>
          <w:rFonts w:ascii="Arial" w:eastAsia="Times New Roman" w:hAnsi="Arial" w:cs="Sendnya"/>
          <w:sz w:val="20"/>
          <w:lang w:eastAsia="en-GB"/>
        </w:rPr>
        <w:t>Spain - For all events where a client election is required, financial intermediaries need to block the instructed position in T2S.</w:t>
      </w:r>
      <w:r w:rsidRPr="007A56DE">
        <w:rPr>
          <w:rFonts w:ascii="Arial" w:eastAsia="Times New Roman" w:hAnsi="Arial" w:cs="Sendnya"/>
          <w:color w:val="FF0000"/>
          <w:sz w:val="20"/>
          <w:lang w:eastAsia="en-GB"/>
        </w:rPr>
        <w:t xml:space="preserve"> </w:t>
      </w:r>
      <w:r w:rsidRPr="007A56DE">
        <w:rPr>
          <w:rFonts w:ascii="Arial" w:eastAsia="Times New Roman" w:hAnsi="Arial" w:cs="Sendnya"/>
          <w:sz w:val="20"/>
          <w:lang w:eastAsia="en-GB"/>
        </w:rPr>
        <w:t xml:space="preserve">Accordingly there are no corporate actions in </w:t>
      </w:r>
      <w:proofErr w:type="spellStart"/>
      <w:r w:rsidRPr="007A56DE">
        <w:rPr>
          <w:rFonts w:ascii="Arial" w:eastAsia="Times New Roman" w:hAnsi="Arial" w:cs="Sendnya"/>
          <w:sz w:val="20"/>
          <w:lang w:eastAsia="en-GB"/>
        </w:rPr>
        <w:t>Iberclear</w:t>
      </w:r>
      <w:proofErr w:type="spellEnd"/>
      <w:r w:rsidRPr="007A56DE">
        <w:rPr>
          <w:rFonts w:ascii="Arial" w:eastAsia="Times New Roman" w:hAnsi="Arial" w:cs="Sendnya"/>
          <w:sz w:val="20"/>
          <w:lang w:eastAsia="en-GB"/>
        </w:rPr>
        <w:t xml:space="preserve"> for which participation should lead to a blocking of the underlying security in another account. Participants have to move their holdings with restrictions to a sub-balance in the same account in order to participate in the voluntary corporate action. Once the securities are in that sub-balance, participants cannot use them for securities movement or settlement, so it is similar to a blocking. Furthermore, movement of securities is done by </w:t>
      </w:r>
      <w:proofErr w:type="spellStart"/>
      <w:r w:rsidRPr="007A56DE">
        <w:rPr>
          <w:rFonts w:ascii="Arial" w:eastAsia="Times New Roman" w:hAnsi="Arial" w:cs="Sendnya"/>
          <w:sz w:val="20"/>
          <w:lang w:eastAsia="en-GB"/>
        </w:rPr>
        <w:t>Iberclear</w:t>
      </w:r>
      <w:proofErr w:type="spellEnd"/>
      <w:r w:rsidRPr="007A56DE">
        <w:rPr>
          <w:rFonts w:ascii="Arial" w:eastAsia="Times New Roman" w:hAnsi="Arial" w:cs="Sendnya"/>
          <w:sz w:val="20"/>
          <w:lang w:eastAsia="en-GB"/>
        </w:rPr>
        <w:t xml:space="preserve"> with the communication of a semt.013 message. Finally, participants have to send MT565 to the issuer’s agent in order to participate in the voluntary corporate action, as well as transfer their holdings to a specific sub-balance identified in the CA announcement as it was described before</w:t>
      </w:r>
    </w:p>
    <w:p w:rsidR="007A56DE" w:rsidRPr="007A56DE" w:rsidRDefault="007A56DE" w:rsidP="007A56DE">
      <w:pPr>
        <w:numPr>
          <w:ilvl w:val="0"/>
          <w:numId w:val="31"/>
        </w:numPr>
        <w:spacing w:before="60" w:after="60" w:line="340" w:lineRule="atLeast"/>
        <w:contextualSpacing/>
        <w:jc w:val="both"/>
        <w:rPr>
          <w:rFonts w:ascii="Arial" w:eastAsia="Times New Roman" w:hAnsi="Arial" w:cs="Sendnya"/>
          <w:sz w:val="20"/>
          <w:lang w:eastAsia="en-GB"/>
        </w:rPr>
      </w:pPr>
      <w:r w:rsidRPr="007A56DE">
        <w:rPr>
          <w:rFonts w:ascii="Arial" w:eastAsia="Times New Roman" w:hAnsi="Arial" w:cs="Sendnya"/>
          <w:sz w:val="20"/>
          <w:lang w:eastAsia="en-GB"/>
        </w:rPr>
        <w:t xml:space="preserve">Portugal - The blocking of elected positions in T2S take place after the market instruction is accepted and </w:t>
      </w:r>
      <w:proofErr w:type="gramStart"/>
      <w:r w:rsidRPr="007A56DE">
        <w:rPr>
          <w:rFonts w:ascii="Arial" w:eastAsia="Times New Roman" w:hAnsi="Arial" w:cs="Sendnya"/>
          <w:sz w:val="20"/>
          <w:lang w:eastAsia="en-GB"/>
        </w:rPr>
        <w:t>are</w:t>
      </w:r>
      <w:proofErr w:type="gramEnd"/>
      <w:r w:rsidRPr="007A56DE">
        <w:rPr>
          <w:rFonts w:ascii="Arial" w:eastAsia="Times New Roman" w:hAnsi="Arial" w:cs="Sendnya"/>
          <w:sz w:val="20"/>
          <w:lang w:eastAsia="en-GB"/>
        </w:rPr>
        <w:t xml:space="preserve"> instructed by </w:t>
      </w:r>
      <w:proofErr w:type="spellStart"/>
      <w:r w:rsidRPr="007A56DE">
        <w:rPr>
          <w:rFonts w:ascii="Arial" w:eastAsia="Times New Roman" w:hAnsi="Arial" w:cs="Sendnya"/>
          <w:sz w:val="20"/>
          <w:lang w:eastAsia="en-GB"/>
        </w:rPr>
        <w:t>Interbolsa</w:t>
      </w:r>
      <w:proofErr w:type="spellEnd"/>
      <w:r w:rsidRPr="007A56DE">
        <w:rPr>
          <w:rFonts w:ascii="Arial" w:eastAsia="Times New Roman" w:hAnsi="Arial" w:cs="Sendnya"/>
          <w:sz w:val="20"/>
          <w:lang w:eastAsia="en-GB"/>
        </w:rPr>
        <w:t>. For tender offer events in Euronext, position needs to be surrendered to a specified Euronext account</w:t>
      </w:r>
    </w:p>
    <w:p w:rsidR="007A56DE" w:rsidRPr="007A56DE" w:rsidRDefault="007A56DE" w:rsidP="007A56DE">
      <w:pPr>
        <w:numPr>
          <w:ilvl w:val="0"/>
          <w:numId w:val="31"/>
        </w:numPr>
        <w:spacing w:before="60" w:after="60" w:line="340" w:lineRule="atLeast"/>
        <w:contextualSpacing/>
        <w:jc w:val="both"/>
        <w:rPr>
          <w:rFonts w:ascii="Arial" w:eastAsia="Times New Roman" w:hAnsi="Arial" w:cs="Sendnya"/>
          <w:sz w:val="20"/>
          <w:lang w:eastAsia="en-GB"/>
        </w:rPr>
      </w:pPr>
      <w:r w:rsidRPr="007A56DE">
        <w:rPr>
          <w:rFonts w:ascii="Arial" w:eastAsia="Times New Roman" w:hAnsi="Arial" w:cs="Sendnya"/>
          <w:sz w:val="20"/>
          <w:lang w:eastAsia="en-GB"/>
        </w:rPr>
        <w:t>Finland - blocked securities are not transferred to another securities account or sub account. Instead, instructed securities are kept as blocked on the same account to which the instruction to participate in the event was sent. Please correct the table above.</w:t>
      </w:r>
    </w:p>
    <w:p w:rsidR="007A56DE" w:rsidRPr="007A56DE" w:rsidRDefault="007A56DE" w:rsidP="007A56DE">
      <w:pPr>
        <w:numPr>
          <w:ilvl w:val="0"/>
          <w:numId w:val="31"/>
        </w:numPr>
        <w:spacing w:before="60" w:after="60" w:line="340" w:lineRule="atLeast"/>
        <w:contextualSpacing/>
        <w:jc w:val="both"/>
        <w:rPr>
          <w:rFonts w:ascii="Arial" w:eastAsia="Times New Roman" w:hAnsi="Arial" w:cs="Sendnya"/>
          <w:sz w:val="20"/>
          <w:lang w:eastAsia="en-GB"/>
        </w:rPr>
      </w:pPr>
      <w:r w:rsidRPr="007A56DE">
        <w:rPr>
          <w:rFonts w:ascii="Arial" w:eastAsia="Times New Roman" w:hAnsi="Arial" w:cs="Sendnya"/>
          <w:sz w:val="20"/>
          <w:lang w:eastAsia="en-GB"/>
        </w:rPr>
        <w:t>Germany - When ongoing tenders or exchange offers take place, the securities are moved to Cascade (CBF system) on a daily basis, while for capital increase events, securities and cash are normally blocked and sent to the CSD and paying agent respectively close to the market deadline of the event.</w:t>
      </w:r>
    </w:p>
    <w:p w:rsidR="007A56DE" w:rsidRPr="007A56DE" w:rsidRDefault="007A56DE" w:rsidP="007A56DE">
      <w:pPr>
        <w:numPr>
          <w:ilvl w:val="0"/>
          <w:numId w:val="31"/>
        </w:numPr>
        <w:spacing w:before="60" w:after="60" w:line="340" w:lineRule="atLeast"/>
        <w:contextualSpacing/>
        <w:jc w:val="both"/>
        <w:rPr>
          <w:rFonts w:ascii="Arial" w:eastAsia="Times New Roman" w:hAnsi="Arial" w:cs="Sendnya"/>
          <w:sz w:val="20"/>
          <w:lang w:eastAsia="en-GB"/>
        </w:rPr>
      </w:pPr>
      <w:r w:rsidRPr="007A56DE">
        <w:rPr>
          <w:rFonts w:ascii="Arial" w:eastAsia="Times New Roman" w:hAnsi="Arial" w:cs="Sendnya"/>
          <w:sz w:val="20"/>
          <w:lang w:eastAsia="en-GB"/>
        </w:rPr>
        <w:t xml:space="preserve">Switzerland - Swiss market securities are moved to SIX SIS </w:t>
      </w:r>
      <w:proofErr w:type="spellStart"/>
      <w:r w:rsidRPr="007A56DE">
        <w:rPr>
          <w:rFonts w:ascii="Arial" w:eastAsia="Times New Roman" w:hAnsi="Arial" w:cs="Sendnya"/>
          <w:sz w:val="20"/>
          <w:lang w:eastAsia="en-GB"/>
        </w:rPr>
        <w:t>webmax</w:t>
      </w:r>
      <w:proofErr w:type="spellEnd"/>
      <w:r w:rsidRPr="007A56DE">
        <w:rPr>
          <w:rFonts w:ascii="Arial" w:eastAsia="Times New Roman" w:hAnsi="Arial" w:cs="Sendnya"/>
          <w:sz w:val="20"/>
          <w:lang w:eastAsia="en-GB"/>
        </w:rPr>
        <w:t xml:space="preserve"> platform on ongoing basis (if ongoing events i.e. ongoing tenders/exchanges) or at market deadline date, cash holding is taken from the custodian’s account with Six SIS.</w:t>
      </w:r>
    </w:p>
    <w:p w:rsidR="007A56DE" w:rsidRPr="007A56DE" w:rsidRDefault="007A56DE" w:rsidP="007A56DE">
      <w:pPr>
        <w:numPr>
          <w:ilvl w:val="0"/>
          <w:numId w:val="31"/>
        </w:numPr>
        <w:spacing w:before="60" w:after="60" w:line="340" w:lineRule="atLeast"/>
        <w:contextualSpacing/>
        <w:jc w:val="both"/>
        <w:rPr>
          <w:rFonts w:ascii="Arial" w:eastAsia="Times New Roman" w:hAnsi="Arial" w:cs="Sendnya"/>
          <w:sz w:val="20"/>
          <w:lang w:eastAsia="en-GB"/>
        </w:rPr>
      </w:pPr>
      <w:r w:rsidRPr="007A56DE">
        <w:rPr>
          <w:rFonts w:ascii="Arial" w:eastAsia="Times New Roman" w:hAnsi="Arial" w:cs="Sendnya"/>
          <w:sz w:val="20"/>
          <w:lang w:eastAsia="en-GB"/>
        </w:rPr>
        <w:t xml:space="preserve">Austria - Austrian market holdings (securities and/or cash) are moved to OEKB close to market deadline date. </w:t>
      </w:r>
    </w:p>
    <w:p w:rsidR="007A56DE" w:rsidRPr="007A56DE" w:rsidRDefault="007A56DE" w:rsidP="007A56DE">
      <w:pPr>
        <w:numPr>
          <w:ilvl w:val="0"/>
          <w:numId w:val="31"/>
        </w:numPr>
        <w:spacing w:before="60" w:after="60" w:line="340" w:lineRule="atLeast"/>
        <w:contextualSpacing/>
        <w:jc w:val="both"/>
        <w:rPr>
          <w:rFonts w:ascii="Arial" w:eastAsia="Times New Roman" w:hAnsi="Arial" w:cs="Sendnya"/>
          <w:sz w:val="20"/>
          <w:lang w:eastAsia="en-GB"/>
        </w:rPr>
      </w:pPr>
      <w:r w:rsidRPr="007A56DE">
        <w:rPr>
          <w:rFonts w:ascii="Arial" w:eastAsia="Times New Roman" w:hAnsi="Arial" w:cs="Sendnya"/>
          <w:sz w:val="20"/>
          <w:lang w:eastAsia="en-GB"/>
        </w:rPr>
        <w:t xml:space="preserve">ESES markets - All voluntary events will require transfer of securities to the agent in order to participate in the CA event. Some mandatory events cannot be processed STP via T2S due to technical limitations in the market, for example mergers (MRGR) where the ratio is unknown at announcement and cash dividends (DVCAs) on US securities (due to tax reasons) cannot be processed without manual intervention by the custodian. </w:t>
      </w:r>
    </w:p>
    <w:p w:rsidR="007A56DE" w:rsidRPr="007A56DE" w:rsidRDefault="007A56DE" w:rsidP="007A56DE">
      <w:pPr>
        <w:numPr>
          <w:ilvl w:val="0"/>
          <w:numId w:val="31"/>
        </w:numPr>
        <w:spacing w:before="60" w:after="60" w:line="340" w:lineRule="atLeast"/>
        <w:contextualSpacing/>
        <w:jc w:val="both"/>
        <w:rPr>
          <w:rFonts w:ascii="Arial" w:eastAsia="Times New Roman" w:hAnsi="Arial" w:cs="Sendnya"/>
          <w:sz w:val="20"/>
          <w:lang w:eastAsia="en-GB"/>
        </w:rPr>
      </w:pPr>
      <w:proofErr w:type="gramStart"/>
      <w:r w:rsidRPr="007A56DE">
        <w:rPr>
          <w:rFonts w:ascii="Arial" w:eastAsia="Times New Roman" w:hAnsi="Arial" w:cs="Sendnya"/>
          <w:sz w:val="20"/>
          <w:lang w:eastAsia="en-GB"/>
        </w:rPr>
        <w:t>Nasdaq</w:t>
      </w:r>
      <w:proofErr w:type="gramEnd"/>
      <w:r w:rsidRPr="007A56DE">
        <w:rPr>
          <w:rFonts w:ascii="Arial" w:eastAsia="Times New Roman" w:hAnsi="Arial" w:cs="Sendnya"/>
          <w:sz w:val="20"/>
          <w:lang w:eastAsia="en-GB"/>
        </w:rPr>
        <w:t xml:space="preserve"> CSD markets (EE, LV, MT) - Nasdaq CSD blocks securities for elective events, but doesn’t transfer the securities to another account, in T2S from position available (AWAS) to blocked (BLOK).</w:t>
      </w:r>
    </w:p>
    <w:p w:rsidR="007A56DE" w:rsidRPr="003608D5" w:rsidRDefault="007A56DE" w:rsidP="003608D5">
      <w:pPr>
        <w:tabs>
          <w:tab w:val="left" w:pos="951"/>
        </w:tabs>
        <w:rPr>
          <w:rFonts w:ascii="Arial" w:hAnsi="Arial" w:cs="Arial"/>
          <w:sz w:val="18"/>
        </w:rPr>
      </w:pPr>
      <w:bookmarkStart w:id="4" w:name="_GoBack"/>
      <w:bookmarkEnd w:id="4"/>
    </w:p>
    <w:sectPr w:rsidR="007A56DE" w:rsidRPr="003608D5" w:rsidSect="00A37E88">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901" w:rsidRDefault="00650901" w:rsidP="00A37E88">
      <w:pPr>
        <w:spacing w:after="0" w:line="240" w:lineRule="auto"/>
      </w:pPr>
      <w:r>
        <w:separator/>
      </w:r>
    </w:p>
  </w:endnote>
  <w:endnote w:type="continuationSeparator" w:id="0">
    <w:p w:rsidR="00650901" w:rsidRDefault="00650901" w:rsidP="00A3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ndnya">
    <w:altName w:val="Courier"/>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1AF" w:rsidRPr="00A37E88" w:rsidRDefault="003B31AF" w:rsidP="00A37E88">
    <w:pPr>
      <w:widowControl w:val="0"/>
      <w:tabs>
        <w:tab w:val="right" w:pos="9356"/>
      </w:tabs>
      <w:adjustRightInd w:val="0"/>
      <w:spacing w:before="60" w:after="60" w:line="200" w:lineRule="exact"/>
      <w:ind w:left="284" w:hanging="284"/>
      <w:jc w:val="both"/>
      <w:textAlignment w:val="baseline"/>
      <w:rPr>
        <w:rFonts w:ascii="Arial" w:eastAsia="Times New Roman" w:hAnsi="Arial" w:cs="Times New Roman"/>
        <w:noProof/>
        <w:snapToGrid w:val="0"/>
        <w:sz w:val="17"/>
        <w:szCs w:val="17"/>
        <w:lang w:eastAsia="en-GB"/>
      </w:rPr>
    </w:pPr>
    <w:r w:rsidRPr="00A37E88">
      <w:rPr>
        <w:rFonts w:ascii="Arial" w:eastAsia="Times New Roman" w:hAnsi="Arial" w:cs="Times New Roman"/>
        <w:noProof/>
        <w:snapToGrid w:val="0"/>
        <w:sz w:val="17"/>
        <w:szCs w:val="17"/>
        <w:lang w:eastAsia="en-GB"/>
      </w:rPr>
      <w:t>Collateral Management Harmonisation Task Force</w:t>
    </w:r>
    <w:r w:rsidRPr="00A37E88">
      <w:rPr>
        <w:rFonts w:ascii="Arial" w:eastAsia="Times New Roman" w:hAnsi="Arial" w:cs="Times New Roman"/>
        <w:noProof/>
        <w:snapToGrid w:val="0"/>
        <w:sz w:val="17"/>
        <w:szCs w:val="17"/>
        <w:lang w:eastAsia="en-GB"/>
      </w:rPr>
      <w:tab/>
      <w:t xml:space="preserve">Page </w:t>
    </w:r>
    <w:r w:rsidRPr="00A37E88">
      <w:rPr>
        <w:rFonts w:ascii="Arial" w:eastAsia="Times New Roman" w:hAnsi="Arial" w:cs="Times New Roman"/>
        <w:noProof/>
        <w:snapToGrid w:val="0"/>
        <w:sz w:val="17"/>
        <w:szCs w:val="17"/>
        <w:lang w:eastAsia="en-GB"/>
      </w:rPr>
      <w:fldChar w:fldCharType="begin"/>
    </w:r>
    <w:r w:rsidRPr="00A37E88">
      <w:rPr>
        <w:rFonts w:ascii="Arial" w:eastAsia="Times New Roman" w:hAnsi="Arial" w:cs="Times New Roman"/>
        <w:noProof/>
        <w:snapToGrid w:val="0"/>
        <w:sz w:val="17"/>
        <w:szCs w:val="17"/>
        <w:lang w:eastAsia="en-GB"/>
      </w:rPr>
      <w:instrText xml:space="preserve"> PAGE </w:instrText>
    </w:r>
    <w:r w:rsidRPr="00A37E88">
      <w:rPr>
        <w:rFonts w:ascii="Arial" w:eastAsia="Times New Roman" w:hAnsi="Arial" w:cs="Times New Roman"/>
        <w:noProof/>
        <w:snapToGrid w:val="0"/>
        <w:sz w:val="17"/>
        <w:szCs w:val="17"/>
        <w:lang w:eastAsia="en-GB"/>
      </w:rPr>
      <w:fldChar w:fldCharType="separate"/>
    </w:r>
    <w:r w:rsidR="003608D5">
      <w:rPr>
        <w:rFonts w:ascii="Arial" w:eastAsia="Times New Roman" w:hAnsi="Arial" w:cs="Times New Roman"/>
        <w:noProof/>
        <w:snapToGrid w:val="0"/>
        <w:sz w:val="17"/>
        <w:szCs w:val="17"/>
        <w:lang w:eastAsia="en-GB"/>
      </w:rPr>
      <w:t>3</w:t>
    </w:r>
    <w:r w:rsidRPr="00A37E88">
      <w:rPr>
        <w:rFonts w:ascii="Arial" w:eastAsia="Times New Roman" w:hAnsi="Arial" w:cs="Times New Roman"/>
        <w:noProof/>
        <w:snapToGrid w:val="0"/>
        <w:sz w:val="17"/>
        <w:szCs w:val="17"/>
        <w:lang w:eastAsia="en-GB"/>
      </w:rPr>
      <w:fldChar w:fldCharType="end"/>
    </w:r>
    <w:r w:rsidRPr="00A37E88">
      <w:rPr>
        <w:rFonts w:ascii="Arial" w:eastAsia="Times New Roman" w:hAnsi="Arial" w:cs="Times New Roman"/>
        <w:noProof/>
        <w:snapToGrid w:val="0"/>
        <w:sz w:val="17"/>
        <w:szCs w:val="17"/>
        <w:lang w:eastAsia="en-GB"/>
      </w:rPr>
      <w:t xml:space="preserve"> of </w:t>
    </w:r>
    <w:r w:rsidRPr="00A37E88">
      <w:rPr>
        <w:rFonts w:ascii="Arial" w:eastAsia="Times New Roman" w:hAnsi="Arial" w:cs="Times New Roman"/>
        <w:noProof/>
        <w:snapToGrid w:val="0"/>
        <w:sz w:val="17"/>
        <w:szCs w:val="17"/>
        <w:lang w:eastAsia="en-GB"/>
      </w:rPr>
      <w:fldChar w:fldCharType="begin"/>
    </w:r>
    <w:r w:rsidRPr="00A37E88">
      <w:rPr>
        <w:rFonts w:ascii="Arial" w:eastAsia="Times New Roman" w:hAnsi="Arial" w:cs="Times New Roman"/>
        <w:noProof/>
        <w:snapToGrid w:val="0"/>
        <w:sz w:val="17"/>
        <w:szCs w:val="17"/>
        <w:lang w:eastAsia="en-GB"/>
      </w:rPr>
      <w:instrText xml:space="preserve"> NUMPAGES </w:instrText>
    </w:r>
    <w:r w:rsidRPr="00A37E88">
      <w:rPr>
        <w:rFonts w:ascii="Arial" w:eastAsia="Times New Roman" w:hAnsi="Arial" w:cs="Times New Roman"/>
        <w:noProof/>
        <w:snapToGrid w:val="0"/>
        <w:sz w:val="17"/>
        <w:szCs w:val="17"/>
        <w:lang w:eastAsia="en-GB"/>
      </w:rPr>
      <w:fldChar w:fldCharType="separate"/>
    </w:r>
    <w:r w:rsidR="003608D5">
      <w:rPr>
        <w:rFonts w:ascii="Arial" w:eastAsia="Times New Roman" w:hAnsi="Arial" w:cs="Times New Roman"/>
        <w:noProof/>
        <w:snapToGrid w:val="0"/>
        <w:sz w:val="17"/>
        <w:szCs w:val="17"/>
        <w:lang w:eastAsia="en-GB"/>
      </w:rPr>
      <w:t>8</w:t>
    </w:r>
    <w:r w:rsidRPr="00A37E88">
      <w:rPr>
        <w:rFonts w:ascii="Arial" w:eastAsia="Times New Roman" w:hAnsi="Arial" w:cs="Times New Roman"/>
        <w:noProof/>
        <w:snapToGrid w:val="0"/>
        <w:sz w:val="17"/>
        <w:szCs w:val="17"/>
        <w:lang w:eastAsia="en-GB"/>
      </w:rPr>
      <w:fldChar w:fldCharType="end"/>
    </w:r>
  </w:p>
  <w:p w:rsidR="003B31AF" w:rsidRDefault="003B3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901" w:rsidRDefault="00650901" w:rsidP="00A37E88">
      <w:pPr>
        <w:spacing w:after="0" w:line="240" w:lineRule="auto"/>
      </w:pPr>
      <w:r>
        <w:separator/>
      </w:r>
    </w:p>
  </w:footnote>
  <w:footnote w:type="continuationSeparator" w:id="0">
    <w:p w:rsidR="00650901" w:rsidRDefault="00650901" w:rsidP="00A37E88">
      <w:pPr>
        <w:spacing w:after="0" w:line="240" w:lineRule="auto"/>
      </w:pPr>
      <w:r>
        <w:continuationSeparator/>
      </w:r>
    </w:p>
  </w:footnote>
  <w:footnote w:id="1">
    <w:p w:rsidR="007A56DE" w:rsidRPr="007A56DE" w:rsidRDefault="007A56DE">
      <w:pPr>
        <w:pStyle w:val="FootnoteText"/>
        <w:rPr>
          <w:rFonts w:ascii="Arial" w:hAnsi="Arial" w:cs="Arial"/>
          <w:sz w:val="16"/>
          <w:szCs w:val="16"/>
        </w:rPr>
      </w:pPr>
      <w:r>
        <w:rPr>
          <w:rStyle w:val="FootnoteReference"/>
        </w:rPr>
        <w:footnoteRef/>
      </w:r>
      <w:r>
        <w:t xml:space="preserve"> </w:t>
      </w:r>
      <w:r w:rsidRPr="007A56DE">
        <w:rPr>
          <w:rFonts w:ascii="Arial" w:hAnsi="Arial" w:cs="Arial"/>
          <w:sz w:val="16"/>
          <w:szCs w:val="16"/>
        </w:rPr>
        <w:t>As i</w:t>
      </w:r>
      <w:r w:rsidRPr="007A56DE">
        <w:rPr>
          <w:rFonts w:ascii="Arial" w:eastAsia="Times New Roman" w:hAnsi="Arial" w:cs="Arial"/>
          <w:sz w:val="16"/>
          <w:szCs w:val="16"/>
          <w:lang w:eastAsia="en-GB"/>
        </w:rPr>
        <w:t>ndicated</w:t>
      </w:r>
      <w:r w:rsidRPr="007A56DE">
        <w:rPr>
          <w:rFonts w:ascii="Arial" w:eastAsia="Times New Roman" w:hAnsi="Arial" w:cs="Arial"/>
          <w:sz w:val="16"/>
          <w:szCs w:val="16"/>
          <w:lang w:eastAsia="en-GB"/>
        </w:rPr>
        <w:t xml:space="preserve"> </w:t>
      </w:r>
      <w:r w:rsidRPr="007A56DE">
        <w:rPr>
          <w:rFonts w:ascii="Arial" w:eastAsia="Times New Roman" w:hAnsi="Arial" w:cs="Arial"/>
          <w:sz w:val="16"/>
          <w:szCs w:val="16"/>
          <w:lang w:eastAsia="en-GB"/>
        </w:rPr>
        <w:t xml:space="preserve">by the Completeness Indicator in the CANO message specifying </w:t>
      </w:r>
      <w:r w:rsidRPr="007A56DE">
        <w:rPr>
          <w:rFonts w:ascii="Arial" w:eastAsia="Times New Roman" w:hAnsi="Arial" w:cs="Arial"/>
          <w:sz w:val="16"/>
          <w:szCs w:val="16"/>
          <w:lang w:eastAsia="en-GB"/>
        </w:rPr>
        <w:t xml:space="preserve">whether the details provided about an event are complete </w:t>
      </w:r>
      <w:r w:rsidRPr="007A56DE">
        <w:rPr>
          <w:rFonts w:ascii="Arial" w:eastAsia="Times New Roman" w:hAnsi="Arial" w:cs="Arial"/>
          <w:sz w:val="16"/>
          <w:szCs w:val="16"/>
          <w:lang w:eastAsia="en-GB"/>
        </w:rPr>
        <w:t xml:space="preserve">(COMP) </w:t>
      </w:r>
      <w:r w:rsidRPr="007A56DE">
        <w:rPr>
          <w:rFonts w:ascii="Arial" w:eastAsia="Times New Roman" w:hAnsi="Arial" w:cs="Arial"/>
          <w:sz w:val="16"/>
          <w:szCs w:val="16"/>
          <w:lang w:eastAsia="en-GB"/>
        </w:rPr>
        <w:t>or incomplete</w:t>
      </w:r>
      <w:r w:rsidRPr="007A56DE">
        <w:rPr>
          <w:rFonts w:ascii="Arial" w:eastAsia="Times New Roman" w:hAnsi="Arial" w:cs="Arial"/>
          <w:sz w:val="16"/>
          <w:szCs w:val="16"/>
          <w:lang w:eastAsia="en-GB"/>
        </w:rPr>
        <w:t xml:space="preserve"> (INCO)</w:t>
      </w:r>
      <w:r w:rsidRPr="007A56DE">
        <w:rPr>
          <w:rFonts w:ascii="Arial" w:eastAsia="Times New Roman" w:hAnsi="Arial" w:cs="Arial"/>
          <w:sz w:val="16"/>
          <w:szCs w:val="16"/>
          <w:lang w:eastAsia="en-GB"/>
        </w:rPr>
        <w:t>.</w:t>
      </w:r>
    </w:p>
  </w:footnote>
  <w:footnote w:id="2">
    <w:p w:rsidR="003608D5" w:rsidRDefault="003608D5">
      <w:pPr>
        <w:pStyle w:val="FootnoteText"/>
      </w:pPr>
      <w:r>
        <w:rPr>
          <w:rStyle w:val="FootnoteReference"/>
        </w:rPr>
        <w:footnoteRef/>
      </w:r>
      <w:r>
        <w:t xml:space="preserve"> </w:t>
      </w:r>
      <w:r w:rsidRPr="003608D5">
        <w:rPr>
          <w:rFonts w:ascii="Arial" w:hAnsi="Arial" w:cs="Arial"/>
          <w:sz w:val="16"/>
          <w:szCs w:val="16"/>
        </w:rPr>
        <w:t xml:space="preserve">Please refer to the column entitled ‘SMPG Guideline Status’ in Annex 2 of the CMH-TF </w:t>
      </w:r>
      <w:hyperlink r:id="rId1" w:history="1">
        <w:r w:rsidRPr="003608D5">
          <w:rPr>
            <w:rStyle w:val="Hyperlink"/>
            <w:rFonts w:ascii="Arial" w:hAnsi="Arial" w:cs="Arial"/>
            <w:sz w:val="16"/>
            <w:szCs w:val="16"/>
          </w:rPr>
          <w:t>Report on Corporate Actions</w:t>
        </w:r>
      </w:hyperlink>
      <w:r w:rsidRPr="003608D5">
        <w:rPr>
          <w:rFonts w:ascii="Arial" w:hAnsi="Arial" w:cs="Arial"/>
          <w:sz w:val="16"/>
          <w:szCs w:val="16"/>
        </w:rPr>
        <w:t xml:space="preserve"> for the current status on SMPG Guidelines for populated ISO 20022 messages for CA events deemed relevant to </w:t>
      </w:r>
      <w:proofErr w:type="spellStart"/>
      <w:r w:rsidRPr="003608D5">
        <w:rPr>
          <w:rFonts w:ascii="Arial" w:hAnsi="Arial" w:cs="Arial"/>
          <w:sz w:val="16"/>
          <w:szCs w:val="16"/>
        </w:rPr>
        <w:t>Eurosystem</w:t>
      </w:r>
      <w:proofErr w:type="spellEnd"/>
      <w:r w:rsidRPr="003608D5">
        <w:rPr>
          <w:rFonts w:ascii="Arial" w:hAnsi="Arial" w:cs="Arial"/>
          <w:sz w:val="16"/>
          <w:szCs w:val="16"/>
        </w:rPr>
        <w:t xml:space="preserve"> </w:t>
      </w:r>
      <w:proofErr w:type="spellStart"/>
      <w:r w:rsidRPr="003608D5">
        <w:rPr>
          <w:rFonts w:ascii="Arial" w:hAnsi="Arial" w:cs="Arial"/>
          <w:sz w:val="16"/>
          <w:szCs w:val="16"/>
        </w:rPr>
        <w:t>eligble</w:t>
      </w:r>
      <w:proofErr w:type="spellEnd"/>
      <w:r w:rsidRPr="003608D5">
        <w:rPr>
          <w:rFonts w:ascii="Arial" w:hAnsi="Arial" w:cs="Arial"/>
          <w:sz w:val="16"/>
          <w:szCs w:val="16"/>
        </w:rPr>
        <w:t xml:space="preserve"> debt instruments.</w:t>
      </w:r>
    </w:p>
  </w:footnote>
  <w:footnote w:id="3">
    <w:p w:rsidR="007A56DE" w:rsidRDefault="007A56DE" w:rsidP="007A56DE">
      <w:pPr>
        <w:pStyle w:val="FootnoteText"/>
      </w:pPr>
      <w:r>
        <w:rPr>
          <w:rStyle w:val="FootnoteReference"/>
        </w:rPr>
        <w:footnoteRef/>
      </w:r>
      <w:r>
        <w:t xml:space="preserve"> Blocking r</w:t>
      </w:r>
      <w:r>
        <w:rPr>
          <w:rFonts w:cs="Arial"/>
          <w:color w:val="222222"/>
          <w:shd w:val="clear" w:color="auto" w:fill="FFFFFF"/>
        </w:rPr>
        <w:t>efers to a period of time in which an investor's </w:t>
      </w:r>
      <w:r w:rsidRPr="00A632A5">
        <w:rPr>
          <w:rFonts w:cs="Arial"/>
          <w:bCs/>
          <w:color w:val="222222"/>
          <w:shd w:val="clear" w:color="auto" w:fill="FFFFFF"/>
        </w:rPr>
        <w:t>securities</w:t>
      </w:r>
      <w:r>
        <w:rPr>
          <w:rFonts w:cs="Arial"/>
          <w:color w:val="222222"/>
          <w:shd w:val="clear" w:color="auto" w:fill="FFFFFF"/>
        </w:rPr>
        <w:t> are prevented from being accessed.</w:t>
      </w:r>
    </w:p>
  </w:footnote>
  <w:footnote w:id="4">
    <w:p w:rsidR="007A56DE" w:rsidRDefault="007A56DE" w:rsidP="007A56DE">
      <w:pPr>
        <w:pStyle w:val="FootnoteText"/>
      </w:pPr>
      <w:r>
        <w:rPr>
          <w:rStyle w:val="FootnoteReference"/>
        </w:rPr>
        <w:footnoteRef/>
      </w:r>
      <w:r>
        <w:t xml:space="preserve"> </w:t>
      </w:r>
      <w:r>
        <w:tab/>
      </w:r>
      <w:r w:rsidRPr="007124C0">
        <w:t>Some event types (e.g. DSCL or CONS) exist with or without record date. So, the table with the list of CA</w:t>
      </w:r>
      <w:r>
        <w:t xml:space="preserve"> Events</w:t>
      </w:r>
      <w:r w:rsidRPr="007124C0">
        <w:t xml:space="preserve"> cover most of the cases but that there are exceptions (blocking depends on the presence of a record 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1AF" w:rsidRDefault="003B31AF" w:rsidP="00A37E88">
    <w:pPr>
      <w:pStyle w:val="Header"/>
      <w:jc w:val="center"/>
    </w:pPr>
  </w:p>
  <w:p w:rsidR="003B31AF" w:rsidRDefault="003B31AF" w:rsidP="00A37E8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1AF" w:rsidRDefault="003B31AF" w:rsidP="00A37E88">
    <w:pPr>
      <w:pStyle w:val="Header"/>
      <w:jc w:val="center"/>
    </w:pPr>
    <w:r>
      <w:rPr>
        <w:noProof/>
        <w:lang w:eastAsia="en-GB"/>
      </w:rPr>
      <w:drawing>
        <wp:inline distT="0" distB="0" distL="0" distR="0" wp14:anchorId="52C62DE9" wp14:editId="17DC219B">
          <wp:extent cx="2219325"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92480"/>
                  </a:xfrm>
                  <a:prstGeom prst="rect">
                    <a:avLst/>
                  </a:prstGeom>
                  <a:noFill/>
                </pic:spPr>
              </pic:pic>
            </a:graphicData>
          </a:graphic>
        </wp:inline>
      </w:drawing>
    </w:r>
  </w:p>
  <w:p w:rsidR="003B31AF" w:rsidRDefault="003B31AF" w:rsidP="00A37E8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9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70AD9"/>
    <w:multiLevelType w:val="hybridMultilevel"/>
    <w:tmpl w:val="736ED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DB0966"/>
    <w:multiLevelType w:val="hybridMultilevel"/>
    <w:tmpl w:val="5B1C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2D6E05"/>
    <w:multiLevelType w:val="multilevel"/>
    <w:tmpl w:val="ED8CC7D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567B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AB49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CA27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B530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087626"/>
    <w:multiLevelType w:val="hybridMultilevel"/>
    <w:tmpl w:val="E022F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3EF1B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91C1F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7B3205"/>
    <w:multiLevelType w:val="hybridMultilevel"/>
    <w:tmpl w:val="66E0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4441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C942F17"/>
    <w:multiLevelType w:val="hybridMultilevel"/>
    <w:tmpl w:val="C9729A62"/>
    <w:lvl w:ilvl="0" w:tplc="1A103E2A">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BD31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FA31DF5"/>
    <w:multiLevelType w:val="hybridMultilevel"/>
    <w:tmpl w:val="E200C3E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44000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63648E"/>
    <w:multiLevelType w:val="hybridMultilevel"/>
    <w:tmpl w:val="AD54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1959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8E215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4CB7C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74D395F"/>
    <w:multiLevelType w:val="hybridMultilevel"/>
    <w:tmpl w:val="32A44404"/>
    <w:lvl w:ilvl="0" w:tplc="C54A1F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5E7F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A8258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AEA59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EB44B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1504F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41B7A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78037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B5E29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CE76B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E7C23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EBE10F8"/>
    <w:multiLevelType w:val="hybridMultilevel"/>
    <w:tmpl w:val="3D9E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3"/>
  </w:num>
  <w:num w:numId="4">
    <w:abstractNumId w:val="4"/>
  </w:num>
  <w:num w:numId="5">
    <w:abstractNumId w:val="16"/>
  </w:num>
  <w:num w:numId="6">
    <w:abstractNumId w:val="30"/>
  </w:num>
  <w:num w:numId="7">
    <w:abstractNumId w:val="28"/>
  </w:num>
  <w:num w:numId="8">
    <w:abstractNumId w:val="18"/>
  </w:num>
  <w:num w:numId="9">
    <w:abstractNumId w:val="25"/>
  </w:num>
  <w:num w:numId="10">
    <w:abstractNumId w:val="22"/>
  </w:num>
  <w:num w:numId="11">
    <w:abstractNumId w:val="24"/>
  </w:num>
  <w:num w:numId="12">
    <w:abstractNumId w:val="5"/>
  </w:num>
  <w:num w:numId="13">
    <w:abstractNumId w:val="19"/>
  </w:num>
  <w:num w:numId="14">
    <w:abstractNumId w:val="20"/>
  </w:num>
  <w:num w:numId="15">
    <w:abstractNumId w:val="27"/>
  </w:num>
  <w:num w:numId="16">
    <w:abstractNumId w:val="12"/>
  </w:num>
  <w:num w:numId="17">
    <w:abstractNumId w:val="29"/>
  </w:num>
  <w:num w:numId="18">
    <w:abstractNumId w:val="0"/>
  </w:num>
  <w:num w:numId="19">
    <w:abstractNumId w:val="26"/>
  </w:num>
  <w:num w:numId="20">
    <w:abstractNumId w:val="31"/>
  </w:num>
  <w:num w:numId="21">
    <w:abstractNumId w:val="23"/>
  </w:num>
  <w:num w:numId="22">
    <w:abstractNumId w:val="7"/>
  </w:num>
  <w:num w:numId="23">
    <w:abstractNumId w:val="14"/>
  </w:num>
  <w:num w:numId="24">
    <w:abstractNumId w:val="9"/>
  </w:num>
  <w:num w:numId="25">
    <w:abstractNumId w:val="1"/>
  </w:num>
  <w:num w:numId="26">
    <w:abstractNumId w:val="32"/>
  </w:num>
  <w:num w:numId="27">
    <w:abstractNumId w:val="13"/>
  </w:num>
  <w:num w:numId="28">
    <w:abstractNumId w:val="2"/>
  </w:num>
  <w:num w:numId="29">
    <w:abstractNumId w:val="11"/>
  </w:num>
  <w:num w:numId="30">
    <w:abstractNumId w:val="15"/>
  </w:num>
  <w:num w:numId="31">
    <w:abstractNumId w:val="17"/>
  </w:num>
  <w:num w:numId="32">
    <w:abstractNumId w:val="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CE"/>
    <w:rsid w:val="00033576"/>
    <w:rsid w:val="00057F64"/>
    <w:rsid w:val="00061552"/>
    <w:rsid w:val="000817B3"/>
    <w:rsid w:val="000A516B"/>
    <w:rsid w:val="001476B1"/>
    <w:rsid w:val="00181722"/>
    <w:rsid w:val="001A2D83"/>
    <w:rsid w:val="001C57BA"/>
    <w:rsid w:val="001D1100"/>
    <w:rsid w:val="001D6BB3"/>
    <w:rsid w:val="001E0238"/>
    <w:rsid w:val="00252273"/>
    <w:rsid w:val="00254BF4"/>
    <w:rsid w:val="00267328"/>
    <w:rsid w:val="00280162"/>
    <w:rsid w:val="002864F1"/>
    <w:rsid w:val="003438D0"/>
    <w:rsid w:val="003608D5"/>
    <w:rsid w:val="003B31AF"/>
    <w:rsid w:val="003C175C"/>
    <w:rsid w:val="003F0EB3"/>
    <w:rsid w:val="00470669"/>
    <w:rsid w:val="005068DF"/>
    <w:rsid w:val="00534704"/>
    <w:rsid w:val="005D25B9"/>
    <w:rsid w:val="005E4FBA"/>
    <w:rsid w:val="0061431F"/>
    <w:rsid w:val="00637A8F"/>
    <w:rsid w:val="00650901"/>
    <w:rsid w:val="00757EC5"/>
    <w:rsid w:val="007647F8"/>
    <w:rsid w:val="007A5628"/>
    <w:rsid w:val="007A56DE"/>
    <w:rsid w:val="007C5F48"/>
    <w:rsid w:val="008208B7"/>
    <w:rsid w:val="0082410A"/>
    <w:rsid w:val="008A2891"/>
    <w:rsid w:val="008C3577"/>
    <w:rsid w:val="008E0123"/>
    <w:rsid w:val="009757E2"/>
    <w:rsid w:val="009773DE"/>
    <w:rsid w:val="009C7BD9"/>
    <w:rsid w:val="009F5F4D"/>
    <w:rsid w:val="00A20C53"/>
    <w:rsid w:val="00A37E88"/>
    <w:rsid w:val="00A6698B"/>
    <w:rsid w:val="00A819D0"/>
    <w:rsid w:val="00AF320C"/>
    <w:rsid w:val="00B412E9"/>
    <w:rsid w:val="00B7735E"/>
    <w:rsid w:val="00BA71CE"/>
    <w:rsid w:val="00BE2ED4"/>
    <w:rsid w:val="00C1209A"/>
    <w:rsid w:val="00C31BF8"/>
    <w:rsid w:val="00C41C32"/>
    <w:rsid w:val="00C44F8F"/>
    <w:rsid w:val="00C66CF2"/>
    <w:rsid w:val="00CC5562"/>
    <w:rsid w:val="00CC6ADA"/>
    <w:rsid w:val="00D60C71"/>
    <w:rsid w:val="00D707DA"/>
    <w:rsid w:val="00D9240F"/>
    <w:rsid w:val="00E25913"/>
    <w:rsid w:val="00E739FB"/>
    <w:rsid w:val="00F447ED"/>
    <w:rsid w:val="00F82BFA"/>
    <w:rsid w:val="00FB0446"/>
    <w:rsid w:val="00FD3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3DE"/>
    <w:rPr>
      <w:color w:val="0000FF"/>
      <w:u w:val="single"/>
    </w:rPr>
  </w:style>
  <w:style w:type="paragraph" w:styleId="Header">
    <w:name w:val="header"/>
    <w:basedOn w:val="Normal"/>
    <w:link w:val="HeaderChar"/>
    <w:uiPriority w:val="99"/>
    <w:unhideWhenUsed/>
    <w:rsid w:val="00A37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E88"/>
  </w:style>
  <w:style w:type="paragraph" w:styleId="Footer">
    <w:name w:val="footer"/>
    <w:basedOn w:val="Normal"/>
    <w:link w:val="FooterChar"/>
    <w:uiPriority w:val="99"/>
    <w:unhideWhenUsed/>
    <w:rsid w:val="00A37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E88"/>
  </w:style>
  <w:style w:type="paragraph" w:styleId="BalloonText">
    <w:name w:val="Balloon Text"/>
    <w:basedOn w:val="Normal"/>
    <w:link w:val="BalloonTextChar"/>
    <w:uiPriority w:val="99"/>
    <w:semiHidden/>
    <w:unhideWhenUsed/>
    <w:rsid w:val="00A37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E88"/>
    <w:rPr>
      <w:rFonts w:ascii="Tahoma" w:hAnsi="Tahoma" w:cs="Tahoma"/>
      <w:sz w:val="16"/>
      <w:szCs w:val="16"/>
    </w:rPr>
  </w:style>
  <w:style w:type="paragraph" w:styleId="ListParagraph">
    <w:name w:val="List Paragraph"/>
    <w:basedOn w:val="Normal"/>
    <w:uiPriority w:val="34"/>
    <w:qFormat/>
    <w:rsid w:val="00A37E88"/>
    <w:pPr>
      <w:ind w:left="720"/>
      <w:contextualSpacing/>
    </w:pPr>
  </w:style>
  <w:style w:type="table" w:styleId="TableGrid">
    <w:name w:val="Table Grid"/>
    <w:basedOn w:val="TableNormal"/>
    <w:uiPriority w:val="59"/>
    <w:rsid w:val="006143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7BD9"/>
    <w:rPr>
      <w:sz w:val="16"/>
      <w:szCs w:val="16"/>
    </w:rPr>
  </w:style>
  <w:style w:type="paragraph" w:styleId="CommentText">
    <w:name w:val="annotation text"/>
    <w:basedOn w:val="Normal"/>
    <w:link w:val="CommentTextChar"/>
    <w:uiPriority w:val="99"/>
    <w:semiHidden/>
    <w:unhideWhenUsed/>
    <w:rsid w:val="009C7BD9"/>
    <w:pPr>
      <w:spacing w:line="240" w:lineRule="auto"/>
    </w:pPr>
    <w:rPr>
      <w:sz w:val="20"/>
      <w:szCs w:val="20"/>
    </w:rPr>
  </w:style>
  <w:style w:type="character" w:customStyle="1" w:styleId="CommentTextChar">
    <w:name w:val="Comment Text Char"/>
    <w:basedOn w:val="DefaultParagraphFont"/>
    <w:link w:val="CommentText"/>
    <w:uiPriority w:val="99"/>
    <w:semiHidden/>
    <w:rsid w:val="009C7BD9"/>
    <w:rPr>
      <w:sz w:val="20"/>
      <w:szCs w:val="20"/>
    </w:rPr>
  </w:style>
  <w:style w:type="paragraph" w:styleId="CommentSubject">
    <w:name w:val="annotation subject"/>
    <w:basedOn w:val="CommentText"/>
    <w:next w:val="CommentText"/>
    <w:link w:val="CommentSubjectChar"/>
    <w:uiPriority w:val="99"/>
    <w:semiHidden/>
    <w:unhideWhenUsed/>
    <w:rsid w:val="009C7BD9"/>
    <w:rPr>
      <w:b/>
      <w:bCs/>
    </w:rPr>
  </w:style>
  <w:style w:type="character" w:customStyle="1" w:styleId="CommentSubjectChar">
    <w:name w:val="Comment Subject Char"/>
    <w:basedOn w:val="CommentTextChar"/>
    <w:link w:val="CommentSubject"/>
    <w:uiPriority w:val="99"/>
    <w:semiHidden/>
    <w:rsid w:val="009C7BD9"/>
    <w:rPr>
      <w:b/>
      <w:bCs/>
      <w:sz w:val="20"/>
      <w:szCs w:val="20"/>
    </w:rPr>
  </w:style>
  <w:style w:type="paragraph" w:styleId="FootnoteText">
    <w:name w:val="footnote text"/>
    <w:basedOn w:val="Normal"/>
    <w:link w:val="FootnoteTextChar"/>
    <w:uiPriority w:val="99"/>
    <w:semiHidden/>
    <w:unhideWhenUsed/>
    <w:rsid w:val="007A56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56DE"/>
    <w:rPr>
      <w:sz w:val="20"/>
      <w:szCs w:val="20"/>
    </w:rPr>
  </w:style>
  <w:style w:type="character" w:styleId="FootnoteReference">
    <w:name w:val="footnote reference"/>
    <w:semiHidden/>
    <w:rsid w:val="007A56DE"/>
    <w:rPr>
      <w:vertAlign w:val="superscript"/>
    </w:rPr>
  </w:style>
  <w:style w:type="paragraph" w:styleId="EndnoteText">
    <w:name w:val="endnote text"/>
    <w:basedOn w:val="Normal"/>
    <w:link w:val="EndnoteTextChar"/>
    <w:uiPriority w:val="99"/>
    <w:semiHidden/>
    <w:unhideWhenUsed/>
    <w:rsid w:val="003608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08D5"/>
    <w:rPr>
      <w:sz w:val="20"/>
      <w:szCs w:val="20"/>
    </w:rPr>
  </w:style>
  <w:style w:type="character" w:styleId="EndnoteReference">
    <w:name w:val="endnote reference"/>
    <w:basedOn w:val="DefaultParagraphFont"/>
    <w:uiPriority w:val="99"/>
    <w:semiHidden/>
    <w:unhideWhenUsed/>
    <w:rsid w:val="003608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3DE"/>
    <w:rPr>
      <w:color w:val="0000FF"/>
      <w:u w:val="single"/>
    </w:rPr>
  </w:style>
  <w:style w:type="paragraph" w:styleId="Header">
    <w:name w:val="header"/>
    <w:basedOn w:val="Normal"/>
    <w:link w:val="HeaderChar"/>
    <w:uiPriority w:val="99"/>
    <w:unhideWhenUsed/>
    <w:rsid w:val="00A37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E88"/>
  </w:style>
  <w:style w:type="paragraph" w:styleId="Footer">
    <w:name w:val="footer"/>
    <w:basedOn w:val="Normal"/>
    <w:link w:val="FooterChar"/>
    <w:uiPriority w:val="99"/>
    <w:unhideWhenUsed/>
    <w:rsid w:val="00A37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E88"/>
  </w:style>
  <w:style w:type="paragraph" w:styleId="BalloonText">
    <w:name w:val="Balloon Text"/>
    <w:basedOn w:val="Normal"/>
    <w:link w:val="BalloonTextChar"/>
    <w:uiPriority w:val="99"/>
    <w:semiHidden/>
    <w:unhideWhenUsed/>
    <w:rsid w:val="00A37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E88"/>
    <w:rPr>
      <w:rFonts w:ascii="Tahoma" w:hAnsi="Tahoma" w:cs="Tahoma"/>
      <w:sz w:val="16"/>
      <w:szCs w:val="16"/>
    </w:rPr>
  </w:style>
  <w:style w:type="paragraph" w:styleId="ListParagraph">
    <w:name w:val="List Paragraph"/>
    <w:basedOn w:val="Normal"/>
    <w:uiPriority w:val="34"/>
    <w:qFormat/>
    <w:rsid w:val="00A37E88"/>
    <w:pPr>
      <w:ind w:left="720"/>
      <w:contextualSpacing/>
    </w:pPr>
  </w:style>
  <w:style w:type="table" w:styleId="TableGrid">
    <w:name w:val="Table Grid"/>
    <w:basedOn w:val="TableNormal"/>
    <w:uiPriority w:val="59"/>
    <w:rsid w:val="006143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7BD9"/>
    <w:rPr>
      <w:sz w:val="16"/>
      <w:szCs w:val="16"/>
    </w:rPr>
  </w:style>
  <w:style w:type="paragraph" w:styleId="CommentText">
    <w:name w:val="annotation text"/>
    <w:basedOn w:val="Normal"/>
    <w:link w:val="CommentTextChar"/>
    <w:uiPriority w:val="99"/>
    <w:semiHidden/>
    <w:unhideWhenUsed/>
    <w:rsid w:val="009C7BD9"/>
    <w:pPr>
      <w:spacing w:line="240" w:lineRule="auto"/>
    </w:pPr>
    <w:rPr>
      <w:sz w:val="20"/>
      <w:szCs w:val="20"/>
    </w:rPr>
  </w:style>
  <w:style w:type="character" w:customStyle="1" w:styleId="CommentTextChar">
    <w:name w:val="Comment Text Char"/>
    <w:basedOn w:val="DefaultParagraphFont"/>
    <w:link w:val="CommentText"/>
    <w:uiPriority w:val="99"/>
    <w:semiHidden/>
    <w:rsid w:val="009C7BD9"/>
    <w:rPr>
      <w:sz w:val="20"/>
      <w:szCs w:val="20"/>
    </w:rPr>
  </w:style>
  <w:style w:type="paragraph" w:styleId="CommentSubject">
    <w:name w:val="annotation subject"/>
    <w:basedOn w:val="CommentText"/>
    <w:next w:val="CommentText"/>
    <w:link w:val="CommentSubjectChar"/>
    <w:uiPriority w:val="99"/>
    <w:semiHidden/>
    <w:unhideWhenUsed/>
    <w:rsid w:val="009C7BD9"/>
    <w:rPr>
      <w:b/>
      <w:bCs/>
    </w:rPr>
  </w:style>
  <w:style w:type="character" w:customStyle="1" w:styleId="CommentSubjectChar">
    <w:name w:val="Comment Subject Char"/>
    <w:basedOn w:val="CommentTextChar"/>
    <w:link w:val="CommentSubject"/>
    <w:uiPriority w:val="99"/>
    <w:semiHidden/>
    <w:rsid w:val="009C7BD9"/>
    <w:rPr>
      <w:b/>
      <w:bCs/>
      <w:sz w:val="20"/>
      <w:szCs w:val="20"/>
    </w:rPr>
  </w:style>
  <w:style w:type="paragraph" w:styleId="FootnoteText">
    <w:name w:val="footnote text"/>
    <w:basedOn w:val="Normal"/>
    <w:link w:val="FootnoteTextChar"/>
    <w:uiPriority w:val="99"/>
    <w:semiHidden/>
    <w:unhideWhenUsed/>
    <w:rsid w:val="007A56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56DE"/>
    <w:rPr>
      <w:sz w:val="20"/>
      <w:szCs w:val="20"/>
    </w:rPr>
  </w:style>
  <w:style w:type="character" w:styleId="FootnoteReference">
    <w:name w:val="footnote reference"/>
    <w:semiHidden/>
    <w:rsid w:val="007A56DE"/>
    <w:rPr>
      <w:vertAlign w:val="superscript"/>
    </w:rPr>
  </w:style>
  <w:style w:type="paragraph" w:styleId="EndnoteText">
    <w:name w:val="endnote text"/>
    <w:basedOn w:val="Normal"/>
    <w:link w:val="EndnoteTextChar"/>
    <w:uiPriority w:val="99"/>
    <w:semiHidden/>
    <w:unhideWhenUsed/>
    <w:rsid w:val="003608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08D5"/>
    <w:rPr>
      <w:sz w:val="20"/>
      <w:szCs w:val="20"/>
    </w:rPr>
  </w:style>
  <w:style w:type="character" w:styleId="EndnoteReference">
    <w:name w:val="endnote reference"/>
    <w:basedOn w:val="DefaultParagraphFont"/>
    <w:uiPriority w:val="99"/>
    <w:semiHidden/>
    <w:unhideWhenUsed/>
    <w:rsid w:val="003608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6970">
      <w:bodyDiv w:val="1"/>
      <w:marLeft w:val="0"/>
      <w:marRight w:val="0"/>
      <w:marTop w:val="0"/>
      <w:marBottom w:val="0"/>
      <w:divBdr>
        <w:top w:val="none" w:sz="0" w:space="0" w:color="auto"/>
        <w:left w:val="none" w:sz="0" w:space="0" w:color="auto"/>
        <w:bottom w:val="none" w:sz="0" w:space="0" w:color="auto"/>
        <w:right w:val="none" w:sz="0" w:space="0" w:color="auto"/>
      </w:divBdr>
    </w:div>
    <w:div w:id="37435633">
      <w:bodyDiv w:val="1"/>
      <w:marLeft w:val="0"/>
      <w:marRight w:val="0"/>
      <w:marTop w:val="0"/>
      <w:marBottom w:val="0"/>
      <w:divBdr>
        <w:top w:val="none" w:sz="0" w:space="0" w:color="auto"/>
        <w:left w:val="none" w:sz="0" w:space="0" w:color="auto"/>
        <w:bottom w:val="none" w:sz="0" w:space="0" w:color="auto"/>
        <w:right w:val="none" w:sz="0" w:space="0" w:color="auto"/>
      </w:divBdr>
    </w:div>
    <w:div w:id="57288041">
      <w:bodyDiv w:val="1"/>
      <w:marLeft w:val="0"/>
      <w:marRight w:val="0"/>
      <w:marTop w:val="0"/>
      <w:marBottom w:val="0"/>
      <w:divBdr>
        <w:top w:val="none" w:sz="0" w:space="0" w:color="auto"/>
        <w:left w:val="none" w:sz="0" w:space="0" w:color="auto"/>
        <w:bottom w:val="none" w:sz="0" w:space="0" w:color="auto"/>
        <w:right w:val="none" w:sz="0" w:space="0" w:color="auto"/>
      </w:divBdr>
    </w:div>
    <w:div w:id="88427788">
      <w:bodyDiv w:val="1"/>
      <w:marLeft w:val="0"/>
      <w:marRight w:val="0"/>
      <w:marTop w:val="0"/>
      <w:marBottom w:val="0"/>
      <w:divBdr>
        <w:top w:val="none" w:sz="0" w:space="0" w:color="auto"/>
        <w:left w:val="none" w:sz="0" w:space="0" w:color="auto"/>
        <w:bottom w:val="none" w:sz="0" w:space="0" w:color="auto"/>
        <w:right w:val="none" w:sz="0" w:space="0" w:color="auto"/>
      </w:divBdr>
    </w:div>
    <w:div w:id="104158737">
      <w:bodyDiv w:val="1"/>
      <w:marLeft w:val="0"/>
      <w:marRight w:val="0"/>
      <w:marTop w:val="0"/>
      <w:marBottom w:val="0"/>
      <w:divBdr>
        <w:top w:val="none" w:sz="0" w:space="0" w:color="auto"/>
        <w:left w:val="none" w:sz="0" w:space="0" w:color="auto"/>
        <w:bottom w:val="none" w:sz="0" w:space="0" w:color="auto"/>
        <w:right w:val="none" w:sz="0" w:space="0" w:color="auto"/>
      </w:divBdr>
    </w:div>
    <w:div w:id="113254212">
      <w:bodyDiv w:val="1"/>
      <w:marLeft w:val="0"/>
      <w:marRight w:val="0"/>
      <w:marTop w:val="0"/>
      <w:marBottom w:val="0"/>
      <w:divBdr>
        <w:top w:val="none" w:sz="0" w:space="0" w:color="auto"/>
        <w:left w:val="none" w:sz="0" w:space="0" w:color="auto"/>
        <w:bottom w:val="none" w:sz="0" w:space="0" w:color="auto"/>
        <w:right w:val="none" w:sz="0" w:space="0" w:color="auto"/>
      </w:divBdr>
    </w:div>
    <w:div w:id="127405659">
      <w:bodyDiv w:val="1"/>
      <w:marLeft w:val="0"/>
      <w:marRight w:val="0"/>
      <w:marTop w:val="0"/>
      <w:marBottom w:val="0"/>
      <w:divBdr>
        <w:top w:val="none" w:sz="0" w:space="0" w:color="auto"/>
        <w:left w:val="none" w:sz="0" w:space="0" w:color="auto"/>
        <w:bottom w:val="none" w:sz="0" w:space="0" w:color="auto"/>
        <w:right w:val="none" w:sz="0" w:space="0" w:color="auto"/>
      </w:divBdr>
    </w:div>
    <w:div w:id="128088782">
      <w:bodyDiv w:val="1"/>
      <w:marLeft w:val="0"/>
      <w:marRight w:val="0"/>
      <w:marTop w:val="0"/>
      <w:marBottom w:val="0"/>
      <w:divBdr>
        <w:top w:val="none" w:sz="0" w:space="0" w:color="auto"/>
        <w:left w:val="none" w:sz="0" w:space="0" w:color="auto"/>
        <w:bottom w:val="none" w:sz="0" w:space="0" w:color="auto"/>
        <w:right w:val="none" w:sz="0" w:space="0" w:color="auto"/>
      </w:divBdr>
    </w:div>
    <w:div w:id="151800519">
      <w:bodyDiv w:val="1"/>
      <w:marLeft w:val="0"/>
      <w:marRight w:val="0"/>
      <w:marTop w:val="0"/>
      <w:marBottom w:val="0"/>
      <w:divBdr>
        <w:top w:val="none" w:sz="0" w:space="0" w:color="auto"/>
        <w:left w:val="none" w:sz="0" w:space="0" w:color="auto"/>
        <w:bottom w:val="none" w:sz="0" w:space="0" w:color="auto"/>
        <w:right w:val="none" w:sz="0" w:space="0" w:color="auto"/>
      </w:divBdr>
    </w:div>
    <w:div w:id="163595963">
      <w:bodyDiv w:val="1"/>
      <w:marLeft w:val="0"/>
      <w:marRight w:val="0"/>
      <w:marTop w:val="0"/>
      <w:marBottom w:val="0"/>
      <w:divBdr>
        <w:top w:val="none" w:sz="0" w:space="0" w:color="auto"/>
        <w:left w:val="none" w:sz="0" w:space="0" w:color="auto"/>
        <w:bottom w:val="none" w:sz="0" w:space="0" w:color="auto"/>
        <w:right w:val="none" w:sz="0" w:space="0" w:color="auto"/>
      </w:divBdr>
    </w:div>
    <w:div w:id="172457513">
      <w:bodyDiv w:val="1"/>
      <w:marLeft w:val="0"/>
      <w:marRight w:val="0"/>
      <w:marTop w:val="0"/>
      <w:marBottom w:val="0"/>
      <w:divBdr>
        <w:top w:val="none" w:sz="0" w:space="0" w:color="auto"/>
        <w:left w:val="none" w:sz="0" w:space="0" w:color="auto"/>
        <w:bottom w:val="none" w:sz="0" w:space="0" w:color="auto"/>
        <w:right w:val="none" w:sz="0" w:space="0" w:color="auto"/>
      </w:divBdr>
    </w:div>
    <w:div w:id="201793812">
      <w:bodyDiv w:val="1"/>
      <w:marLeft w:val="0"/>
      <w:marRight w:val="0"/>
      <w:marTop w:val="0"/>
      <w:marBottom w:val="0"/>
      <w:divBdr>
        <w:top w:val="none" w:sz="0" w:space="0" w:color="auto"/>
        <w:left w:val="none" w:sz="0" w:space="0" w:color="auto"/>
        <w:bottom w:val="none" w:sz="0" w:space="0" w:color="auto"/>
        <w:right w:val="none" w:sz="0" w:space="0" w:color="auto"/>
      </w:divBdr>
    </w:div>
    <w:div w:id="236745068">
      <w:bodyDiv w:val="1"/>
      <w:marLeft w:val="0"/>
      <w:marRight w:val="0"/>
      <w:marTop w:val="0"/>
      <w:marBottom w:val="0"/>
      <w:divBdr>
        <w:top w:val="none" w:sz="0" w:space="0" w:color="auto"/>
        <w:left w:val="none" w:sz="0" w:space="0" w:color="auto"/>
        <w:bottom w:val="none" w:sz="0" w:space="0" w:color="auto"/>
        <w:right w:val="none" w:sz="0" w:space="0" w:color="auto"/>
      </w:divBdr>
    </w:div>
    <w:div w:id="268971537">
      <w:bodyDiv w:val="1"/>
      <w:marLeft w:val="0"/>
      <w:marRight w:val="0"/>
      <w:marTop w:val="0"/>
      <w:marBottom w:val="0"/>
      <w:divBdr>
        <w:top w:val="none" w:sz="0" w:space="0" w:color="auto"/>
        <w:left w:val="none" w:sz="0" w:space="0" w:color="auto"/>
        <w:bottom w:val="none" w:sz="0" w:space="0" w:color="auto"/>
        <w:right w:val="none" w:sz="0" w:space="0" w:color="auto"/>
      </w:divBdr>
    </w:div>
    <w:div w:id="270741514">
      <w:bodyDiv w:val="1"/>
      <w:marLeft w:val="0"/>
      <w:marRight w:val="0"/>
      <w:marTop w:val="0"/>
      <w:marBottom w:val="0"/>
      <w:divBdr>
        <w:top w:val="none" w:sz="0" w:space="0" w:color="auto"/>
        <w:left w:val="none" w:sz="0" w:space="0" w:color="auto"/>
        <w:bottom w:val="none" w:sz="0" w:space="0" w:color="auto"/>
        <w:right w:val="none" w:sz="0" w:space="0" w:color="auto"/>
      </w:divBdr>
    </w:div>
    <w:div w:id="286593805">
      <w:bodyDiv w:val="1"/>
      <w:marLeft w:val="0"/>
      <w:marRight w:val="0"/>
      <w:marTop w:val="0"/>
      <w:marBottom w:val="0"/>
      <w:divBdr>
        <w:top w:val="none" w:sz="0" w:space="0" w:color="auto"/>
        <w:left w:val="none" w:sz="0" w:space="0" w:color="auto"/>
        <w:bottom w:val="none" w:sz="0" w:space="0" w:color="auto"/>
        <w:right w:val="none" w:sz="0" w:space="0" w:color="auto"/>
      </w:divBdr>
    </w:div>
    <w:div w:id="308362731">
      <w:bodyDiv w:val="1"/>
      <w:marLeft w:val="0"/>
      <w:marRight w:val="0"/>
      <w:marTop w:val="0"/>
      <w:marBottom w:val="0"/>
      <w:divBdr>
        <w:top w:val="none" w:sz="0" w:space="0" w:color="auto"/>
        <w:left w:val="none" w:sz="0" w:space="0" w:color="auto"/>
        <w:bottom w:val="none" w:sz="0" w:space="0" w:color="auto"/>
        <w:right w:val="none" w:sz="0" w:space="0" w:color="auto"/>
      </w:divBdr>
    </w:div>
    <w:div w:id="317809105">
      <w:bodyDiv w:val="1"/>
      <w:marLeft w:val="0"/>
      <w:marRight w:val="0"/>
      <w:marTop w:val="0"/>
      <w:marBottom w:val="0"/>
      <w:divBdr>
        <w:top w:val="none" w:sz="0" w:space="0" w:color="auto"/>
        <w:left w:val="none" w:sz="0" w:space="0" w:color="auto"/>
        <w:bottom w:val="none" w:sz="0" w:space="0" w:color="auto"/>
        <w:right w:val="none" w:sz="0" w:space="0" w:color="auto"/>
      </w:divBdr>
    </w:div>
    <w:div w:id="330834843">
      <w:bodyDiv w:val="1"/>
      <w:marLeft w:val="0"/>
      <w:marRight w:val="0"/>
      <w:marTop w:val="0"/>
      <w:marBottom w:val="0"/>
      <w:divBdr>
        <w:top w:val="none" w:sz="0" w:space="0" w:color="auto"/>
        <w:left w:val="none" w:sz="0" w:space="0" w:color="auto"/>
        <w:bottom w:val="none" w:sz="0" w:space="0" w:color="auto"/>
        <w:right w:val="none" w:sz="0" w:space="0" w:color="auto"/>
      </w:divBdr>
    </w:div>
    <w:div w:id="361832002">
      <w:bodyDiv w:val="1"/>
      <w:marLeft w:val="0"/>
      <w:marRight w:val="0"/>
      <w:marTop w:val="0"/>
      <w:marBottom w:val="0"/>
      <w:divBdr>
        <w:top w:val="none" w:sz="0" w:space="0" w:color="auto"/>
        <w:left w:val="none" w:sz="0" w:space="0" w:color="auto"/>
        <w:bottom w:val="none" w:sz="0" w:space="0" w:color="auto"/>
        <w:right w:val="none" w:sz="0" w:space="0" w:color="auto"/>
      </w:divBdr>
    </w:div>
    <w:div w:id="363021493">
      <w:bodyDiv w:val="1"/>
      <w:marLeft w:val="0"/>
      <w:marRight w:val="0"/>
      <w:marTop w:val="0"/>
      <w:marBottom w:val="0"/>
      <w:divBdr>
        <w:top w:val="none" w:sz="0" w:space="0" w:color="auto"/>
        <w:left w:val="none" w:sz="0" w:space="0" w:color="auto"/>
        <w:bottom w:val="none" w:sz="0" w:space="0" w:color="auto"/>
        <w:right w:val="none" w:sz="0" w:space="0" w:color="auto"/>
      </w:divBdr>
    </w:div>
    <w:div w:id="371540847">
      <w:bodyDiv w:val="1"/>
      <w:marLeft w:val="0"/>
      <w:marRight w:val="0"/>
      <w:marTop w:val="0"/>
      <w:marBottom w:val="0"/>
      <w:divBdr>
        <w:top w:val="none" w:sz="0" w:space="0" w:color="auto"/>
        <w:left w:val="none" w:sz="0" w:space="0" w:color="auto"/>
        <w:bottom w:val="none" w:sz="0" w:space="0" w:color="auto"/>
        <w:right w:val="none" w:sz="0" w:space="0" w:color="auto"/>
      </w:divBdr>
    </w:div>
    <w:div w:id="374549846">
      <w:bodyDiv w:val="1"/>
      <w:marLeft w:val="0"/>
      <w:marRight w:val="0"/>
      <w:marTop w:val="0"/>
      <w:marBottom w:val="0"/>
      <w:divBdr>
        <w:top w:val="none" w:sz="0" w:space="0" w:color="auto"/>
        <w:left w:val="none" w:sz="0" w:space="0" w:color="auto"/>
        <w:bottom w:val="none" w:sz="0" w:space="0" w:color="auto"/>
        <w:right w:val="none" w:sz="0" w:space="0" w:color="auto"/>
      </w:divBdr>
    </w:div>
    <w:div w:id="377778112">
      <w:bodyDiv w:val="1"/>
      <w:marLeft w:val="0"/>
      <w:marRight w:val="0"/>
      <w:marTop w:val="0"/>
      <w:marBottom w:val="0"/>
      <w:divBdr>
        <w:top w:val="none" w:sz="0" w:space="0" w:color="auto"/>
        <w:left w:val="none" w:sz="0" w:space="0" w:color="auto"/>
        <w:bottom w:val="none" w:sz="0" w:space="0" w:color="auto"/>
        <w:right w:val="none" w:sz="0" w:space="0" w:color="auto"/>
      </w:divBdr>
    </w:div>
    <w:div w:id="415249733">
      <w:bodyDiv w:val="1"/>
      <w:marLeft w:val="0"/>
      <w:marRight w:val="0"/>
      <w:marTop w:val="0"/>
      <w:marBottom w:val="0"/>
      <w:divBdr>
        <w:top w:val="none" w:sz="0" w:space="0" w:color="auto"/>
        <w:left w:val="none" w:sz="0" w:space="0" w:color="auto"/>
        <w:bottom w:val="none" w:sz="0" w:space="0" w:color="auto"/>
        <w:right w:val="none" w:sz="0" w:space="0" w:color="auto"/>
      </w:divBdr>
    </w:div>
    <w:div w:id="419448218">
      <w:bodyDiv w:val="1"/>
      <w:marLeft w:val="0"/>
      <w:marRight w:val="0"/>
      <w:marTop w:val="0"/>
      <w:marBottom w:val="0"/>
      <w:divBdr>
        <w:top w:val="none" w:sz="0" w:space="0" w:color="auto"/>
        <w:left w:val="none" w:sz="0" w:space="0" w:color="auto"/>
        <w:bottom w:val="none" w:sz="0" w:space="0" w:color="auto"/>
        <w:right w:val="none" w:sz="0" w:space="0" w:color="auto"/>
      </w:divBdr>
    </w:div>
    <w:div w:id="509176362">
      <w:bodyDiv w:val="1"/>
      <w:marLeft w:val="0"/>
      <w:marRight w:val="0"/>
      <w:marTop w:val="0"/>
      <w:marBottom w:val="0"/>
      <w:divBdr>
        <w:top w:val="none" w:sz="0" w:space="0" w:color="auto"/>
        <w:left w:val="none" w:sz="0" w:space="0" w:color="auto"/>
        <w:bottom w:val="none" w:sz="0" w:space="0" w:color="auto"/>
        <w:right w:val="none" w:sz="0" w:space="0" w:color="auto"/>
      </w:divBdr>
    </w:div>
    <w:div w:id="572160040">
      <w:bodyDiv w:val="1"/>
      <w:marLeft w:val="0"/>
      <w:marRight w:val="0"/>
      <w:marTop w:val="0"/>
      <w:marBottom w:val="0"/>
      <w:divBdr>
        <w:top w:val="none" w:sz="0" w:space="0" w:color="auto"/>
        <w:left w:val="none" w:sz="0" w:space="0" w:color="auto"/>
        <w:bottom w:val="none" w:sz="0" w:space="0" w:color="auto"/>
        <w:right w:val="none" w:sz="0" w:space="0" w:color="auto"/>
      </w:divBdr>
    </w:div>
    <w:div w:id="601911851">
      <w:bodyDiv w:val="1"/>
      <w:marLeft w:val="0"/>
      <w:marRight w:val="0"/>
      <w:marTop w:val="0"/>
      <w:marBottom w:val="0"/>
      <w:divBdr>
        <w:top w:val="none" w:sz="0" w:space="0" w:color="auto"/>
        <w:left w:val="none" w:sz="0" w:space="0" w:color="auto"/>
        <w:bottom w:val="none" w:sz="0" w:space="0" w:color="auto"/>
        <w:right w:val="none" w:sz="0" w:space="0" w:color="auto"/>
      </w:divBdr>
    </w:div>
    <w:div w:id="603613048">
      <w:bodyDiv w:val="1"/>
      <w:marLeft w:val="0"/>
      <w:marRight w:val="0"/>
      <w:marTop w:val="0"/>
      <w:marBottom w:val="0"/>
      <w:divBdr>
        <w:top w:val="none" w:sz="0" w:space="0" w:color="auto"/>
        <w:left w:val="none" w:sz="0" w:space="0" w:color="auto"/>
        <w:bottom w:val="none" w:sz="0" w:space="0" w:color="auto"/>
        <w:right w:val="none" w:sz="0" w:space="0" w:color="auto"/>
      </w:divBdr>
    </w:div>
    <w:div w:id="613682582">
      <w:bodyDiv w:val="1"/>
      <w:marLeft w:val="0"/>
      <w:marRight w:val="0"/>
      <w:marTop w:val="0"/>
      <w:marBottom w:val="0"/>
      <w:divBdr>
        <w:top w:val="none" w:sz="0" w:space="0" w:color="auto"/>
        <w:left w:val="none" w:sz="0" w:space="0" w:color="auto"/>
        <w:bottom w:val="none" w:sz="0" w:space="0" w:color="auto"/>
        <w:right w:val="none" w:sz="0" w:space="0" w:color="auto"/>
      </w:divBdr>
    </w:div>
    <w:div w:id="636224467">
      <w:bodyDiv w:val="1"/>
      <w:marLeft w:val="0"/>
      <w:marRight w:val="0"/>
      <w:marTop w:val="0"/>
      <w:marBottom w:val="0"/>
      <w:divBdr>
        <w:top w:val="none" w:sz="0" w:space="0" w:color="auto"/>
        <w:left w:val="none" w:sz="0" w:space="0" w:color="auto"/>
        <w:bottom w:val="none" w:sz="0" w:space="0" w:color="auto"/>
        <w:right w:val="none" w:sz="0" w:space="0" w:color="auto"/>
      </w:divBdr>
    </w:div>
    <w:div w:id="671568452">
      <w:bodyDiv w:val="1"/>
      <w:marLeft w:val="0"/>
      <w:marRight w:val="0"/>
      <w:marTop w:val="0"/>
      <w:marBottom w:val="0"/>
      <w:divBdr>
        <w:top w:val="none" w:sz="0" w:space="0" w:color="auto"/>
        <w:left w:val="none" w:sz="0" w:space="0" w:color="auto"/>
        <w:bottom w:val="none" w:sz="0" w:space="0" w:color="auto"/>
        <w:right w:val="none" w:sz="0" w:space="0" w:color="auto"/>
      </w:divBdr>
    </w:div>
    <w:div w:id="684135164">
      <w:bodyDiv w:val="1"/>
      <w:marLeft w:val="0"/>
      <w:marRight w:val="0"/>
      <w:marTop w:val="0"/>
      <w:marBottom w:val="0"/>
      <w:divBdr>
        <w:top w:val="none" w:sz="0" w:space="0" w:color="auto"/>
        <w:left w:val="none" w:sz="0" w:space="0" w:color="auto"/>
        <w:bottom w:val="none" w:sz="0" w:space="0" w:color="auto"/>
        <w:right w:val="none" w:sz="0" w:space="0" w:color="auto"/>
      </w:divBdr>
    </w:div>
    <w:div w:id="695427146">
      <w:bodyDiv w:val="1"/>
      <w:marLeft w:val="0"/>
      <w:marRight w:val="0"/>
      <w:marTop w:val="0"/>
      <w:marBottom w:val="0"/>
      <w:divBdr>
        <w:top w:val="none" w:sz="0" w:space="0" w:color="auto"/>
        <w:left w:val="none" w:sz="0" w:space="0" w:color="auto"/>
        <w:bottom w:val="none" w:sz="0" w:space="0" w:color="auto"/>
        <w:right w:val="none" w:sz="0" w:space="0" w:color="auto"/>
      </w:divBdr>
    </w:div>
    <w:div w:id="845708300">
      <w:bodyDiv w:val="1"/>
      <w:marLeft w:val="0"/>
      <w:marRight w:val="0"/>
      <w:marTop w:val="0"/>
      <w:marBottom w:val="0"/>
      <w:divBdr>
        <w:top w:val="none" w:sz="0" w:space="0" w:color="auto"/>
        <w:left w:val="none" w:sz="0" w:space="0" w:color="auto"/>
        <w:bottom w:val="none" w:sz="0" w:space="0" w:color="auto"/>
        <w:right w:val="none" w:sz="0" w:space="0" w:color="auto"/>
      </w:divBdr>
    </w:div>
    <w:div w:id="902452337">
      <w:bodyDiv w:val="1"/>
      <w:marLeft w:val="0"/>
      <w:marRight w:val="0"/>
      <w:marTop w:val="0"/>
      <w:marBottom w:val="0"/>
      <w:divBdr>
        <w:top w:val="none" w:sz="0" w:space="0" w:color="auto"/>
        <w:left w:val="none" w:sz="0" w:space="0" w:color="auto"/>
        <w:bottom w:val="none" w:sz="0" w:space="0" w:color="auto"/>
        <w:right w:val="none" w:sz="0" w:space="0" w:color="auto"/>
      </w:divBdr>
    </w:div>
    <w:div w:id="930427251">
      <w:bodyDiv w:val="1"/>
      <w:marLeft w:val="0"/>
      <w:marRight w:val="0"/>
      <w:marTop w:val="0"/>
      <w:marBottom w:val="0"/>
      <w:divBdr>
        <w:top w:val="none" w:sz="0" w:space="0" w:color="auto"/>
        <w:left w:val="none" w:sz="0" w:space="0" w:color="auto"/>
        <w:bottom w:val="none" w:sz="0" w:space="0" w:color="auto"/>
        <w:right w:val="none" w:sz="0" w:space="0" w:color="auto"/>
      </w:divBdr>
    </w:div>
    <w:div w:id="940529212">
      <w:bodyDiv w:val="1"/>
      <w:marLeft w:val="0"/>
      <w:marRight w:val="0"/>
      <w:marTop w:val="0"/>
      <w:marBottom w:val="0"/>
      <w:divBdr>
        <w:top w:val="none" w:sz="0" w:space="0" w:color="auto"/>
        <w:left w:val="none" w:sz="0" w:space="0" w:color="auto"/>
        <w:bottom w:val="none" w:sz="0" w:space="0" w:color="auto"/>
        <w:right w:val="none" w:sz="0" w:space="0" w:color="auto"/>
      </w:divBdr>
    </w:div>
    <w:div w:id="979842929">
      <w:bodyDiv w:val="1"/>
      <w:marLeft w:val="0"/>
      <w:marRight w:val="0"/>
      <w:marTop w:val="0"/>
      <w:marBottom w:val="0"/>
      <w:divBdr>
        <w:top w:val="none" w:sz="0" w:space="0" w:color="auto"/>
        <w:left w:val="none" w:sz="0" w:space="0" w:color="auto"/>
        <w:bottom w:val="none" w:sz="0" w:space="0" w:color="auto"/>
        <w:right w:val="none" w:sz="0" w:space="0" w:color="auto"/>
      </w:divBdr>
    </w:div>
    <w:div w:id="1014579432">
      <w:bodyDiv w:val="1"/>
      <w:marLeft w:val="0"/>
      <w:marRight w:val="0"/>
      <w:marTop w:val="0"/>
      <w:marBottom w:val="0"/>
      <w:divBdr>
        <w:top w:val="none" w:sz="0" w:space="0" w:color="auto"/>
        <w:left w:val="none" w:sz="0" w:space="0" w:color="auto"/>
        <w:bottom w:val="none" w:sz="0" w:space="0" w:color="auto"/>
        <w:right w:val="none" w:sz="0" w:space="0" w:color="auto"/>
      </w:divBdr>
    </w:div>
    <w:div w:id="1015226385">
      <w:bodyDiv w:val="1"/>
      <w:marLeft w:val="0"/>
      <w:marRight w:val="0"/>
      <w:marTop w:val="0"/>
      <w:marBottom w:val="0"/>
      <w:divBdr>
        <w:top w:val="none" w:sz="0" w:space="0" w:color="auto"/>
        <w:left w:val="none" w:sz="0" w:space="0" w:color="auto"/>
        <w:bottom w:val="none" w:sz="0" w:space="0" w:color="auto"/>
        <w:right w:val="none" w:sz="0" w:space="0" w:color="auto"/>
      </w:divBdr>
    </w:div>
    <w:div w:id="1074201010">
      <w:bodyDiv w:val="1"/>
      <w:marLeft w:val="0"/>
      <w:marRight w:val="0"/>
      <w:marTop w:val="0"/>
      <w:marBottom w:val="0"/>
      <w:divBdr>
        <w:top w:val="none" w:sz="0" w:space="0" w:color="auto"/>
        <w:left w:val="none" w:sz="0" w:space="0" w:color="auto"/>
        <w:bottom w:val="none" w:sz="0" w:space="0" w:color="auto"/>
        <w:right w:val="none" w:sz="0" w:space="0" w:color="auto"/>
      </w:divBdr>
    </w:div>
    <w:div w:id="1085499027">
      <w:bodyDiv w:val="1"/>
      <w:marLeft w:val="0"/>
      <w:marRight w:val="0"/>
      <w:marTop w:val="0"/>
      <w:marBottom w:val="0"/>
      <w:divBdr>
        <w:top w:val="none" w:sz="0" w:space="0" w:color="auto"/>
        <w:left w:val="none" w:sz="0" w:space="0" w:color="auto"/>
        <w:bottom w:val="none" w:sz="0" w:space="0" w:color="auto"/>
        <w:right w:val="none" w:sz="0" w:space="0" w:color="auto"/>
      </w:divBdr>
    </w:div>
    <w:div w:id="1139884824">
      <w:bodyDiv w:val="1"/>
      <w:marLeft w:val="0"/>
      <w:marRight w:val="0"/>
      <w:marTop w:val="0"/>
      <w:marBottom w:val="0"/>
      <w:divBdr>
        <w:top w:val="none" w:sz="0" w:space="0" w:color="auto"/>
        <w:left w:val="none" w:sz="0" w:space="0" w:color="auto"/>
        <w:bottom w:val="none" w:sz="0" w:space="0" w:color="auto"/>
        <w:right w:val="none" w:sz="0" w:space="0" w:color="auto"/>
      </w:divBdr>
    </w:div>
    <w:div w:id="1151019905">
      <w:bodyDiv w:val="1"/>
      <w:marLeft w:val="0"/>
      <w:marRight w:val="0"/>
      <w:marTop w:val="0"/>
      <w:marBottom w:val="0"/>
      <w:divBdr>
        <w:top w:val="none" w:sz="0" w:space="0" w:color="auto"/>
        <w:left w:val="none" w:sz="0" w:space="0" w:color="auto"/>
        <w:bottom w:val="none" w:sz="0" w:space="0" w:color="auto"/>
        <w:right w:val="none" w:sz="0" w:space="0" w:color="auto"/>
      </w:divBdr>
    </w:div>
    <w:div w:id="1152016897">
      <w:bodyDiv w:val="1"/>
      <w:marLeft w:val="0"/>
      <w:marRight w:val="0"/>
      <w:marTop w:val="0"/>
      <w:marBottom w:val="0"/>
      <w:divBdr>
        <w:top w:val="none" w:sz="0" w:space="0" w:color="auto"/>
        <w:left w:val="none" w:sz="0" w:space="0" w:color="auto"/>
        <w:bottom w:val="none" w:sz="0" w:space="0" w:color="auto"/>
        <w:right w:val="none" w:sz="0" w:space="0" w:color="auto"/>
      </w:divBdr>
    </w:div>
    <w:div w:id="1170439275">
      <w:bodyDiv w:val="1"/>
      <w:marLeft w:val="0"/>
      <w:marRight w:val="0"/>
      <w:marTop w:val="0"/>
      <w:marBottom w:val="0"/>
      <w:divBdr>
        <w:top w:val="none" w:sz="0" w:space="0" w:color="auto"/>
        <w:left w:val="none" w:sz="0" w:space="0" w:color="auto"/>
        <w:bottom w:val="none" w:sz="0" w:space="0" w:color="auto"/>
        <w:right w:val="none" w:sz="0" w:space="0" w:color="auto"/>
      </w:divBdr>
    </w:div>
    <w:div w:id="1188061066">
      <w:bodyDiv w:val="1"/>
      <w:marLeft w:val="0"/>
      <w:marRight w:val="0"/>
      <w:marTop w:val="0"/>
      <w:marBottom w:val="0"/>
      <w:divBdr>
        <w:top w:val="none" w:sz="0" w:space="0" w:color="auto"/>
        <w:left w:val="none" w:sz="0" w:space="0" w:color="auto"/>
        <w:bottom w:val="none" w:sz="0" w:space="0" w:color="auto"/>
        <w:right w:val="none" w:sz="0" w:space="0" w:color="auto"/>
      </w:divBdr>
    </w:div>
    <w:div w:id="1233656404">
      <w:bodyDiv w:val="1"/>
      <w:marLeft w:val="0"/>
      <w:marRight w:val="0"/>
      <w:marTop w:val="0"/>
      <w:marBottom w:val="0"/>
      <w:divBdr>
        <w:top w:val="none" w:sz="0" w:space="0" w:color="auto"/>
        <w:left w:val="none" w:sz="0" w:space="0" w:color="auto"/>
        <w:bottom w:val="none" w:sz="0" w:space="0" w:color="auto"/>
        <w:right w:val="none" w:sz="0" w:space="0" w:color="auto"/>
      </w:divBdr>
    </w:div>
    <w:div w:id="1236941431">
      <w:bodyDiv w:val="1"/>
      <w:marLeft w:val="0"/>
      <w:marRight w:val="0"/>
      <w:marTop w:val="0"/>
      <w:marBottom w:val="0"/>
      <w:divBdr>
        <w:top w:val="none" w:sz="0" w:space="0" w:color="auto"/>
        <w:left w:val="none" w:sz="0" w:space="0" w:color="auto"/>
        <w:bottom w:val="none" w:sz="0" w:space="0" w:color="auto"/>
        <w:right w:val="none" w:sz="0" w:space="0" w:color="auto"/>
      </w:divBdr>
    </w:div>
    <w:div w:id="1253322471">
      <w:bodyDiv w:val="1"/>
      <w:marLeft w:val="0"/>
      <w:marRight w:val="0"/>
      <w:marTop w:val="0"/>
      <w:marBottom w:val="0"/>
      <w:divBdr>
        <w:top w:val="none" w:sz="0" w:space="0" w:color="auto"/>
        <w:left w:val="none" w:sz="0" w:space="0" w:color="auto"/>
        <w:bottom w:val="none" w:sz="0" w:space="0" w:color="auto"/>
        <w:right w:val="none" w:sz="0" w:space="0" w:color="auto"/>
      </w:divBdr>
    </w:div>
    <w:div w:id="1289823348">
      <w:bodyDiv w:val="1"/>
      <w:marLeft w:val="0"/>
      <w:marRight w:val="0"/>
      <w:marTop w:val="0"/>
      <w:marBottom w:val="0"/>
      <w:divBdr>
        <w:top w:val="none" w:sz="0" w:space="0" w:color="auto"/>
        <w:left w:val="none" w:sz="0" w:space="0" w:color="auto"/>
        <w:bottom w:val="none" w:sz="0" w:space="0" w:color="auto"/>
        <w:right w:val="none" w:sz="0" w:space="0" w:color="auto"/>
      </w:divBdr>
    </w:div>
    <w:div w:id="1325209263">
      <w:bodyDiv w:val="1"/>
      <w:marLeft w:val="0"/>
      <w:marRight w:val="0"/>
      <w:marTop w:val="0"/>
      <w:marBottom w:val="0"/>
      <w:divBdr>
        <w:top w:val="none" w:sz="0" w:space="0" w:color="auto"/>
        <w:left w:val="none" w:sz="0" w:space="0" w:color="auto"/>
        <w:bottom w:val="none" w:sz="0" w:space="0" w:color="auto"/>
        <w:right w:val="none" w:sz="0" w:space="0" w:color="auto"/>
      </w:divBdr>
    </w:div>
    <w:div w:id="1332416262">
      <w:bodyDiv w:val="1"/>
      <w:marLeft w:val="0"/>
      <w:marRight w:val="0"/>
      <w:marTop w:val="0"/>
      <w:marBottom w:val="0"/>
      <w:divBdr>
        <w:top w:val="none" w:sz="0" w:space="0" w:color="auto"/>
        <w:left w:val="none" w:sz="0" w:space="0" w:color="auto"/>
        <w:bottom w:val="none" w:sz="0" w:space="0" w:color="auto"/>
        <w:right w:val="none" w:sz="0" w:space="0" w:color="auto"/>
      </w:divBdr>
    </w:div>
    <w:div w:id="1425414343">
      <w:bodyDiv w:val="1"/>
      <w:marLeft w:val="0"/>
      <w:marRight w:val="0"/>
      <w:marTop w:val="0"/>
      <w:marBottom w:val="0"/>
      <w:divBdr>
        <w:top w:val="none" w:sz="0" w:space="0" w:color="auto"/>
        <w:left w:val="none" w:sz="0" w:space="0" w:color="auto"/>
        <w:bottom w:val="none" w:sz="0" w:space="0" w:color="auto"/>
        <w:right w:val="none" w:sz="0" w:space="0" w:color="auto"/>
      </w:divBdr>
    </w:div>
    <w:div w:id="1425565450">
      <w:bodyDiv w:val="1"/>
      <w:marLeft w:val="0"/>
      <w:marRight w:val="0"/>
      <w:marTop w:val="0"/>
      <w:marBottom w:val="0"/>
      <w:divBdr>
        <w:top w:val="none" w:sz="0" w:space="0" w:color="auto"/>
        <w:left w:val="none" w:sz="0" w:space="0" w:color="auto"/>
        <w:bottom w:val="none" w:sz="0" w:space="0" w:color="auto"/>
        <w:right w:val="none" w:sz="0" w:space="0" w:color="auto"/>
      </w:divBdr>
    </w:div>
    <w:div w:id="1449469623">
      <w:bodyDiv w:val="1"/>
      <w:marLeft w:val="0"/>
      <w:marRight w:val="0"/>
      <w:marTop w:val="0"/>
      <w:marBottom w:val="0"/>
      <w:divBdr>
        <w:top w:val="none" w:sz="0" w:space="0" w:color="auto"/>
        <w:left w:val="none" w:sz="0" w:space="0" w:color="auto"/>
        <w:bottom w:val="none" w:sz="0" w:space="0" w:color="auto"/>
        <w:right w:val="none" w:sz="0" w:space="0" w:color="auto"/>
      </w:divBdr>
    </w:div>
    <w:div w:id="1475636665">
      <w:bodyDiv w:val="1"/>
      <w:marLeft w:val="0"/>
      <w:marRight w:val="0"/>
      <w:marTop w:val="0"/>
      <w:marBottom w:val="0"/>
      <w:divBdr>
        <w:top w:val="none" w:sz="0" w:space="0" w:color="auto"/>
        <w:left w:val="none" w:sz="0" w:space="0" w:color="auto"/>
        <w:bottom w:val="none" w:sz="0" w:space="0" w:color="auto"/>
        <w:right w:val="none" w:sz="0" w:space="0" w:color="auto"/>
      </w:divBdr>
    </w:div>
    <w:div w:id="1503161018">
      <w:bodyDiv w:val="1"/>
      <w:marLeft w:val="0"/>
      <w:marRight w:val="0"/>
      <w:marTop w:val="0"/>
      <w:marBottom w:val="0"/>
      <w:divBdr>
        <w:top w:val="none" w:sz="0" w:space="0" w:color="auto"/>
        <w:left w:val="none" w:sz="0" w:space="0" w:color="auto"/>
        <w:bottom w:val="none" w:sz="0" w:space="0" w:color="auto"/>
        <w:right w:val="none" w:sz="0" w:space="0" w:color="auto"/>
      </w:divBdr>
    </w:div>
    <w:div w:id="1524126034">
      <w:bodyDiv w:val="1"/>
      <w:marLeft w:val="0"/>
      <w:marRight w:val="0"/>
      <w:marTop w:val="0"/>
      <w:marBottom w:val="0"/>
      <w:divBdr>
        <w:top w:val="none" w:sz="0" w:space="0" w:color="auto"/>
        <w:left w:val="none" w:sz="0" w:space="0" w:color="auto"/>
        <w:bottom w:val="none" w:sz="0" w:space="0" w:color="auto"/>
        <w:right w:val="none" w:sz="0" w:space="0" w:color="auto"/>
      </w:divBdr>
    </w:div>
    <w:div w:id="1540587226">
      <w:bodyDiv w:val="1"/>
      <w:marLeft w:val="0"/>
      <w:marRight w:val="0"/>
      <w:marTop w:val="0"/>
      <w:marBottom w:val="0"/>
      <w:divBdr>
        <w:top w:val="none" w:sz="0" w:space="0" w:color="auto"/>
        <w:left w:val="none" w:sz="0" w:space="0" w:color="auto"/>
        <w:bottom w:val="none" w:sz="0" w:space="0" w:color="auto"/>
        <w:right w:val="none" w:sz="0" w:space="0" w:color="auto"/>
      </w:divBdr>
    </w:div>
    <w:div w:id="1599097922">
      <w:bodyDiv w:val="1"/>
      <w:marLeft w:val="0"/>
      <w:marRight w:val="0"/>
      <w:marTop w:val="0"/>
      <w:marBottom w:val="0"/>
      <w:divBdr>
        <w:top w:val="none" w:sz="0" w:space="0" w:color="auto"/>
        <w:left w:val="none" w:sz="0" w:space="0" w:color="auto"/>
        <w:bottom w:val="none" w:sz="0" w:space="0" w:color="auto"/>
        <w:right w:val="none" w:sz="0" w:space="0" w:color="auto"/>
      </w:divBdr>
    </w:div>
    <w:div w:id="1609924113">
      <w:bodyDiv w:val="1"/>
      <w:marLeft w:val="0"/>
      <w:marRight w:val="0"/>
      <w:marTop w:val="0"/>
      <w:marBottom w:val="0"/>
      <w:divBdr>
        <w:top w:val="none" w:sz="0" w:space="0" w:color="auto"/>
        <w:left w:val="none" w:sz="0" w:space="0" w:color="auto"/>
        <w:bottom w:val="none" w:sz="0" w:space="0" w:color="auto"/>
        <w:right w:val="none" w:sz="0" w:space="0" w:color="auto"/>
      </w:divBdr>
    </w:div>
    <w:div w:id="1725517815">
      <w:bodyDiv w:val="1"/>
      <w:marLeft w:val="0"/>
      <w:marRight w:val="0"/>
      <w:marTop w:val="0"/>
      <w:marBottom w:val="0"/>
      <w:divBdr>
        <w:top w:val="none" w:sz="0" w:space="0" w:color="auto"/>
        <w:left w:val="none" w:sz="0" w:space="0" w:color="auto"/>
        <w:bottom w:val="none" w:sz="0" w:space="0" w:color="auto"/>
        <w:right w:val="none" w:sz="0" w:space="0" w:color="auto"/>
      </w:divBdr>
    </w:div>
    <w:div w:id="1727073089">
      <w:bodyDiv w:val="1"/>
      <w:marLeft w:val="0"/>
      <w:marRight w:val="0"/>
      <w:marTop w:val="0"/>
      <w:marBottom w:val="0"/>
      <w:divBdr>
        <w:top w:val="none" w:sz="0" w:space="0" w:color="auto"/>
        <w:left w:val="none" w:sz="0" w:space="0" w:color="auto"/>
        <w:bottom w:val="none" w:sz="0" w:space="0" w:color="auto"/>
        <w:right w:val="none" w:sz="0" w:space="0" w:color="auto"/>
      </w:divBdr>
    </w:div>
    <w:div w:id="1764374201">
      <w:bodyDiv w:val="1"/>
      <w:marLeft w:val="0"/>
      <w:marRight w:val="0"/>
      <w:marTop w:val="0"/>
      <w:marBottom w:val="0"/>
      <w:divBdr>
        <w:top w:val="none" w:sz="0" w:space="0" w:color="auto"/>
        <w:left w:val="none" w:sz="0" w:space="0" w:color="auto"/>
        <w:bottom w:val="none" w:sz="0" w:space="0" w:color="auto"/>
        <w:right w:val="none" w:sz="0" w:space="0" w:color="auto"/>
      </w:divBdr>
    </w:div>
    <w:div w:id="1787771681">
      <w:bodyDiv w:val="1"/>
      <w:marLeft w:val="0"/>
      <w:marRight w:val="0"/>
      <w:marTop w:val="0"/>
      <w:marBottom w:val="0"/>
      <w:divBdr>
        <w:top w:val="none" w:sz="0" w:space="0" w:color="auto"/>
        <w:left w:val="none" w:sz="0" w:space="0" w:color="auto"/>
        <w:bottom w:val="none" w:sz="0" w:space="0" w:color="auto"/>
        <w:right w:val="none" w:sz="0" w:space="0" w:color="auto"/>
      </w:divBdr>
    </w:div>
    <w:div w:id="1819110573">
      <w:bodyDiv w:val="1"/>
      <w:marLeft w:val="0"/>
      <w:marRight w:val="0"/>
      <w:marTop w:val="0"/>
      <w:marBottom w:val="0"/>
      <w:divBdr>
        <w:top w:val="none" w:sz="0" w:space="0" w:color="auto"/>
        <w:left w:val="none" w:sz="0" w:space="0" w:color="auto"/>
        <w:bottom w:val="none" w:sz="0" w:space="0" w:color="auto"/>
        <w:right w:val="none" w:sz="0" w:space="0" w:color="auto"/>
      </w:divBdr>
    </w:div>
    <w:div w:id="1841891579">
      <w:bodyDiv w:val="1"/>
      <w:marLeft w:val="0"/>
      <w:marRight w:val="0"/>
      <w:marTop w:val="0"/>
      <w:marBottom w:val="0"/>
      <w:divBdr>
        <w:top w:val="none" w:sz="0" w:space="0" w:color="auto"/>
        <w:left w:val="none" w:sz="0" w:space="0" w:color="auto"/>
        <w:bottom w:val="none" w:sz="0" w:space="0" w:color="auto"/>
        <w:right w:val="none" w:sz="0" w:space="0" w:color="auto"/>
      </w:divBdr>
    </w:div>
    <w:div w:id="1871524918">
      <w:bodyDiv w:val="1"/>
      <w:marLeft w:val="0"/>
      <w:marRight w:val="0"/>
      <w:marTop w:val="0"/>
      <w:marBottom w:val="0"/>
      <w:divBdr>
        <w:top w:val="none" w:sz="0" w:space="0" w:color="auto"/>
        <w:left w:val="none" w:sz="0" w:space="0" w:color="auto"/>
        <w:bottom w:val="none" w:sz="0" w:space="0" w:color="auto"/>
        <w:right w:val="none" w:sz="0" w:space="0" w:color="auto"/>
      </w:divBdr>
    </w:div>
    <w:div w:id="1944535516">
      <w:bodyDiv w:val="1"/>
      <w:marLeft w:val="0"/>
      <w:marRight w:val="0"/>
      <w:marTop w:val="0"/>
      <w:marBottom w:val="0"/>
      <w:divBdr>
        <w:top w:val="none" w:sz="0" w:space="0" w:color="auto"/>
        <w:left w:val="none" w:sz="0" w:space="0" w:color="auto"/>
        <w:bottom w:val="none" w:sz="0" w:space="0" w:color="auto"/>
        <w:right w:val="none" w:sz="0" w:space="0" w:color="auto"/>
      </w:divBdr>
    </w:div>
    <w:div w:id="2006207621">
      <w:bodyDiv w:val="1"/>
      <w:marLeft w:val="0"/>
      <w:marRight w:val="0"/>
      <w:marTop w:val="0"/>
      <w:marBottom w:val="0"/>
      <w:divBdr>
        <w:top w:val="none" w:sz="0" w:space="0" w:color="auto"/>
        <w:left w:val="none" w:sz="0" w:space="0" w:color="auto"/>
        <w:bottom w:val="none" w:sz="0" w:space="0" w:color="auto"/>
        <w:right w:val="none" w:sz="0" w:space="0" w:color="auto"/>
      </w:divBdr>
    </w:div>
    <w:div w:id="2027364746">
      <w:bodyDiv w:val="1"/>
      <w:marLeft w:val="0"/>
      <w:marRight w:val="0"/>
      <w:marTop w:val="0"/>
      <w:marBottom w:val="0"/>
      <w:divBdr>
        <w:top w:val="none" w:sz="0" w:space="0" w:color="auto"/>
        <w:left w:val="none" w:sz="0" w:space="0" w:color="auto"/>
        <w:bottom w:val="none" w:sz="0" w:space="0" w:color="auto"/>
        <w:right w:val="none" w:sz="0" w:space="0" w:color="auto"/>
      </w:divBdr>
    </w:div>
    <w:div w:id="2031225561">
      <w:bodyDiv w:val="1"/>
      <w:marLeft w:val="0"/>
      <w:marRight w:val="0"/>
      <w:marTop w:val="0"/>
      <w:marBottom w:val="0"/>
      <w:divBdr>
        <w:top w:val="none" w:sz="0" w:space="0" w:color="auto"/>
        <w:left w:val="none" w:sz="0" w:space="0" w:color="auto"/>
        <w:bottom w:val="none" w:sz="0" w:space="0" w:color="auto"/>
        <w:right w:val="none" w:sz="0" w:space="0" w:color="auto"/>
      </w:divBdr>
    </w:div>
    <w:div w:id="2122600559">
      <w:bodyDiv w:val="1"/>
      <w:marLeft w:val="0"/>
      <w:marRight w:val="0"/>
      <w:marTop w:val="0"/>
      <w:marBottom w:val="0"/>
      <w:divBdr>
        <w:top w:val="none" w:sz="0" w:space="0" w:color="auto"/>
        <w:left w:val="none" w:sz="0" w:space="0" w:color="auto"/>
        <w:bottom w:val="none" w:sz="0" w:space="0" w:color="auto"/>
        <w:right w:val="none" w:sz="0" w:space="0" w:color="auto"/>
      </w:divBdr>
    </w:div>
    <w:div w:id="213798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ecb.europa.eu/paym/initiatives/shared/docs/d5f88-ami-seco-2018-06-22-item-04.1-cmh-tf-report-on-corporate-actions.pdf" TargetMode="External"/><Relationship Id="rId4" Type="http://schemas.microsoft.com/office/2007/relationships/stylesWithEffects" Target="stylesWithEffects.xml"/><Relationship Id="rId9" Type="http://schemas.openxmlformats.org/officeDocument/2006/relationships/hyperlink" Target="mailto:collateral_management_harmonisation@ecb.europa.e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cb.europa.eu/paym/initiatives/shared/docs/d5f88-ami-seco-2018-06-22-item-04.1-cmh-tf-report-on-corporate-act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66B2C-8888-4DD1-A723-2D522E64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2772</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European Central Bank</Company>
  <LinksUpToDate>false</LinksUpToDate>
  <CharactersWithSpaces>18537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Gary</dc:creator>
  <cp:lastModifiedBy>McNamara, Gary</cp:lastModifiedBy>
  <cp:revision>6</cp:revision>
  <dcterms:created xsi:type="dcterms:W3CDTF">2018-11-06T19:18:00Z</dcterms:created>
  <dcterms:modified xsi:type="dcterms:W3CDTF">2018-11-07T10:30:00Z</dcterms:modified>
</cp:coreProperties>
</file>