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B7" w:rsidRPr="004D4827" w:rsidRDefault="003C7157" w:rsidP="006365B7">
      <w:r w:rsidRPr="004D4827">
        <w:t>Dear all,</w:t>
      </w:r>
    </w:p>
    <w:p w:rsidR="003C7157" w:rsidRPr="004D4827" w:rsidRDefault="003C7157" w:rsidP="006365B7"/>
    <w:p w:rsidR="000A3642" w:rsidRDefault="003C7157" w:rsidP="006365B7">
      <w:r>
        <w:t xml:space="preserve">We would like to clarify a case where the use of MT564 function qualifier CANC lead to a difference in opinion concerning the </w:t>
      </w:r>
      <w:r w:rsidR="000A3642">
        <w:t xml:space="preserve">validity and status of such an event, as </w:t>
      </w:r>
      <w:r w:rsidR="00077338">
        <w:t>an</w:t>
      </w:r>
      <w:r w:rsidR="000A3642">
        <w:t xml:space="preserve"> account servicer subsequently sent a NEWM again with the same CORP-</w:t>
      </w:r>
      <w:r w:rsidR="00F24BA2">
        <w:t>r</w:t>
      </w:r>
      <w:r w:rsidR="000A3642">
        <w:t>eference stated in the CANC message.</w:t>
      </w:r>
    </w:p>
    <w:p w:rsidR="003C7157" w:rsidRDefault="000A3642" w:rsidP="006365B7">
      <w:r>
        <w:t>This query does not concern the cancellation of previously sent “Preliminary Advice of Payment” message as described in the SWIFT Standards Message Reference Guide Volume 3 on page 723.</w:t>
      </w:r>
    </w:p>
    <w:p w:rsidR="000A3642" w:rsidRDefault="000A3642" w:rsidP="006365B7"/>
    <w:p w:rsidR="000A3642" w:rsidRDefault="00077338" w:rsidP="006365B7">
      <w:r>
        <w:t>An</w:t>
      </w:r>
      <w:r w:rsidR="000A3642">
        <w:t xml:space="preserve"> account servicer sent out a CANC message after the NEWM </w:t>
      </w:r>
      <w:r>
        <w:t xml:space="preserve">as </w:t>
      </w:r>
      <w:r w:rsidR="00437987">
        <w:t>they</w:t>
      </w:r>
      <w:r>
        <w:t xml:space="preserve"> subsequently received information indicating</w:t>
      </w:r>
      <w:r w:rsidR="000A3642">
        <w:t xml:space="preserve">, that the recipient was not entitled to receive information </w:t>
      </w:r>
      <w:r>
        <w:t>about n</w:t>
      </w:r>
      <w:r w:rsidR="000A3642">
        <w:t>or participate in the event due to regulatory restrictions.</w:t>
      </w:r>
    </w:p>
    <w:p w:rsidR="000A3642" w:rsidRDefault="000A3642" w:rsidP="006365B7">
      <w:r>
        <w:t xml:space="preserve">After </w:t>
      </w:r>
      <w:r w:rsidR="00077338">
        <w:t>sending the CANC message</w:t>
      </w:r>
      <w:r w:rsidR="003C6BF2">
        <w:t xml:space="preserve">, the account servicer realized that the presumed restrictions did not apply </w:t>
      </w:r>
      <w:r w:rsidR="002754A8">
        <w:t xml:space="preserve">after all </w:t>
      </w:r>
      <w:r w:rsidR="00C6474A">
        <w:t>for</w:t>
      </w:r>
      <w:r w:rsidR="00F24BA2">
        <w:t xml:space="preserve"> the recipient.</w:t>
      </w:r>
      <w:r w:rsidR="00077338">
        <w:t xml:space="preserve"> Therefore,</w:t>
      </w:r>
      <w:r w:rsidR="00F24BA2">
        <w:t xml:space="preserve"> the account servicer sent out a NEWM with the same CORP-Reference previously used for the original NEWM and the CANC.</w:t>
      </w:r>
    </w:p>
    <w:p w:rsidR="00077338" w:rsidRDefault="00F24BA2" w:rsidP="006365B7">
      <w:r>
        <w:t xml:space="preserve">The </w:t>
      </w:r>
      <w:r w:rsidR="00077338">
        <w:t xml:space="preserve">account servicer’s reasoning </w:t>
      </w:r>
      <w:r>
        <w:t>behind re-using the CORP-reference is that no key elements of the event changed as described in pt. 3.6.2 of GMP1 document p. 29 and that</w:t>
      </w:r>
      <w:r w:rsidR="00077338">
        <w:t xml:space="preserve"> it is not clearly stated in GMP1, that the same CORP-ref</w:t>
      </w:r>
      <w:r w:rsidR="00D5617E">
        <w:t>erence can’t be used again, where as in the case of a withdrawal (WITH), GMP1 clearly states that the CORP-reference must not be used again.</w:t>
      </w:r>
    </w:p>
    <w:p w:rsidR="002754A8" w:rsidRDefault="002754A8" w:rsidP="006365B7"/>
    <w:p w:rsidR="00F24BA2" w:rsidRDefault="002754A8" w:rsidP="006365B7">
      <w:r>
        <w:t>The recipient of the MT564 messages is arguing that once an event is cancelled the same CORP-reference must not be used again and the account servicer must set up the event with a new CORP-reference.</w:t>
      </w:r>
      <w:r w:rsidR="00F24BA2">
        <w:t xml:space="preserve">  </w:t>
      </w:r>
    </w:p>
    <w:p w:rsidR="000A3642" w:rsidRPr="003C7157" w:rsidRDefault="000A3642" w:rsidP="006365B7">
      <w:bookmarkStart w:id="0" w:name="_GoBack"/>
      <w:bookmarkEnd w:id="0"/>
    </w:p>
    <w:sectPr w:rsidR="000A3642" w:rsidRPr="003C7157" w:rsidSect="00A06BB3">
      <w:footerReference w:type="default" r:id="rId11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57" w:rsidRDefault="003C7157" w:rsidP="00D91F59">
      <w:r>
        <w:separator/>
      </w:r>
    </w:p>
  </w:endnote>
  <w:endnote w:type="continuationSeparator" w:id="0">
    <w:p w:rsidR="003C7157" w:rsidRDefault="003C7157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edit Suisse Headline">
    <w:panose1 w:val="020B0504030101020102"/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7D" w:rsidRPr="00A7457D" w:rsidRDefault="00A7457D" w:rsidP="00403D1C">
    <w:pPr>
      <w:rPr>
        <w:color w:val="3F3F3F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3F3F3F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3F3F3F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EC436F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3F3F3F" w:themeColor="text2" w:themeShade="80"/>
                        <w:szCs w:val="20"/>
                      </w:rPr>
                    </w:pP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3F3F3F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57" w:rsidRDefault="003C7157" w:rsidP="00D91F59">
      <w:r>
        <w:separator/>
      </w:r>
    </w:p>
  </w:footnote>
  <w:footnote w:type="continuationSeparator" w:id="0">
    <w:p w:rsidR="003C7157" w:rsidRDefault="003C7157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0A2"/>
    <w:multiLevelType w:val="multilevel"/>
    <w:tmpl w:val="FCF615A8"/>
    <w:numStyleLink w:val="ListCS"/>
  </w:abstractNum>
  <w:abstractNum w:abstractNumId="7" w15:restartNumberingAfterBreak="0">
    <w:nsid w:val="34E86371"/>
    <w:multiLevelType w:val="multilevel"/>
    <w:tmpl w:val="FCF615A8"/>
    <w:numStyleLink w:val="ListCS"/>
  </w:abstractNum>
  <w:abstractNum w:abstractNumId="8" w15:restartNumberingAfterBreak="0">
    <w:nsid w:val="3531541D"/>
    <w:multiLevelType w:val="multilevel"/>
    <w:tmpl w:val="FCF615A8"/>
    <w:numStyleLink w:val="ListCS"/>
  </w:abstractNum>
  <w:abstractNum w:abstractNumId="9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57"/>
    <w:rsid w:val="0000041D"/>
    <w:rsid w:val="000144B8"/>
    <w:rsid w:val="00033348"/>
    <w:rsid w:val="0004045D"/>
    <w:rsid w:val="00055C3A"/>
    <w:rsid w:val="00064279"/>
    <w:rsid w:val="000716DB"/>
    <w:rsid w:val="0007327B"/>
    <w:rsid w:val="00077338"/>
    <w:rsid w:val="00084D15"/>
    <w:rsid w:val="00090DC1"/>
    <w:rsid w:val="000A3642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754A8"/>
    <w:rsid w:val="002A40FF"/>
    <w:rsid w:val="002A42B8"/>
    <w:rsid w:val="002B65A8"/>
    <w:rsid w:val="003271DE"/>
    <w:rsid w:val="00345889"/>
    <w:rsid w:val="00370E6D"/>
    <w:rsid w:val="003810CF"/>
    <w:rsid w:val="003C6BF2"/>
    <w:rsid w:val="003C7157"/>
    <w:rsid w:val="00403D1C"/>
    <w:rsid w:val="004047B4"/>
    <w:rsid w:val="00437987"/>
    <w:rsid w:val="00445B2A"/>
    <w:rsid w:val="00452CE5"/>
    <w:rsid w:val="004630C4"/>
    <w:rsid w:val="004B1475"/>
    <w:rsid w:val="004C0E79"/>
    <w:rsid w:val="004D4827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816014"/>
    <w:rsid w:val="00830943"/>
    <w:rsid w:val="00844C0C"/>
    <w:rsid w:val="00845E77"/>
    <w:rsid w:val="008C0CC5"/>
    <w:rsid w:val="008C35C8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474A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5617E"/>
    <w:rsid w:val="00D85000"/>
    <w:rsid w:val="00D91F59"/>
    <w:rsid w:val="00DA485E"/>
    <w:rsid w:val="00DC4F33"/>
    <w:rsid w:val="00E235BA"/>
    <w:rsid w:val="00E35C72"/>
    <w:rsid w:val="00F24BA2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B54B1F3-3F40-4ED1-AE5F-181EF2F4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2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a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ay 6">
      <a:srgbClr val="575756"/>
    </a:custClr>
    <a:custClr name="Credit Suisse Gra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ay 5">
      <a:srgbClr val="7C7C7B"/>
    </a:custClr>
    <a:custClr name="Credit Suisse Gra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a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940C6D63F644875D7E3A71A65777" ma:contentTypeVersion="3" ma:contentTypeDescription="Create a new document." ma:contentTypeScope="" ma:versionID="53f58ef6306b6e42febee57805344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52db2fa3f32b543b0ef57586775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ACE03-F137-4AA2-9F2B-984143ED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92307-B9D3-4F74-BAA0-E9AD676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1287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Blumer, Michael (MOAA 321)</dc:creator>
  <cp:keywords/>
  <dc:description/>
  <cp:lastModifiedBy>Blumer, Michael (MOAA 321)</cp:lastModifiedBy>
  <cp:revision>2</cp:revision>
  <dcterms:created xsi:type="dcterms:W3CDTF">2021-05-17T14:15:00Z</dcterms:created>
  <dcterms:modified xsi:type="dcterms:W3CDTF">2021-05-17T14:15:00Z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v=1.2&gt;I=304a34c9-5b17-4e2a-bdc3-dec6a43f35e7&amp;N=Unrestricted&amp;V=1.3&amp;U=S-1-5-21-3718294971-3193642644-4012788348-19162&amp;D=Blumer%2c+Michael+(MOAG+421)&amp;A=Associated&amp;H=False</vt:lpwstr>
  </property>
  <property fmtid="{D5CDD505-2E9C-101B-9397-08002B2CF9AE}" pid="3" name="Classification">
    <vt:lpwstr>Unrestricted</vt:lpwstr>
  </property>
</Properties>
</file>