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2C36" w14:textId="37E18640" w:rsidR="00831FBD" w:rsidRDefault="00023A11">
      <w:pPr>
        <w:rPr>
          <w:rFonts w:cstheme="minorHAnsi"/>
        </w:rPr>
      </w:pPr>
      <w:r w:rsidRPr="00F05C94">
        <w:rPr>
          <w:rFonts w:cstheme="minorHAnsi"/>
          <w:b/>
          <w:bCs/>
        </w:rPr>
        <w:t>Request</w:t>
      </w:r>
      <w:r w:rsidRPr="00F05C94">
        <w:rPr>
          <w:rFonts w:cstheme="minorHAnsi"/>
        </w:rPr>
        <w:t xml:space="preserve">: Add a new CAEV </w:t>
      </w:r>
      <w:r w:rsidR="004334CA">
        <w:rPr>
          <w:rFonts w:cstheme="minorHAnsi"/>
        </w:rPr>
        <w:t xml:space="preserve">SWFT </w:t>
      </w:r>
      <w:r w:rsidRPr="00F05C94">
        <w:rPr>
          <w:rFonts w:cstheme="minorHAnsi"/>
        </w:rPr>
        <w:t>code</w:t>
      </w:r>
      <w:r w:rsidR="00DD0CAE">
        <w:rPr>
          <w:rFonts w:cstheme="minorHAnsi"/>
        </w:rPr>
        <w:t>, RCLA,</w:t>
      </w:r>
      <w:r w:rsidRPr="00F05C94">
        <w:rPr>
          <w:rFonts w:cstheme="minorHAnsi"/>
        </w:rPr>
        <w:t xml:space="preserve"> </w:t>
      </w:r>
      <w:r w:rsidR="00557692">
        <w:rPr>
          <w:rFonts w:cstheme="minorHAnsi"/>
        </w:rPr>
        <w:t>to support the announcement of an</w:t>
      </w:r>
      <w:r w:rsidRPr="00F05C94">
        <w:rPr>
          <w:rFonts w:cstheme="minorHAnsi"/>
        </w:rPr>
        <w:t xml:space="preserve"> Income Reclassification </w:t>
      </w:r>
      <w:r w:rsidR="00557692">
        <w:rPr>
          <w:rFonts w:cstheme="minorHAnsi"/>
        </w:rPr>
        <w:t>event</w:t>
      </w:r>
      <w:r w:rsidR="00DD0CAE">
        <w:rPr>
          <w:rFonts w:cstheme="minorHAnsi"/>
        </w:rPr>
        <w:t xml:space="preserve">.  </w:t>
      </w:r>
      <w:r w:rsidR="00217BF2">
        <w:rPr>
          <w:rFonts w:cstheme="minorHAnsi"/>
        </w:rPr>
        <w:t xml:space="preserve">(Data Rule: </w:t>
      </w:r>
      <w:r w:rsidR="00DD0CAE">
        <w:rPr>
          <w:rFonts w:cstheme="minorHAnsi"/>
        </w:rPr>
        <w:t xml:space="preserve">Must </w:t>
      </w:r>
      <w:r w:rsidR="00217BF2">
        <w:rPr>
          <w:rFonts w:cstheme="minorHAnsi"/>
        </w:rPr>
        <w:t>use “linkage” rules to link back to original event.)</w:t>
      </w:r>
      <w:r w:rsidR="00831FBD">
        <w:rPr>
          <w:rFonts w:cstheme="minorHAnsi"/>
        </w:rPr>
        <w:t xml:space="preserve"> to replace the usage of OTHR when announcing a tax reclassification.  The following scenarios detail when the RCLA event type would be utilized.  </w:t>
      </w:r>
    </w:p>
    <w:p w14:paraId="5DEFB9E5" w14:textId="24194EB4" w:rsidR="00DD0CAE" w:rsidRDefault="00831FBD">
      <w:pPr>
        <w:rPr>
          <w:rFonts w:cstheme="minorHAnsi"/>
        </w:rPr>
      </w:pPr>
      <w:proofErr w:type="gramStart"/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we would request a rule that linkages should be present to the original event.  </w:t>
      </w:r>
    </w:p>
    <w:p w14:paraId="4AC4327C" w14:textId="135290AD" w:rsidR="00197661" w:rsidRPr="00F05C94" w:rsidRDefault="00DD0CAE">
      <w:pPr>
        <w:rPr>
          <w:rFonts w:cstheme="minorHAnsi"/>
        </w:rPr>
      </w:pPr>
      <w:r w:rsidRPr="00DD0CAE">
        <w:rPr>
          <w:rFonts w:cstheme="minorHAnsi"/>
          <w:b/>
          <w:bCs/>
        </w:rPr>
        <w:t>Benefits</w:t>
      </w:r>
      <w:r>
        <w:rPr>
          <w:rFonts w:cstheme="minorHAnsi"/>
        </w:rPr>
        <w:t>: Better routing, clear identification of Reclass vs all ‘OTHR’ events, creates STP</w:t>
      </w:r>
    </w:p>
    <w:p w14:paraId="7DCCD37D" w14:textId="77777777" w:rsidR="00DD0CAE" w:rsidRPr="00DD0CAE" w:rsidRDefault="00DD0CAE">
      <w:pPr>
        <w:rPr>
          <w:rFonts w:cstheme="minorHAnsi"/>
          <w:b/>
          <w:bCs/>
        </w:rPr>
      </w:pPr>
      <w:r w:rsidRPr="00DD0CAE">
        <w:rPr>
          <w:rFonts w:cstheme="minorHAnsi"/>
          <w:b/>
          <w:bCs/>
        </w:rPr>
        <w:t>Current Scenarios:</w:t>
      </w:r>
    </w:p>
    <w:p w14:paraId="42B9E0B2" w14:textId="0EFE3739" w:rsidR="00DD0CAE" w:rsidRPr="00DD685D" w:rsidRDefault="00023A11" w:rsidP="00217BF2">
      <w:pPr>
        <w:pStyle w:val="ListParagraph"/>
        <w:numPr>
          <w:ilvl w:val="0"/>
          <w:numId w:val="1"/>
        </w:numPr>
        <w:rPr>
          <w:rFonts w:cstheme="minorHAnsi"/>
        </w:rPr>
      </w:pPr>
      <w:r w:rsidRPr="00DD0CAE">
        <w:rPr>
          <w:rFonts w:cstheme="minorHAnsi"/>
        </w:rPr>
        <w:t xml:space="preserve">During the calendar year, distributions by U.S. entities paid to non-U.S. persons are treated as dividends </w:t>
      </w:r>
      <w:r w:rsidR="00DD0CAE" w:rsidRPr="00DD0CAE">
        <w:rPr>
          <w:rFonts w:cstheme="minorHAnsi"/>
        </w:rPr>
        <w:t>(DVCA)</w:t>
      </w:r>
      <w:r w:rsidR="00217BF2">
        <w:rPr>
          <w:rFonts w:cstheme="minorHAnsi"/>
        </w:rPr>
        <w:t xml:space="preserve"> </w:t>
      </w:r>
      <w:r w:rsidRPr="00DD0CAE">
        <w:rPr>
          <w:rFonts w:cstheme="minorHAnsi"/>
        </w:rPr>
        <w:t>for U.S. tax purposes and subject to U.S. withholding tax. Shortly after year-end, U.S. entities review their calendar year distributions to determine if any or all the distributions should be reclassified as non-taxable returns of capital, capital gains, and when permissible, portfolio interest.</w:t>
      </w:r>
      <w:r w:rsidR="00DD0CAE" w:rsidRPr="00DD0CAE">
        <w:rPr>
          <w:rFonts w:cstheme="minorHAnsi"/>
        </w:rPr>
        <w:t xml:space="preserve"> This could result in a refunding of tax withheld on the original DVCA event</w:t>
      </w:r>
      <w:r w:rsidR="00217BF2">
        <w:rPr>
          <w:rFonts w:cstheme="minorHAnsi"/>
        </w:rPr>
        <w:t xml:space="preserve"> and 1042S reporting updates</w:t>
      </w:r>
      <w:r w:rsidR="00DD0CAE" w:rsidRPr="00DD0CAE">
        <w:rPr>
          <w:rFonts w:cstheme="minorHAnsi"/>
        </w:rPr>
        <w:t xml:space="preserve">. </w:t>
      </w:r>
      <w:r w:rsidR="00217BF2">
        <w:rPr>
          <w:rFonts w:cstheme="minorHAnsi"/>
        </w:rPr>
        <w:t>We typically see this on R</w:t>
      </w:r>
      <w:r w:rsidR="00217BF2">
        <w:t>eal Estate Investment Trusts (REITs) and Regulated Investment Companies (“RICs”)</w:t>
      </w:r>
      <w:r w:rsidR="00480C99">
        <w:t>.</w:t>
      </w:r>
    </w:p>
    <w:p w14:paraId="19430B72" w14:textId="77777777" w:rsidR="00DD685D" w:rsidRPr="00DD685D" w:rsidRDefault="00DD685D" w:rsidP="00DD685D">
      <w:pPr>
        <w:pStyle w:val="ListParagraph"/>
        <w:rPr>
          <w:rFonts w:cstheme="minorHAnsi"/>
        </w:rPr>
      </w:pPr>
    </w:p>
    <w:p w14:paraId="463B7F39" w14:textId="26306BA9" w:rsidR="00DD685D" w:rsidRPr="00DD685D" w:rsidRDefault="00480C99" w:rsidP="00DD68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Some </w:t>
      </w:r>
      <w:r w:rsidR="00DD685D" w:rsidRPr="00DD0CAE">
        <w:rPr>
          <w:rFonts w:cstheme="minorHAnsi"/>
        </w:rPr>
        <w:t xml:space="preserve">distributions by U.S. entities paid to non-U.S. persons </w:t>
      </w:r>
      <w:r>
        <w:rPr>
          <w:rFonts w:cstheme="minorHAnsi"/>
        </w:rPr>
        <w:t xml:space="preserve">can have multiple classifications </w:t>
      </w:r>
      <w:r w:rsidR="00DD685D" w:rsidRPr="00DD0CAE">
        <w:rPr>
          <w:rFonts w:cstheme="minorHAnsi"/>
        </w:rPr>
        <w:t>for U.S. tax purposes</w:t>
      </w:r>
      <w:r>
        <w:rPr>
          <w:rFonts w:cstheme="minorHAnsi"/>
        </w:rPr>
        <w:t xml:space="preserve"> and be subject to different rates of withholding and the classification is known at the time of the distribution and not subject to change.  For example, a portion of a distribution can be considered dividend income and subject to a 30% US withholding tax, and the remainder of the distribution could be considered non-taxable and not subject to US withholding tax.  </w:t>
      </w:r>
      <w:r w:rsidR="00DD685D">
        <w:rPr>
          <w:rFonts w:cstheme="minorHAnsi"/>
        </w:rPr>
        <w:t xml:space="preserve">We typically see this on </w:t>
      </w:r>
      <w:r>
        <w:rPr>
          <w:rFonts w:cstheme="minorHAnsi"/>
        </w:rPr>
        <w:t xml:space="preserve">publicly traded partnerships (“PTPs”) and structured notes. </w:t>
      </w:r>
    </w:p>
    <w:p w14:paraId="6B845B36" w14:textId="77777777" w:rsidR="00DD685D" w:rsidRDefault="00DD685D" w:rsidP="00DD685D">
      <w:pPr>
        <w:pStyle w:val="ListParagraph"/>
        <w:rPr>
          <w:rFonts w:cstheme="minorHAnsi"/>
        </w:rPr>
      </w:pPr>
    </w:p>
    <w:p w14:paraId="7BAFB310" w14:textId="1C7FFAB1" w:rsidR="00DD685D" w:rsidRPr="00217BF2" w:rsidRDefault="00480C99" w:rsidP="00DD68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Similar to #1 above, issuers </w:t>
      </w:r>
      <w:r w:rsidR="00A06E4A">
        <w:rPr>
          <w:rFonts w:cstheme="minorHAnsi"/>
        </w:rPr>
        <w:t xml:space="preserve">can </w:t>
      </w:r>
      <w:r>
        <w:rPr>
          <w:rFonts w:cstheme="minorHAnsi"/>
        </w:rPr>
        <w:t xml:space="preserve">provide a reasonable estimate </w:t>
      </w:r>
      <w:r w:rsidR="00A06E4A">
        <w:rPr>
          <w:rFonts w:cstheme="minorHAnsi"/>
        </w:rPr>
        <w:t xml:space="preserve">that a portion of a distribution is </w:t>
      </w:r>
      <w:r>
        <w:rPr>
          <w:rFonts w:cstheme="minorHAnsi"/>
        </w:rPr>
        <w:t xml:space="preserve">a return of </w:t>
      </w:r>
      <w:proofErr w:type="gramStart"/>
      <w:r>
        <w:rPr>
          <w:rFonts w:cstheme="minorHAnsi"/>
        </w:rPr>
        <w:t xml:space="preserve">capital,  </w:t>
      </w:r>
      <w:r w:rsidR="00A06E4A">
        <w:rPr>
          <w:rFonts w:cstheme="minorHAnsi"/>
        </w:rPr>
        <w:t>capital</w:t>
      </w:r>
      <w:proofErr w:type="gramEnd"/>
      <w:r w:rsidR="00A06E4A">
        <w:rPr>
          <w:rFonts w:cstheme="minorHAnsi"/>
        </w:rPr>
        <w:t xml:space="preserve"> gains, interest, etc.. at the time of a distribution.  Intermediaries may rely on these estimates for US tax withholding purposes to reduce the amount of withholding at the time of a distribution and not wait until after year end.  </w:t>
      </w:r>
      <w:proofErr w:type="gramStart"/>
      <w:r w:rsidR="00DD685D">
        <w:rPr>
          <w:rFonts w:cstheme="minorHAnsi"/>
        </w:rPr>
        <w:t>We</w:t>
      </w:r>
      <w:proofErr w:type="gramEnd"/>
      <w:r w:rsidR="00DD685D">
        <w:rPr>
          <w:rFonts w:cstheme="minorHAnsi"/>
        </w:rPr>
        <w:t xml:space="preserve"> typically </w:t>
      </w:r>
      <w:r w:rsidR="00A06E4A">
        <w:rPr>
          <w:rFonts w:cstheme="minorHAnsi"/>
        </w:rPr>
        <w:t xml:space="preserve">these estimates </w:t>
      </w:r>
      <w:r w:rsidR="00DD685D">
        <w:rPr>
          <w:rFonts w:cstheme="minorHAnsi"/>
        </w:rPr>
        <w:t>on R</w:t>
      </w:r>
      <w:r w:rsidR="00DD685D">
        <w:t>eal Estate Investment Trusts (REITs) and Regulated Investment Companies (“RICs”)</w:t>
      </w:r>
      <w:r w:rsidR="00A06E4A">
        <w:t xml:space="preserve"> and corporations with little or no earnings.  </w:t>
      </w:r>
    </w:p>
    <w:p w14:paraId="6FDFE70C" w14:textId="77777777" w:rsidR="00DD685D" w:rsidRPr="00217BF2" w:rsidRDefault="00DD685D" w:rsidP="00DD685D">
      <w:pPr>
        <w:pStyle w:val="ListParagraph"/>
        <w:rPr>
          <w:rFonts w:cstheme="minorHAnsi"/>
        </w:rPr>
      </w:pPr>
    </w:p>
    <w:p w14:paraId="36BE8685" w14:textId="77777777" w:rsidR="00DD685D" w:rsidRPr="00217BF2" w:rsidRDefault="00DD685D" w:rsidP="00DD685D">
      <w:pPr>
        <w:pStyle w:val="ListParagraph"/>
        <w:rPr>
          <w:rFonts w:cstheme="minorHAnsi"/>
        </w:rPr>
      </w:pPr>
    </w:p>
    <w:p w14:paraId="3615994D" w14:textId="7105283A" w:rsidR="00217BF2" w:rsidRDefault="00217BF2" w:rsidP="00217BF2">
      <w:pPr>
        <w:pStyle w:val="ListParagraph"/>
      </w:pPr>
    </w:p>
    <w:p w14:paraId="6DE52BC8" w14:textId="0BCD9B75" w:rsidR="00DD685D" w:rsidRDefault="00DD685D" w:rsidP="00217BF2">
      <w:pPr>
        <w:pStyle w:val="ListParagraph"/>
      </w:pPr>
    </w:p>
    <w:p w14:paraId="69D19E75" w14:textId="77777777" w:rsidR="00DD685D" w:rsidRDefault="00DD685D" w:rsidP="00217BF2">
      <w:pPr>
        <w:pStyle w:val="ListParagraph"/>
      </w:pPr>
    </w:p>
    <w:p w14:paraId="204844E3" w14:textId="77777777" w:rsidR="00217BF2" w:rsidRPr="00217BF2" w:rsidRDefault="00217BF2" w:rsidP="00217BF2">
      <w:pPr>
        <w:pStyle w:val="ListParagraph"/>
        <w:rPr>
          <w:rFonts w:cstheme="minorHAnsi"/>
        </w:rPr>
      </w:pPr>
    </w:p>
    <w:p w14:paraId="33048A85" w14:textId="59706217" w:rsidR="00023A11" w:rsidRPr="00F05C94" w:rsidRDefault="00023A11">
      <w:pPr>
        <w:rPr>
          <w:rFonts w:cstheme="minorHAnsi"/>
          <w:b/>
          <w:bCs/>
        </w:rPr>
      </w:pPr>
      <w:r w:rsidRPr="00F05C94">
        <w:rPr>
          <w:rFonts w:cstheme="minorHAnsi"/>
          <w:b/>
          <w:bCs/>
        </w:rPr>
        <w:t>Example</w:t>
      </w:r>
      <w:r w:rsidR="00217BF2">
        <w:rPr>
          <w:rFonts w:cstheme="minorHAnsi"/>
          <w:b/>
          <w:bCs/>
        </w:rPr>
        <w:t>s for Scenario 1</w:t>
      </w:r>
      <w:r w:rsidRPr="00F05C94">
        <w:rPr>
          <w:rFonts w:cstheme="minorHAnsi"/>
          <w:b/>
          <w:bCs/>
        </w:rPr>
        <w:t>:</w:t>
      </w:r>
    </w:p>
    <w:p w14:paraId="1412976D" w14:textId="2D423640" w:rsidR="00F05C94" w:rsidRDefault="006616B2">
      <w:pPr>
        <w:rPr>
          <w:rFonts w:cstheme="minorHAnsi"/>
        </w:rPr>
      </w:pPr>
      <w:r w:rsidRPr="006616B2">
        <w:rPr>
          <w:rFonts w:cstheme="minorHAnsi"/>
          <w:i/>
          <w:iCs/>
        </w:rPr>
        <w:t xml:space="preserve">ISIN: US3623971013 - </w:t>
      </w:r>
      <w:r w:rsidRPr="006616B2">
        <w:rPr>
          <w:rFonts w:ascii="Arial" w:hAnsi="Arial" w:cs="Arial"/>
          <w:i/>
          <w:iCs/>
          <w:color w:val="000000"/>
          <w:sz w:val="16"/>
          <w:szCs w:val="16"/>
        </w:rPr>
        <w:t>GABELLI EQUITY TRUST</w:t>
      </w:r>
      <w:r w:rsidRPr="00F05C94">
        <w:rPr>
          <w:rFonts w:cstheme="minorHAnsi"/>
        </w:rPr>
        <w:t xml:space="preserve"> </w:t>
      </w:r>
      <w:r w:rsidR="00F05C94" w:rsidRPr="00F05C94">
        <w:rPr>
          <w:rFonts w:cstheme="minorHAnsi"/>
        </w:rPr>
        <w:t>makes quarterly distributions, which are treated as dividends and subject to US tax withholding</w:t>
      </w:r>
    </w:p>
    <w:p w14:paraId="647C9532" w14:textId="7C9E5515" w:rsidR="00023A11" w:rsidRPr="002A2674" w:rsidRDefault="00F05C94" w:rsidP="00F05C94">
      <w:pPr>
        <w:pStyle w:val="NoSpacing"/>
        <w:rPr>
          <w:rFonts w:cstheme="minorHAnsi"/>
          <w:b/>
          <w:bCs/>
        </w:rPr>
      </w:pPr>
      <w:r w:rsidRPr="002A2674">
        <w:rPr>
          <w:rFonts w:cstheme="minorHAnsi"/>
          <w:b/>
          <w:bCs/>
        </w:rPr>
        <w:t xml:space="preserve">Pay </w:t>
      </w:r>
      <w:proofErr w:type="gramStart"/>
      <w:r w:rsidRPr="002A2674">
        <w:rPr>
          <w:rFonts w:cstheme="minorHAnsi"/>
          <w:b/>
          <w:bCs/>
        </w:rPr>
        <w:t>Date</w:t>
      </w:r>
      <w:r w:rsidR="00001E8D">
        <w:rPr>
          <w:rFonts w:cstheme="minorHAnsi"/>
          <w:b/>
          <w:bCs/>
        </w:rPr>
        <w:t xml:space="preserve">s </w:t>
      </w:r>
      <w:r w:rsidRPr="002A2674">
        <w:rPr>
          <w:rFonts w:cstheme="minorHAnsi"/>
          <w:b/>
          <w:bCs/>
        </w:rPr>
        <w:t>:</w:t>
      </w:r>
      <w:proofErr w:type="gramEnd"/>
      <w:r w:rsidRPr="002A2674">
        <w:rPr>
          <w:rFonts w:cstheme="minorHAnsi"/>
          <w:b/>
          <w:bCs/>
        </w:rPr>
        <w:t xml:space="preserve"> 3/</w:t>
      </w:r>
      <w:r w:rsidR="006616B2" w:rsidRPr="002A2674">
        <w:rPr>
          <w:rFonts w:cstheme="minorHAnsi"/>
          <w:b/>
          <w:bCs/>
        </w:rPr>
        <w:t>24</w:t>
      </w:r>
      <w:r w:rsidRPr="002A2674">
        <w:rPr>
          <w:rFonts w:cstheme="minorHAnsi"/>
          <w:b/>
          <w:bCs/>
        </w:rPr>
        <w:t>/202</w:t>
      </w:r>
      <w:r w:rsidR="006616B2" w:rsidRPr="002A2674">
        <w:rPr>
          <w:rFonts w:cstheme="minorHAnsi"/>
          <w:b/>
          <w:bCs/>
        </w:rPr>
        <w:t>3</w:t>
      </w:r>
      <w:r w:rsidR="00001E8D">
        <w:rPr>
          <w:rFonts w:cstheme="minorHAnsi"/>
          <w:b/>
          <w:bCs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6/23/2023</w:t>
      </w:r>
      <w:r w:rsidR="00001E8D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9/22/2023</w:t>
      </w:r>
      <w:r w:rsidR="00001E8D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001E8D" w:rsidRPr="002A2674">
        <w:rPr>
          <w:rFonts w:cstheme="minorHAnsi"/>
          <w:b/>
          <w:bCs/>
          <w:color w:val="000000"/>
          <w:shd w:val="clear" w:color="auto" w:fill="FFFFFF"/>
        </w:rPr>
        <w:t>12/22/2023</w:t>
      </w:r>
    </w:p>
    <w:p w14:paraId="5EC4E354" w14:textId="1C26CBA5" w:rsidR="00F05C94" w:rsidRPr="00F05C94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</w:rPr>
        <w:t xml:space="preserve">Dividend </w:t>
      </w:r>
      <w:r w:rsidR="006616B2">
        <w:rPr>
          <w:rFonts w:cstheme="minorHAnsi"/>
        </w:rPr>
        <w:t xml:space="preserve">Cash </w:t>
      </w:r>
      <w:r w:rsidRPr="00F05C94">
        <w:rPr>
          <w:rFonts w:cstheme="minorHAnsi"/>
        </w:rPr>
        <w:t>Rate:</w:t>
      </w:r>
      <w:r w:rsidRPr="00F05C94">
        <w:rPr>
          <w:rFonts w:cstheme="minorHAnsi"/>
          <w:color w:val="000000"/>
          <w:shd w:val="clear" w:color="auto" w:fill="FFFFFF"/>
        </w:rPr>
        <w:t xml:space="preserve"> 0.</w:t>
      </w:r>
      <w:r w:rsidR="006616B2">
        <w:rPr>
          <w:rFonts w:cstheme="minorHAnsi"/>
          <w:color w:val="000000"/>
          <w:shd w:val="clear" w:color="auto" w:fill="FFFFFF"/>
        </w:rPr>
        <w:t>1</w:t>
      </w:r>
      <w:r w:rsidRPr="00F05C94">
        <w:rPr>
          <w:rFonts w:cstheme="minorHAnsi"/>
          <w:color w:val="000000"/>
          <w:shd w:val="clear" w:color="auto" w:fill="FFFFFF"/>
        </w:rPr>
        <w:t>5</w:t>
      </w:r>
    </w:p>
    <w:p w14:paraId="4F621CFB" w14:textId="4A59BCBB" w:rsidR="00501AB7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  <w:color w:val="000000"/>
          <w:shd w:val="clear" w:color="auto" w:fill="FFFFFF"/>
        </w:rPr>
        <w:t>IRS Income Code = 06</w:t>
      </w:r>
    </w:p>
    <w:p w14:paraId="719A0E5B" w14:textId="77777777" w:rsidR="000E2747" w:rsidRDefault="000E2747" w:rsidP="000E2747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Subject to US Tax Withholding </w:t>
      </w:r>
    </w:p>
    <w:p w14:paraId="2760D1A9" w14:textId="4857FBF6" w:rsidR="00F05C94" w:rsidRPr="00F05C94" w:rsidRDefault="00F05C94" w:rsidP="00F05C94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4FB3C91" w14:textId="52F917DA" w:rsidR="00F05C94" w:rsidRDefault="00FF4829" w:rsidP="00F05C94">
      <w:pPr>
        <w:pStyle w:val="NoSpacing"/>
      </w:pPr>
      <w:r>
        <w:t xml:space="preserve">Shortly after year-end, </w:t>
      </w:r>
      <w:r w:rsidR="006616B2" w:rsidRPr="006616B2">
        <w:rPr>
          <w:rFonts w:cstheme="minorHAnsi"/>
          <w:i/>
          <w:iCs/>
        </w:rPr>
        <w:t xml:space="preserve">ISIN: US3623971013 - </w:t>
      </w:r>
      <w:r w:rsidR="006616B2" w:rsidRPr="006616B2">
        <w:rPr>
          <w:rFonts w:ascii="Arial" w:hAnsi="Arial" w:cs="Arial"/>
          <w:i/>
          <w:iCs/>
          <w:color w:val="000000"/>
          <w:sz w:val="16"/>
          <w:szCs w:val="16"/>
        </w:rPr>
        <w:t>GABELLI EQUITY TRUST</w:t>
      </w:r>
      <w:r w:rsidR="006616B2" w:rsidRPr="00F05C94">
        <w:rPr>
          <w:rFonts w:cstheme="minorHAnsi"/>
        </w:rPr>
        <w:t xml:space="preserve"> </w:t>
      </w:r>
      <w:r w:rsidR="00AE02EE" w:rsidRPr="00AE02EE">
        <w:t>finalizes</w:t>
      </w:r>
      <w:r w:rsidR="006616B2">
        <w:t xml:space="preserve"> their books and determines the original dividend </w:t>
      </w:r>
      <w:r w:rsidR="000E2747">
        <w:t xml:space="preserve">of 0.15 </w:t>
      </w:r>
      <w:r w:rsidR="00704ED9">
        <w:t xml:space="preserve">should be reclassified as the following: </w:t>
      </w:r>
      <w:r w:rsidR="006616B2">
        <w:t xml:space="preserve"> </w:t>
      </w:r>
    </w:p>
    <w:p w14:paraId="2356398E" w14:textId="3DEACC16" w:rsidR="006616B2" w:rsidRDefault="006616B2" w:rsidP="00F05C94">
      <w:pPr>
        <w:pStyle w:val="NoSpacing"/>
      </w:pPr>
    </w:p>
    <w:p w14:paraId="27C9B142" w14:textId="77777777" w:rsidR="00001E8D" w:rsidRPr="002A2674" w:rsidRDefault="00001E8D" w:rsidP="00001E8D">
      <w:pPr>
        <w:pStyle w:val="NoSpacing"/>
        <w:rPr>
          <w:rFonts w:cstheme="minorHAnsi"/>
          <w:b/>
          <w:bCs/>
        </w:rPr>
      </w:pPr>
      <w:r w:rsidRPr="002A2674">
        <w:rPr>
          <w:rFonts w:cstheme="minorHAnsi"/>
          <w:b/>
          <w:bCs/>
        </w:rPr>
        <w:t xml:space="preserve">Pay </w:t>
      </w:r>
      <w:proofErr w:type="gramStart"/>
      <w:r w:rsidRPr="002A2674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 xml:space="preserve">s </w:t>
      </w:r>
      <w:r w:rsidRPr="002A2674">
        <w:rPr>
          <w:rFonts w:cstheme="minorHAnsi"/>
          <w:b/>
          <w:bCs/>
        </w:rPr>
        <w:t>:</w:t>
      </w:r>
      <w:proofErr w:type="gramEnd"/>
      <w:r w:rsidRPr="002A2674">
        <w:rPr>
          <w:rFonts w:cstheme="minorHAnsi"/>
          <w:b/>
          <w:bCs/>
        </w:rPr>
        <w:t xml:space="preserve"> 3/24/2023</w:t>
      </w:r>
      <w:r>
        <w:rPr>
          <w:rFonts w:cstheme="minorHAnsi"/>
          <w:b/>
          <w:bCs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6/23/2023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9/22/2023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2A2674">
        <w:rPr>
          <w:rFonts w:cstheme="minorHAnsi"/>
          <w:b/>
          <w:bCs/>
          <w:color w:val="000000"/>
          <w:shd w:val="clear" w:color="auto" w:fill="FFFFFF"/>
        </w:rPr>
        <w:t>12/22/2023</w:t>
      </w:r>
    </w:p>
    <w:p w14:paraId="13FC57D3" w14:textId="34CB30BB" w:rsidR="006616B2" w:rsidRPr="00F05C94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</w:rPr>
        <w:t xml:space="preserve">Dividend </w:t>
      </w:r>
      <w:r>
        <w:rPr>
          <w:rFonts w:cstheme="minorHAnsi"/>
        </w:rPr>
        <w:t xml:space="preserve">Cash </w:t>
      </w:r>
      <w:r w:rsidRPr="00F05C94">
        <w:rPr>
          <w:rFonts w:cstheme="minorHAnsi"/>
        </w:rPr>
        <w:t>Rate:</w:t>
      </w:r>
      <w:r w:rsidRPr="00F05C94">
        <w:rPr>
          <w:rFonts w:cstheme="minorHAnsi"/>
          <w:color w:val="000000"/>
          <w:shd w:val="clear" w:color="auto" w:fill="FFFFFF"/>
        </w:rPr>
        <w:t xml:space="preserve"> 0</w:t>
      </w:r>
      <w:r>
        <w:rPr>
          <w:rFonts w:cstheme="minorHAnsi"/>
          <w:color w:val="000000"/>
          <w:shd w:val="clear" w:color="auto" w:fill="FFFFFF"/>
        </w:rPr>
        <w:t>.0099</w:t>
      </w:r>
    </w:p>
    <w:p w14:paraId="52C1FFB6" w14:textId="5BC8514F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 w:rsidRPr="00F05C94">
        <w:rPr>
          <w:rFonts w:cstheme="minorHAnsi"/>
          <w:color w:val="000000"/>
          <w:shd w:val="clear" w:color="auto" w:fill="FFFFFF"/>
        </w:rPr>
        <w:t>IRS Income Code = 06</w:t>
      </w:r>
    </w:p>
    <w:p w14:paraId="2EE43D29" w14:textId="446EEEB7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Subject to US Tax Withholding </w:t>
      </w:r>
    </w:p>
    <w:p w14:paraId="0CC2DBF2" w14:textId="77777777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BF46031" w14:textId="249370AB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Return of Capital Cash Rate: 0.0696</w:t>
      </w:r>
    </w:p>
    <w:p w14:paraId="47561ECC" w14:textId="6793E056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IRS Income Code = 37</w:t>
      </w:r>
    </w:p>
    <w:p w14:paraId="5394B7E0" w14:textId="040D978C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 Subject to US Tax Withholding </w:t>
      </w:r>
      <w:r w:rsidR="00704ED9">
        <w:rPr>
          <w:rFonts w:cstheme="minorHAnsi"/>
          <w:color w:val="000000"/>
          <w:shd w:val="clear" w:color="auto" w:fill="FFFFFF"/>
        </w:rPr>
        <w:t>(eligible for a refund)</w:t>
      </w:r>
    </w:p>
    <w:p w14:paraId="740702D9" w14:textId="4C054793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0197BF47" w14:textId="6AD28FD8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LTCG Cash Rate: 0.0705</w:t>
      </w:r>
    </w:p>
    <w:p w14:paraId="2AE54EFA" w14:textId="08341721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IRS Income Code = 36</w:t>
      </w:r>
    </w:p>
    <w:p w14:paraId="5167FB4B" w14:textId="72B8D7FF" w:rsidR="006616B2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 Subject to US Tax Withholding </w:t>
      </w:r>
      <w:r w:rsidR="00704ED9">
        <w:rPr>
          <w:rFonts w:cstheme="minorHAnsi"/>
          <w:color w:val="000000"/>
          <w:shd w:val="clear" w:color="auto" w:fill="FFFFFF"/>
        </w:rPr>
        <w:t>(eligible for a refund)</w:t>
      </w:r>
    </w:p>
    <w:p w14:paraId="29CCEA03" w14:textId="77777777" w:rsidR="006616B2" w:rsidRPr="00F05C94" w:rsidRDefault="006616B2" w:rsidP="006616B2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3A4371D" w14:textId="62209243" w:rsidR="006616B2" w:rsidRDefault="006616B2" w:rsidP="00704ED9">
      <w:pPr>
        <w:pStyle w:val="NoSpacing"/>
        <w:rPr>
          <w:b/>
          <w:bCs/>
        </w:rPr>
      </w:pPr>
    </w:p>
    <w:p w14:paraId="16980EED" w14:textId="628153DE" w:rsidR="002A2674" w:rsidRDefault="002A2674" w:rsidP="00704ED9">
      <w:pPr>
        <w:pStyle w:val="NoSpacing"/>
        <w:rPr>
          <w:b/>
          <w:bCs/>
        </w:rPr>
      </w:pPr>
    </w:p>
    <w:p w14:paraId="167B4737" w14:textId="6218E422" w:rsidR="002A2674" w:rsidRDefault="00D4701C" w:rsidP="00704ED9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6FF4E13D" wp14:editId="161B0229">
            <wp:extent cx="5943600" cy="200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AFE4" w14:textId="55747486" w:rsidR="00001E8D" w:rsidRDefault="00001E8D" w:rsidP="00704ED9">
      <w:pPr>
        <w:pStyle w:val="NoSpacing"/>
        <w:rPr>
          <w:b/>
          <w:bCs/>
        </w:rPr>
      </w:pPr>
    </w:p>
    <w:p w14:paraId="6FA72972" w14:textId="7AEDE269" w:rsidR="00001E8D" w:rsidRDefault="00001E8D" w:rsidP="00704ED9">
      <w:pPr>
        <w:pStyle w:val="NoSpacing"/>
        <w:rPr>
          <w:b/>
          <w:bCs/>
        </w:rPr>
      </w:pPr>
    </w:p>
    <w:p w14:paraId="59338EFF" w14:textId="77777777" w:rsidR="00217BF2" w:rsidRDefault="00217BF2" w:rsidP="00704ED9">
      <w:pPr>
        <w:pStyle w:val="NoSpacing"/>
        <w:rPr>
          <w:b/>
          <w:bCs/>
        </w:rPr>
      </w:pPr>
    </w:p>
    <w:p w14:paraId="1FFFBE18" w14:textId="77777777" w:rsidR="00217BF2" w:rsidRDefault="00217BF2" w:rsidP="00704ED9">
      <w:pPr>
        <w:pStyle w:val="NoSpacing"/>
        <w:rPr>
          <w:b/>
          <w:bCs/>
        </w:rPr>
      </w:pPr>
    </w:p>
    <w:p w14:paraId="0D684DAF" w14:textId="77777777" w:rsidR="00217BF2" w:rsidRDefault="00217BF2" w:rsidP="00704ED9">
      <w:pPr>
        <w:pStyle w:val="NoSpacing"/>
        <w:rPr>
          <w:b/>
          <w:bCs/>
        </w:rPr>
      </w:pPr>
    </w:p>
    <w:p w14:paraId="397D59A3" w14:textId="77777777" w:rsidR="00217BF2" w:rsidRDefault="00217BF2" w:rsidP="00704ED9">
      <w:pPr>
        <w:pStyle w:val="NoSpacing"/>
        <w:rPr>
          <w:b/>
          <w:bCs/>
        </w:rPr>
      </w:pPr>
    </w:p>
    <w:p w14:paraId="154F163E" w14:textId="77777777" w:rsidR="00217BF2" w:rsidRDefault="00217BF2" w:rsidP="00704ED9">
      <w:pPr>
        <w:pStyle w:val="NoSpacing"/>
        <w:rPr>
          <w:b/>
          <w:bCs/>
        </w:rPr>
      </w:pPr>
    </w:p>
    <w:p w14:paraId="414A78AF" w14:textId="77777777" w:rsidR="00217BF2" w:rsidRDefault="00217BF2" w:rsidP="00704ED9">
      <w:pPr>
        <w:pStyle w:val="NoSpacing"/>
        <w:rPr>
          <w:b/>
          <w:bCs/>
        </w:rPr>
      </w:pPr>
    </w:p>
    <w:p w14:paraId="0CB7C198" w14:textId="77777777" w:rsidR="00217BF2" w:rsidRDefault="00217BF2" w:rsidP="00704ED9">
      <w:pPr>
        <w:pStyle w:val="NoSpacing"/>
        <w:rPr>
          <w:b/>
          <w:bCs/>
        </w:rPr>
      </w:pPr>
    </w:p>
    <w:p w14:paraId="6218003F" w14:textId="77777777" w:rsidR="00217BF2" w:rsidRDefault="00217BF2" w:rsidP="00704ED9">
      <w:pPr>
        <w:pStyle w:val="NoSpacing"/>
        <w:rPr>
          <w:b/>
          <w:bCs/>
        </w:rPr>
      </w:pPr>
    </w:p>
    <w:p w14:paraId="7EF014E0" w14:textId="77777777" w:rsidR="00217BF2" w:rsidRDefault="00217BF2" w:rsidP="00704ED9">
      <w:pPr>
        <w:pStyle w:val="NoSpacing"/>
        <w:rPr>
          <w:b/>
          <w:bCs/>
        </w:rPr>
      </w:pPr>
    </w:p>
    <w:p w14:paraId="37A11A11" w14:textId="77777777" w:rsidR="00217BF2" w:rsidRDefault="00217BF2" w:rsidP="00704ED9">
      <w:pPr>
        <w:pStyle w:val="NoSpacing"/>
        <w:rPr>
          <w:b/>
          <w:bCs/>
        </w:rPr>
      </w:pPr>
    </w:p>
    <w:p w14:paraId="39AD2354" w14:textId="77777777" w:rsidR="00217BF2" w:rsidRDefault="00217BF2" w:rsidP="00704ED9">
      <w:pPr>
        <w:pStyle w:val="NoSpacing"/>
        <w:rPr>
          <w:b/>
          <w:bCs/>
        </w:rPr>
      </w:pPr>
    </w:p>
    <w:p w14:paraId="713B9130" w14:textId="77777777" w:rsidR="00217BF2" w:rsidRDefault="00217BF2" w:rsidP="00704ED9">
      <w:pPr>
        <w:pStyle w:val="NoSpacing"/>
        <w:rPr>
          <w:b/>
          <w:bCs/>
        </w:rPr>
      </w:pPr>
    </w:p>
    <w:p w14:paraId="7EA4CD26" w14:textId="77777777" w:rsidR="00217BF2" w:rsidRDefault="00217BF2" w:rsidP="00704ED9">
      <w:pPr>
        <w:pStyle w:val="NoSpacing"/>
        <w:rPr>
          <w:b/>
          <w:bCs/>
        </w:rPr>
      </w:pPr>
    </w:p>
    <w:p w14:paraId="473DC3D0" w14:textId="77777777" w:rsidR="00217BF2" w:rsidRDefault="00217BF2" w:rsidP="00704ED9">
      <w:pPr>
        <w:pStyle w:val="NoSpacing"/>
        <w:rPr>
          <w:b/>
          <w:bCs/>
        </w:rPr>
      </w:pPr>
    </w:p>
    <w:p w14:paraId="0827CEC6" w14:textId="77777777" w:rsidR="00217BF2" w:rsidRDefault="00217BF2" w:rsidP="00704ED9">
      <w:pPr>
        <w:pStyle w:val="NoSpacing"/>
        <w:rPr>
          <w:b/>
          <w:bCs/>
        </w:rPr>
      </w:pPr>
    </w:p>
    <w:p w14:paraId="4227EEFA" w14:textId="77777777" w:rsidR="00217BF2" w:rsidRDefault="00217BF2" w:rsidP="00704ED9">
      <w:pPr>
        <w:pStyle w:val="NoSpacing"/>
        <w:rPr>
          <w:b/>
          <w:bCs/>
        </w:rPr>
      </w:pPr>
    </w:p>
    <w:p w14:paraId="71601E72" w14:textId="77777777" w:rsidR="00217BF2" w:rsidRDefault="00217BF2" w:rsidP="00704ED9">
      <w:pPr>
        <w:pStyle w:val="NoSpacing"/>
        <w:rPr>
          <w:b/>
          <w:bCs/>
        </w:rPr>
      </w:pPr>
    </w:p>
    <w:p w14:paraId="45979322" w14:textId="77777777" w:rsidR="00217BF2" w:rsidRDefault="00217BF2" w:rsidP="00704ED9">
      <w:pPr>
        <w:pStyle w:val="NoSpacing"/>
        <w:rPr>
          <w:b/>
          <w:bCs/>
        </w:rPr>
      </w:pPr>
    </w:p>
    <w:p w14:paraId="52706596" w14:textId="77777777" w:rsidR="00217BF2" w:rsidRDefault="00217BF2" w:rsidP="00704ED9">
      <w:pPr>
        <w:pStyle w:val="NoSpacing"/>
        <w:rPr>
          <w:b/>
          <w:bCs/>
        </w:rPr>
      </w:pPr>
    </w:p>
    <w:p w14:paraId="449F0668" w14:textId="77777777" w:rsidR="00217BF2" w:rsidRDefault="00217BF2" w:rsidP="00704ED9">
      <w:pPr>
        <w:pStyle w:val="NoSpacing"/>
        <w:rPr>
          <w:b/>
          <w:bCs/>
        </w:rPr>
      </w:pPr>
    </w:p>
    <w:p w14:paraId="6D682383" w14:textId="77777777" w:rsidR="00217BF2" w:rsidRDefault="00217BF2" w:rsidP="00704ED9">
      <w:pPr>
        <w:pStyle w:val="NoSpacing"/>
        <w:rPr>
          <w:b/>
          <w:bCs/>
        </w:rPr>
      </w:pPr>
    </w:p>
    <w:p w14:paraId="30A376CE" w14:textId="77777777" w:rsidR="00217BF2" w:rsidRDefault="00217BF2" w:rsidP="00704ED9">
      <w:pPr>
        <w:pStyle w:val="NoSpacing"/>
        <w:rPr>
          <w:b/>
          <w:bCs/>
        </w:rPr>
      </w:pPr>
    </w:p>
    <w:p w14:paraId="5F91DF3C" w14:textId="77777777" w:rsidR="00217BF2" w:rsidRDefault="00217BF2" w:rsidP="00704ED9">
      <w:pPr>
        <w:pStyle w:val="NoSpacing"/>
        <w:rPr>
          <w:b/>
          <w:bCs/>
        </w:rPr>
      </w:pPr>
    </w:p>
    <w:p w14:paraId="4D90C0B8" w14:textId="77777777" w:rsidR="00217BF2" w:rsidRDefault="00217BF2" w:rsidP="00704ED9">
      <w:pPr>
        <w:pStyle w:val="NoSpacing"/>
        <w:rPr>
          <w:b/>
          <w:bCs/>
        </w:rPr>
      </w:pPr>
    </w:p>
    <w:p w14:paraId="0080E201" w14:textId="77777777" w:rsidR="00217BF2" w:rsidRDefault="00217BF2" w:rsidP="00704ED9">
      <w:pPr>
        <w:pStyle w:val="NoSpacing"/>
        <w:rPr>
          <w:b/>
          <w:bCs/>
        </w:rPr>
      </w:pPr>
    </w:p>
    <w:p w14:paraId="01640D6C" w14:textId="77777777" w:rsidR="00217BF2" w:rsidRDefault="00217BF2" w:rsidP="00704ED9">
      <w:pPr>
        <w:pStyle w:val="NoSpacing"/>
        <w:rPr>
          <w:b/>
          <w:bCs/>
        </w:rPr>
      </w:pPr>
    </w:p>
    <w:p w14:paraId="6373C828" w14:textId="77777777" w:rsidR="00217BF2" w:rsidRDefault="00217BF2" w:rsidP="00704ED9">
      <w:pPr>
        <w:pStyle w:val="NoSpacing"/>
        <w:rPr>
          <w:b/>
          <w:bCs/>
        </w:rPr>
      </w:pPr>
    </w:p>
    <w:p w14:paraId="05994DEE" w14:textId="77777777" w:rsidR="00217BF2" w:rsidRDefault="00217BF2" w:rsidP="00704ED9">
      <w:pPr>
        <w:pStyle w:val="NoSpacing"/>
        <w:rPr>
          <w:b/>
          <w:bCs/>
        </w:rPr>
      </w:pPr>
    </w:p>
    <w:p w14:paraId="2E7995DD" w14:textId="77777777" w:rsidR="00217BF2" w:rsidRDefault="00217BF2" w:rsidP="00704ED9">
      <w:pPr>
        <w:pStyle w:val="NoSpacing"/>
        <w:rPr>
          <w:b/>
          <w:bCs/>
        </w:rPr>
      </w:pPr>
    </w:p>
    <w:p w14:paraId="35E116C5" w14:textId="77777777" w:rsidR="00217BF2" w:rsidRDefault="00217BF2" w:rsidP="00704ED9">
      <w:pPr>
        <w:pStyle w:val="NoSpacing"/>
        <w:rPr>
          <w:b/>
          <w:bCs/>
        </w:rPr>
      </w:pPr>
    </w:p>
    <w:p w14:paraId="2471600C" w14:textId="77777777" w:rsidR="00217BF2" w:rsidRDefault="00217BF2" w:rsidP="00704ED9">
      <w:pPr>
        <w:pStyle w:val="NoSpacing"/>
        <w:rPr>
          <w:b/>
          <w:bCs/>
        </w:rPr>
      </w:pPr>
    </w:p>
    <w:p w14:paraId="0A2C0404" w14:textId="77777777" w:rsidR="00217BF2" w:rsidRDefault="00217BF2" w:rsidP="00704ED9">
      <w:pPr>
        <w:pStyle w:val="NoSpacing"/>
        <w:rPr>
          <w:b/>
          <w:bCs/>
        </w:rPr>
      </w:pPr>
    </w:p>
    <w:p w14:paraId="6231A0B7" w14:textId="77777777" w:rsidR="00217BF2" w:rsidRDefault="00217BF2" w:rsidP="00704ED9">
      <w:pPr>
        <w:pStyle w:val="NoSpacing"/>
        <w:rPr>
          <w:b/>
          <w:bCs/>
        </w:rPr>
      </w:pPr>
    </w:p>
    <w:p w14:paraId="10715B3D" w14:textId="77777777" w:rsidR="00217BF2" w:rsidRDefault="00217BF2" w:rsidP="00704ED9">
      <w:pPr>
        <w:pStyle w:val="NoSpacing"/>
        <w:rPr>
          <w:b/>
          <w:bCs/>
        </w:rPr>
      </w:pPr>
    </w:p>
    <w:p w14:paraId="2F2AC182" w14:textId="77777777" w:rsidR="00217BF2" w:rsidRDefault="00217BF2" w:rsidP="00704ED9">
      <w:pPr>
        <w:pStyle w:val="NoSpacing"/>
        <w:rPr>
          <w:b/>
          <w:bCs/>
        </w:rPr>
      </w:pPr>
    </w:p>
    <w:p w14:paraId="1313DAD8" w14:textId="67C5ED3A" w:rsidR="00001E8D" w:rsidRDefault="00001E8D" w:rsidP="00704ED9">
      <w:pPr>
        <w:pStyle w:val="NoSpacing"/>
        <w:rPr>
          <w:b/>
          <w:bCs/>
        </w:rPr>
      </w:pPr>
      <w:r>
        <w:rPr>
          <w:b/>
          <w:bCs/>
        </w:rPr>
        <w:t>OUTBOUND MT 564 SWIFT MESSAGE</w:t>
      </w:r>
    </w:p>
    <w:p w14:paraId="7B06C8CF" w14:textId="4E52A48F" w:rsidR="007274EE" w:rsidRDefault="007274EE" w:rsidP="00704ED9">
      <w:pPr>
        <w:pStyle w:val="NoSpacing"/>
        <w:rPr>
          <w:b/>
          <w:bCs/>
        </w:rPr>
      </w:pPr>
    </w:p>
    <w:p w14:paraId="537FE96D" w14:textId="5182191B" w:rsidR="007274EE" w:rsidRDefault="00FB52AE" w:rsidP="00704ED9">
      <w:pPr>
        <w:pStyle w:val="NoSpacing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9C82E0B" wp14:editId="19D3600B">
            <wp:extent cx="4031329" cy="6683319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66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FC99" w14:textId="68704760" w:rsidR="00001E8D" w:rsidRPr="00001E8D" w:rsidRDefault="00001E8D" w:rsidP="00704ED9">
      <w:pPr>
        <w:pStyle w:val="NoSpacing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DB7A85E" wp14:editId="09861BBA">
            <wp:extent cx="4358640" cy="12496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9027" cy="12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1B73" w14:textId="4CA6D1C6" w:rsidR="00001E8D" w:rsidRDefault="00001E8D" w:rsidP="00704ED9">
      <w:pPr>
        <w:pStyle w:val="NoSpacing"/>
        <w:rPr>
          <w:noProof/>
        </w:rPr>
      </w:pPr>
      <w:r>
        <w:rPr>
          <w:noProof/>
        </w:rPr>
        <w:lastRenderedPageBreak/>
        <w:t xml:space="preserve">    </w:t>
      </w:r>
      <w:r>
        <w:rPr>
          <w:noProof/>
        </w:rPr>
        <w:drawing>
          <wp:inline distT="0" distB="0" distL="0" distR="0" wp14:anchorId="445E346C" wp14:editId="6D0DF889">
            <wp:extent cx="5022015" cy="371888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  <w:r w:rsidR="00027473">
        <w:rPr>
          <w:noProof/>
        </w:rPr>
        <w:tab/>
      </w:r>
    </w:p>
    <w:p w14:paraId="36CA7132" w14:textId="0F6563F5" w:rsidR="00335FDC" w:rsidRDefault="00335FDC" w:rsidP="00704ED9">
      <w:pPr>
        <w:pStyle w:val="NoSpacing"/>
        <w:rPr>
          <w:noProof/>
        </w:rPr>
      </w:pPr>
    </w:p>
    <w:p w14:paraId="4B0AFCB6" w14:textId="77777777" w:rsidR="00335FDC" w:rsidRDefault="00335FDC" w:rsidP="00335FDC">
      <w:pPr>
        <w:pStyle w:val="NormalWeb"/>
        <w:spacing w:after="120" w:afterAutospacing="0"/>
      </w:pPr>
      <w:r>
        <w:rPr>
          <w:rStyle w:val="Strong"/>
          <w:u w:val="single"/>
        </w:rPr>
        <w:t>Distributions with multiple sources of income</w:t>
      </w:r>
    </w:p>
    <w:p w14:paraId="7F8D9FAA" w14:textId="77777777" w:rsidR="00335FDC" w:rsidRDefault="00335FDC" w:rsidP="00335FDC">
      <w:pPr>
        <w:pStyle w:val="NormalWeb"/>
        <w:spacing w:after="120" w:afterAutospacing="0"/>
      </w:pPr>
      <w:r>
        <w:t xml:space="preserve">Granite REIT: </w:t>
      </w:r>
      <w:proofErr w:type="spellStart"/>
      <w:r>
        <w:t>Cusip</w:t>
      </w:r>
      <w:proofErr w:type="spellEnd"/>
      <w:r>
        <w:t xml:space="preserve"> 387437114.</w:t>
      </w:r>
    </w:p>
    <w:p w14:paraId="77333CE2" w14:textId="77777777" w:rsidR="00335FDC" w:rsidRDefault="00335FDC" w:rsidP="00335FDC">
      <w:pPr>
        <w:pStyle w:val="NormalWeb"/>
        <w:spacing w:after="120" w:afterAutospacing="0"/>
      </w:pPr>
      <w:r>
        <w:t>See March 15</w:t>
      </w:r>
      <w:r>
        <w:rPr>
          <w:i/>
          <w:iCs/>
        </w:rPr>
        <w:t>th</w:t>
      </w:r>
      <w:r>
        <w:t xml:space="preserve">, </w:t>
      </w:r>
      <w:proofErr w:type="gramStart"/>
      <w:r>
        <w:t>2024</w:t>
      </w:r>
      <w:proofErr w:type="gramEnd"/>
      <w:r>
        <w:t xml:space="preserve"> payable date distribution.  $0.275 is Canadian sourced distribution subject to Canadian withholding tax.  The same $0.275 is also subject to US withholding tax as $0.120 is US sourced dividends and $0.155 is US sourced interest.</w:t>
      </w:r>
    </w:p>
    <w:p w14:paraId="03B39B52" w14:textId="77777777" w:rsidR="00335FDC" w:rsidRDefault="00335FDC" w:rsidP="00335FDC">
      <w:pPr>
        <w:pStyle w:val="NormalWeb"/>
        <w:spacing w:after="120" w:afterAutospacing="0"/>
      </w:pPr>
      <w:r>
        <w:t>See CA ID 142482901. DVCA CHOS, rate of $0.275 event for clients to instruct Canadian withholding rates.   Clients can either get paid $0.275 or less 25% Canadian taxes. IRSX Code set to 99.</w:t>
      </w:r>
    </w:p>
    <w:p w14:paraId="1C5A5DF3" w14:textId="77777777" w:rsidR="00335FDC" w:rsidRDefault="00335FDC" w:rsidP="00335FDC">
      <w:pPr>
        <w:pStyle w:val="NormalWeb"/>
        <w:spacing w:after="120" w:afterAutospacing="0"/>
      </w:pPr>
      <w:r>
        <w:t xml:space="preserve">See CA ID 142928479. OTHR Event – with two </w:t>
      </w:r>
      <w:proofErr w:type="spellStart"/>
      <w:r>
        <w:t>payouts</w:t>
      </w:r>
      <w:proofErr w:type="spellEnd"/>
      <w:r>
        <w:t xml:space="preserve"> for the 2 components that are US sourced income.  DTC does not allocate on this event but may debit US withholding taxes from its non-US clients.</w:t>
      </w:r>
    </w:p>
    <w:p w14:paraId="51D2FFDA" w14:textId="77777777" w:rsidR="00335FDC" w:rsidRDefault="00335FDC" w:rsidP="00335FDC">
      <w:pPr>
        <w:pStyle w:val="NormalWeb"/>
        <w:spacing w:after="120" w:afterAutospacing="0"/>
      </w:pPr>
      <w:r>
        <w:t xml:space="preserve">Instead of using OTHR, we are recommending </w:t>
      </w:r>
      <w:proofErr w:type="gramStart"/>
      <w:r>
        <w:t>to use</w:t>
      </w:r>
      <w:proofErr w:type="gramEnd"/>
      <w:r>
        <w:t xml:space="preserve"> RCLA event to provide the US tax components for 1042-S tax withholding.  In this example, RCLA needs to be an information only announcement. RCLA would inform clients that it is tax related. </w:t>
      </w:r>
    </w:p>
    <w:p w14:paraId="3FB86AD9" w14:textId="77777777" w:rsidR="00335FDC" w:rsidRPr="006616B2" w:rsidRDefault="00335FDC" w:rsidP="00704ED9">
      <w:pPr>
        <w:pStyle w:val="NoSpacing"/>
        <w:rPr>
          <w:b/>
          <w:bCs/>
        </w:rPr>
      </w:pPr>
    </w:p>
    <w:sectPr w:rsidR="00335FDC" w:rsidRPr="006616B2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F1E" w14:textId="77777777" w:rsidR="00013B2E" w:rsidRDefault="00013B2E" w:rsidP="00013B2E">
      <w:pPr>
        <w:spacing w:after="0" w:line="240" w:lineRule="auto"/>
      </w:pPr>
      <w:r>
        <w:separator/>
      </w:r>
    </w:p>
  </w:endnote>
  <w:endnote w:type="continuationSeparator" w:id="0">
    <w:p w14:paraId="3D369A6C" w14:textId="77777777" w:rsidR="00013B2E" w:rsidRDefault="00013B2E" w:rsidP="000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DE7F" w14:textId="7BC3CC69" w:rsidR="000C5D61" w:rsidRDefault="000C5D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85E3F7" wp14:editId="472CD69D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Classification 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C608C" w14:textId="7240C4F5" w:rsidR="000C5D61" w:rsidRPr="000C5D61" w:rsidRDefault="000C5D61" w:rsidP="000C5D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C5D6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5E3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lassification : Confidenti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67EC608C" w14:textId="7240C4F5" w:rsidR="000C5D61" w:rsidRPr="000C5D61" w:rsidRDefault="000C5D61" w:rsidP="000C5D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C5D61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007B" w14:textId="0241FB49" w:rsidR="00A06E4A" w:rsidRDefault="000C5D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51D82B" wp14:editId="7A2173C8">
              <wp:simplePos x="914400" y="9433367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8" name="Text Box 8" descr="Classification 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EA8DF" w14:textId="563132C6" w:rsidR="000C5D61" w:rsidRPr="000C5D61" w:rsidRDefault="000C5D61" w:rsidP="000C5D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C5D6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1D8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lassification : Confidenti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1FCEA8DF" w14:textId="563132C6" w:rsidR="000C5D61" w:rsidRPr="000C5D61" w:rsidRDefault="000C5D61" w:rsidP="000C5D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C5D61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374B" w14:textId="3800F022" w:rsidR="000C5D61" w:rsidRDefault="000C5D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091814" wp14:editId="3F398D67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Classification 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BBB1B" w14:textId="2935E32F" w:rsidR="000C5D61" w:rsidRPr="000C5D61" w:rsidRDefault="000C5D61" w:rsidP="000C5D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C5D6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918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Classification : Confidenti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7AABBB1B" w14:textId="2935E32F" w:rsidR="000C5D61" w:rsidRPr="000C5D61" w:rsidRDefault="000C5D61" w:rsidP="000C5D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C5D61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F1F" w14:textId="77777777" w:rsidR="00013B2E" w:rsidRDefault="00013B2E" w:rsidP="00013B2E">
      <w:pPr>
        <w:spacing w:after="0" w:line="240" w:lineRule="auto"/>
      </w:pPr>
      <w:r>
        <w:separator/>
      </w:r>
    </w:p>
  </w:footnote>
  <w:footnote w:type="continuationSeparator" w:id="0">
    <w:p w14:paraId="485EA250" w14:textId="77777777" w:rsidR="00013B2E" w:rsidRDefault="00013B2E" w:rsidP="0001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A002F"/>
    <w:multiLevelType w:val="hybridMultilevel"/>
    <w:tmpl w:val="5944D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1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11"/>
    <w:rsid w:val="00001E8D"/>
    <w:rsid w:val="00013B2E"/>
    <w:rsid w:val="00023A11"/>
    <w:rsid w:val="00027473"/>
    <w:rsid w:val="000C5D61"/>
    <w:rsid w:val="000E2747"/>
    <w:rsid w:val="00197661"/>
    <w:rsid w:val="00217BF2"/>
    <w:rsid w:val="00235942"/>
    <w:rsid w:val="00261EDF"/>
    <w:rsid w:val="002A2674"/>
    <w:rsid w:val="00335FDC"/>
    <w:rsid w:val="003C3C73"/>
    <w:rsid w:val="004334CA"/>
    <w:rsid w:val="00480C99"/>
    <w:rsid w:val="0050032A"/>
    <w:rsid w:val="00501AB7"/>
    <w:rsid w:val="00557692"/>
    <w:rsid w:val="005576EB"/>
    <w:rsid w:val="006616B2"/>
    <w:rsid w:val="00704ED9"/>
    <w:rsid w:val="007274EE"/>
    <w:rsid w:val="00831FBD"/>
    <w:rsid w:val="009457FC"/>
    <w:rsid w:val="009F0779"/>
    <w:rsid w:val="00A06E4A"/>
    <w:rsid w:val="00AE02EE"/>
    <w:rsid w:val="00D4701C"/>
    <w:rsid w:val="00DD0CAE"/>
    <w:rsid w:val="00DD685D"/>
    <w:rsid w:val="00DE5148"/>
    <w:rsid w:val="00F05C94"/>
    <w:rsid w:val="00FB52A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08156F"/>
  <w15:chartTrackingRefBased/>
  <w15:docId w15:val="{6BCC82FC-1604-4493-A3F4-335E2E1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9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27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4A"/>
  </w:style>
  <w:style w:type="paragraph" w:styleId="Footer">
    <w:name w:val="footer"/>
    <w:basedOn w:val="Normal"/>
    <w:link w:val="FooterChar"/>
    <w:uiPriority w:val="99"/>
    <w:unhideWhenUsed/>
    <w:rsid w:val="00A0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4A"/>
  </w:style>
  <w:style w:type="paragraph" w:styleId="NormalWeb">
    <w:name w:val="Normal (Web)"/>
    <w:basedOn w:val="Normal"/>
    <w:uiPriority w:val="99"/>
    <w:semiHidden/>
    <w:unhideWhenUsed/>
    <w:rsid w:val="003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5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F477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Lanfear, Elizabeth</dc:creator>
  <cp:keywords/>
  <dc:description/>
  <cp:lastModifiedBy>Mariangela FUMAGALLI</cp:lastModifiedBy>
  <cp:revision>2</cp:revision>
  <cp:lastPrinted>2024-03-18T15:57:00Z</cp:lastPrinted>
  <dcterms:created xsi:type="dcterms:W3CDTF">2024-03-28T18:03:00Z</dcterms:created>
  <dcterms:modified xsi:type="dcterms:W3CDTF">2024-03-28T18:03:00Z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120eb5-e971-4c74-98b2-fa8d1757c829_Enabled">
    <vt:lpwstr>true</vt:lpwstr>
  </property>
  <property fmtid="{D5CDD505-2E9C-101B-9397-08002B2CF9AE}" pid="3" name="MSIP_Label_36120eb5-e971-4c74-98b2-fa8d1757c829_SetDate">
    <vt:lpwstr>2024-03-25T19:20:55Z</vt:lpwstr>
  </property>
  <property fmtid="{D5CDD505-2E9C-101B-9397-08002B2CF9AE}" pid="4" name="MSIP_Label_36120eb5-e971-4c74-98b2-fa8d1757c829_Method">
    <vt:lpwstr>Privileged</vt:lpwstr>
  </property>
  <property fmtid="{D5CDD505-2E9C-101B-9397-08002B2CF9AE}" pid="5" name="MSIP_Label_36120eb5-e971-4c74-98b2-fa8d1757c829_Name">
    <vt:lpwstr>36120eb5-e971-4c74-98b2-fa8d1757c829</vt:lpwstr>
  </property>
  <property fmtid="{D5CDD505-2E9C-101B-9397-08002B2CF9AE}" pid="6" name="MSIP_Label_36120eb5-e971-4c74-98b2-fa8d1757c829_SiteId">
    <vt:lpwstr>4b2d1e6a-fefc-41f2-896b-ad5ac594ebe9</vt:lpwstr>
  </property>
  <property fmtid="{D5CDD505-2E9C-101B-9397-08002B2CF9AE}" pid="7" name="MSIP_Label_36120eb5-e971-4c74-98b2-fa8d1757c829_ActionId">
    <vt:lpwstr>fd9eb370-a925-4e2f-a752-d2b9339506f9</vt:lpwstr>
  </property>
  <property fmtid="{D5CDD505-2E9C-101B-9397-08002B2CF9AE}" pid="8" name="MSIP_Label_36120eb5-e971-4c74-98b2-fa8d1757c829_ContentBits">
    <vt:lpwstr>0</vt:lpwstr>
  </property>
  <property fmtid="{D5CDD505-2E9C-101B-9397-08002B2CF9AE}" pid="9" name="MSIP_Label_024770cc-86a8-4dbd-aec7-670b38aa4b4d_Enabled">
    <vt:lpwstr>true</vt:lpwstr>
  </property>
  <property fmtid="{D5CDD505-2E9C-101B-9397-08002B2CF9AE}" pid="10" name="MSIP_Label_024770cc-86a8-4dbd-aec7-670b38aa4b4d_SetDate">
    <vt:lpwstr>2024-03-27T20:47:42Z</vt:lpwstr>
  </property>
  <property fmtid="{D5CDD505-2E9C-101B-9397-08002B2CF9AE}" pid="11" name="MSIP_Label_024770cc-86a8-4dbd-aec7-670b38aa4b4d_Method">
    <vt:lpwstr>Privileged</vt:lpwstr>
  </property>
  <property fmtid="{D5CDD505-2E9C-101B-9397-08002B2CF9AE}" pid="12" name="MSIP_Label_024770cc-86a8-4dbd-aec7-670b38aa4b4d_Name">
    <vt:lpwstr>024770cc-86a8-4dbd-aec7-670b38aa4b4d</vt:lpwstr>
  </property>
  <property fmtid="{D5CDD505-2E9C-101B-9397-08002B2CF9AE}" pid="13" name="MSIP_Label_024770cc-86a8-4dbd-aec7-670b38aa4b4d_SiteId">
    <vt:lpwstr>0465519d-7f55-4d47-998b-55e2a86f04a8</vt:lpwstr>
  </property>
  <property fmtid="{D5CDD505-2E9C-101B-9397-08002B2CF9AE}" pid="14" name="MSIP_Label_024770cc-86a8-4dbd-aec7-670b38aa4b4d_ActionId">
    <vt:lpwstr>9bc55c68-b79f-4688-afb5-fb6db73cbe06</vt:lpwstr>
  </property>
  <property fmtid="{D5CDD505-2E9C-101B-9397-08002B2CF9AE}" pid="15" name="MSIP_Label_024770cc-86a8-4dbd-aec7-670b38aa4b4d_ContentBits">
    <vt:lpwstr>2</vt:lpwstr>
  </property>
  <property fmtid="{D5CDD505-2E9C-101B-9397-08002B2CF9AE}" pid="16" name="ClassificationContentMarkingFooterShapeIds">
    <vt:lpwstr>4,7,8</vt:lpwstr>
  </property>
  <property fmtid="{D5CDD505-2E9C-101B-9397-08002B2CF9AE}" pid="17" name="ClassificationContentMarkingFooterFontProps">
    <vt:lpwstr>#ff8c00,10,Calibri</vt:lpwstr>
  </property>
  <property fmtid="{D5CDD505-2E9C-101B-9397-08002B2CF9AE}" pid="18" name="ClassificationContentMarkingFooterText">
    <vt:lpwstr>Classification : Confidential</vt:lpwstr>
  </property>
  <property fmtid="{D5CDD505-2E9C-101B-9397-08002B2CF9AE}" pid="19" name="MSIP_Label_a6b9b49c-3903-4fd4-a343-18d82815dc85_Enabled">
    <vt:lpwstr>true</vt:lpwstr>
  </property>
  <property fmtid="{D5CDD505-2E9C-101B-9397-08002B2CF9AE}" pid="20" name="MSIP_Label_a6b9b49c-3903-4fd4-a343-18d82815dc85_SetDate">
    <vt:lpwstr>2024-03-28T15:09:31Z</vt:lpwstr>
  </property>
  <property fmtid="{D5CDD505-2E9C-101B-9397-08002B2CF9AE}" pid="21" name="MSIP_Label_a6b9b49c-3903-4fd4-a343-18d82815dc85_Method">
    <vt:lpwstr>Privileged</vt:lpwstr>
  </property>
  <property fmtid="{D5CDD505-2E9C-101B-9397-08002B2CF9AE}" pid="22" name="MSIP_Label_a6b9b49c-3903-4fd4-a343-18d82815dc85_Name">
    <vt:lpwstr>Intra and extragroup use</vt:lpwstr>
  </property>
  <property fmtid="{D5CDD505-2E9C-101B-9397-08002B2CF9AE}" pid="23" name="MSIP_Label_a6b9b49c-3903-4fd4-a343-18d82815dc85_SiteId">
    <vt:lpwstr>614f9c25-bffa-42c7-86d8-964101f55fa2</vt:lpwstr>
  </property>
  <property fmtid="{D5CDD505-2E9C-101B-9397-08002B2CF9AE}" pid="24" name="MSIP_Label_a6b9b49c-3903-4fd4-a343-18d82815dc85_ActionId">
    <vt:lpwstr>0019056b-5840-491b-a5c0-89b29d5af447</vt:lpwstr>
  </property>
  <property fmtid="{D5CDD505-2E9C-101B-9397-08002B2CF9AE}" pid="25" name="MSIP_Label_a6b9b49c-3903-4fd4-a343-18d82815dc85_ContentBits">
    <vt:lpwstr>2</vt:lpwstr>
  </property>
</Properties>
</file>