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Pr="007A69C8" w:rsidRDefault="00344965" w:rsidP="00A738EA">
      <w:pPr>
        <w:pStyle w:val="Header"/>
        <w:rPr>
          <w:lang w:val="en-GB"/>
        </w:rPr>
      </w:pPr>
      <w:r>
        <w:rPr>
          <w:lang w:val="en-GB"/>
        </w:rPr>
        <w:t>16</w:t>
      </w:r>
      <w:r w:rsidR="00E60462">
        <w:rPr>
          <w:lang w:val="en-GB"/>
        </w:rPr>
        <w:t xml:space="preserve">th </w:t>
      </w:r>
      <w:r>
        <w:rPr>
          <w:lang w:val="en-GB"/>
        </w:rPr>
        <w:t>May</w:t>
      </w:r>
      <w:r w:rsidR="00E60462">
        <w:rPr>
          <w:lang w:val="en-GB"/>
        </w:rPr>
        <w:t xml:space="preserve"> 2013</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F678E9">
        <w:rPr>
          <w:lang w:val="en-GB"/>
        </w:rPr>
        <w:t xml:space="preserve">June </w:t>
      </w:r>
      <w:r w:rsidR="00E62F12">
        <w:rPr>
          <w:lang w:val="en-GB"/>
        </w:rPr>
        <w:t>6</w:t>
      </w:r>
      <w:r w:rsidR="00F678E9">
        <w:rPr>
          <w:lang w:val="en-GB"/>
        </w:rPr>
        <w:t>, 2103</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t>Table of Contents</w:t>
      </w:r>
    </w:p>
    <w:p w:rsidR="00EB6DEC" w:rsidRDefault="00E60462">
      <w:pPr>
        <w:pStyle w:val="TOC1"/>
        <w:rPr>
          <w:rFonts w:asciiTheme="minorHAnsi" w:eastAsiaTheme="minorEastAsia" w:hAnsiTheme="minorHAnsi" w:cstheme="minorBidi"/>
          <w:b w:val="0"/>
          <w:bCs w:val="0"/>
          <w:sz w:val="22"/>
          <w:szCs w:val="22"/>
          <w:lang w:val="en-GB" w:eastAsia="en-GB"/>
        </w:rPr>
      </w:pPr>
      <w:r>
        <w:fldChar w:fldCharType="begin"/>
      </w:r>
      <w:r>
        <w:instrText xml:space="preserve"> TOC \o "1-3" \h \z \u </w:instrText>
      </w:r>
      <w:r>
        <w:fldChar w:fldCharType="separate"/>
      </w:r>
      <w:hyperlink w:anchor="_Toc358045185" w:history="1">
        <w:r w:rsidR="00EB6DEC" w:rsidRPr="001F4D8B">
          <w:rPr>
            <w:rStyle w:val="Hyperlink"/>
            <w:lang w:val="en-GB"/>
          </w:rPr>
          <w:t>1.</w:t>
        </w:r>
        <w:r w:rsidR="00EB6DEC">
          <w:rPr>
            <w:rFonts w:asciiTheme="minorHAnsi" w:eastAsiaTheme="minorEastAsia" w:hAnsiTheme="minorHAnsi" w:cstheme="minorBidi"/>
            <w:b w:val="0"/>
            <w:bCs w:val="0"/>
            <w:sz w:val="22"/>
            <w:szCs w:val="22"/>
            <w:lang w:val="en-GB" w:eastAsia="en-GB"/>
          </w:rPr>
          <w:tab/>
        </w:r>
        <w:r w:rsidR="00EB6DEC" w:rsidRPr="001F4D8B">
          <w:rPr>
            <w:rStyle w:val="Hyperlink"/>
          </w:rPr>
          <w:t>Scope of the Tax Sub-group</w:t>
        </w:r>
        <w:r w:rsidR="00EB6DEC">
          <w:rPr>
            <w:webHidden/>
          </w:rPr>
          <w:tab/>
        </w:r>
        <w:r w:rsidR="00EB6DEC">
          <w:rPr>
            <w:webHidden/>
          </w:rPr>
          <w:fldChar w:fldCharType="begin"/>
        </w:r>
        <w:r w:rsidR="00EB6DEC">
          <w:rPr>
            <w:webHidden/>
          </w:rPr>
          <w:instrText xml:space="preserve"> PAGEREF _Toc358045185 \h </w:instrText>
        </w:r>
        <w:r w:rsidR="00EB6DEC">
          <w:rPr>
            <w:webHidden/>
          </w:rPr>
        </w:r>
        <w:r w:rsidR="00EB6DEC">
          <w:rPr>
            <w:webHidden/>
          </w:rPr>
          <w:fldChar w:fldCharType="separate"/>
        </w:r>
        <w:r w:rsidR="00EB6DEC">
          <w:rPr>
            <w:webHidden/>
          </w:rPr>
          <w:t>2</w:t>
        </w:r>
        <w:r w:rsidR="00EB6DEC">
          <w:rPr>
            <w:webHidden/>
          </w:rPr>
          <w:fldChar w:fldCharType="end"/>
        </w:r>
      </w:hyperlink>
    </w:p>
    <w:p w:rsidR="00EB6DEC" w:rsidRDefault="004E7C83">
      <w:pPr>
        <w:pStyle w:val="TOC1"/>
        <w:rPr>
          <w:rFonts w:asciiTheme="minorHAnsi" w:eastAsiaTheme="minorEastAsia" w:hAnsiTheme="minorHAnsi" w:cstheme="minorBidi"/>
          <w:b w:val="0"/>
          <w:bCs w:val="0"/>
          <w:sz w:val="22"/>
          <w:szCs w:val="22"/>
          <w:lang w:val="en-GB" w:eastAsia="en-GB"/>
        </w:rPr>
      </w:pPr>
      <w:hyperlink w:anchor="_Toc358045186" w:history="1">
        <w:r w:rsidR="00EB6DEC" w:rsidRPr="001F4D8B">
          <w:rPr>
            <w:rStyle w:val="Hyperlink"/>
            <w:lang w:val="en-GB"/>
          </w:rPr>
          <w:t>2.</w:t>
        </w:r>
        <w:r w:rsidR="00EB6DEC">
          <w:rPr>
            <w:rFonts w:asciiTheme="minorHAnsi" w:eastAsiaTheme="minorEastAsia" w:hAnsiTheme="minorHAnsi" w:cstheme="minorBidi"/>
            <w:b w:val="0"/>
            <w:bCs w:val="0"/>
            <w:sz w:val="22"/>
            <w:szCs w:val="22"/>
            <w:lang w:val="en-GB" w:eastAsia="en-GB"/>
          </w:rPr>
          <w:tab/>
        </w:r>
        <w:r w:rsidR="00EB6DEC" w:rsidRPr="001F4D8B">
          <w:rPr>
            <w:rStyle w:val="Hyperlink"/>
          </w:rPr>
          <w:t>Tax Table</w:t>
        </w:r>
        <w:r w:rsidR="00EB6DEC">
          <w:rPr>
            <w:webHidden/>
          </w:rPr>
          <w:tab/>
        </w:r>
        <w:r w:rsidR="00EB6DEC">
          <w:rPr>
            <w:webHidden/>
          </w:rPr>
          <w:fldChar w:fldCharType="begin"/>
        </w:r>
        <w:r w:rsidR="00EB6DEC">
          <w:rPr>
            <w:webHidden/>
          </w:rPr>
          <w:instrText xml:space="preserve"> PAGEREF _Toc358045186 \h </w:instrText>
        </w:r>
        <w:r w:rsidR="00EB6DEC">
          <w:rPr>
            <w:webHidden/>
          </w:rPr>
        </w:r>
        <w:r w:rsidR="00EB6DEC">
          <w:rPr>
            <w:webHidden/>
          </w:rPr>
          <w:fldChar w:fldCharType="separate"/>
        </w:r>
        <w:r w:rsidR="00EB6DEC">
          <w:rPr>
            <w:webHidden/>
          </w:rPr>
          <w:t>3</w:t>
        </w:r>
        <w:r w:rsidR="00EB6DEC">
          <w:rPr>
            <w:webHidden/>
          </w:rPr>
          <w:fldChar w:fldCharType="end"/>
        </w:r>
      </w:hyperlink>
    </w:p>
    <w:p w:rsidR="00EB6DEC" w:rsidRDefault="004E7C83">
      <w:pPr>
        <w:pStyle w:val="TOC1"/>
        <w:rPr>
          <w:rFonts w:asciiTheme="minorHAnsi" w:eastAsiaTheme="minorEastAsia" w:hAnsiTheme="minorHAnsi" w:cstheme="minorBidi"/>
          <w:b w:val="0"/>
          <w:bCs w:val="0"/>
          <w:sz w:val="22"/>
          <w:szCs w:val="22"/>
          <w:lang w:val="en-GB" w:eastAsia="en-GB"/>
        </w:rPr>
      </w:pPr>
      <w:hyperlink w:anchor="_Toc358045187" w:history="1">
        <w:r w:rsidR="00EB6DEC" w:rsidRPr="001F4D8B">
          <w:rPr>
            <w:rStyle w:val="Hyperlink"/>
            <w:lang w:val="en-GB"/>
          </w:rPr>
          <w:t>3.</w:t>
        </w:r>
        <w:r w:rsidR="00EB6DEC">
          <w:rPr>
            <w:rFonts w:asciiTheme="minorHAnsi" w:eastAsiaTheme="minorEastAsia" w:hAnsiTheme="minorHAnsi" w:cstheme="minorBidi"/>
            <w:b w:val="0"/>
            <w:bCs w:val="0"/>
            <w:sz w:val="22"/>
            <w:szCs w:val="22"/>
            <w:lang w:val="en-GB" w:eastAsia="en-GB"/>
          </w:rPr>
          <w:tab/>
        </w:r>
        <w:r w:rsidR="00EB6DEC" w:rsidRPr="001F4D8B">
          <w:rPr>
            <w:rStyle w:val="Hyperlink"/>
          </w:rPr>
          <w:t>Tax processing flow / certification process</w:t>
        </w:r>
        <w:r w:rsidR="00EB6DEC">
          <w:rPr>
            <w:webHidden/>
          </w:rPr>
          <w:tab/>
        </w:r>
        <w:r w:rsidR="00EB6DEC">
          <w:rPr>
            <w:webHidden/>
          </w:rPr>
          <w:fldChar w:fldCharType="begin"/>
        </w:r>
        <w:r w:rsidR="00EB6DEC">
          <w:rPr>
            <w:webHidden/>
          </w:rPr>
          <w:instrText xml:space="preserve"> PAGEREF _Toc358045187 \h </w:instrText>
        </w:r>
        <w:r w:rsidR="00EB6DEC">
          <w:rPr>
            <w:webHidden/>
          </w:rPr>
        </w:r>
        <w:r w:rsidR="00EB6DEC">
          <w:rPr>
            <w:webHidden/>
          </w:rPr>
          <w:fldChar w:fldCharType="separate"/>
        </w:r>
        <w:r w:rsidR="00EB6DEC">
          <w:rPr>
            <w:webHidden/>
          </w:rPr>
          <w:t>3</w:t>
        </w:r>
        <w:r w:rsidR="00EB6DEC">
          <w:rPr>
            <w:webHidden/>
          </w:rPr>
          <w:fldChar w:fldCharType="end"/>
        </w:r>
      </w:hyperlink>
    </w:p>
    <w:p w:rsidR="00EB6DEC" w:rsidRDefault="004E7C83">
      <w:pPr>
        <w:pStyle w:val="TOC1"/>
        <w:rPr>
          <w:rFonts w:asciiTheme="minorHAnsi" w:eastAsiaTheme="minorEastAsia" w:hAnsiTheme="minorHAnsi" w:cstheme="minorBidi"/>
          <w:b w:val="0"/>
          <w:bCs w:val="0"/>
          <w:sz w:val="22"/>
          <w:szCs w:val="22"/>
          <w:lang w:val="en-GB" w:eastAsia="en-GB"/>
        </w:rPr>
      </w:pPr>
      <w:hyperlink w:anchor="_Toc358045188" w:history="1">
        <w:r w:rsidR="00EB6DEC" w:rsidRPr="001F4D8B">
          <w:rPr>
            <w:rStyle w:val="Hyperlink"/>
            <w:lang w:val="en-GB"/>
          </w:rPr>
          <w:t>4.</w:t>
        </w:r>
        <w:r w:rsidR="00EB6DEC">
          <w:rPr>
            <w:rFonts w:asciiTheme="minorHAnsi" w:eastAsiaTheme="minorEastAsia" w:hAnsiTheme="minorHAnsi" w:cstheme="minorBidi"/>
            <w:b w:val="0"/>
            <w:bCs w:val="0"/>
            <w:sz w:val="22"/>
            <w:szCs w:val="22"/>
            <w:lang w:val="en-GB" w:eastAsia="en-GB"/>
          </w:rPr>
          <w:tab/>
        </w:r>
        <w:r w:rsidR="00EB6DEC" w:rsidRPr="001F4D8B">
          <w:rPr>
            <w:rStyle w:val="Hyperlink"/>
          </w:rPr>
          <w:t>Other Items</w:t>
        </w:r>
        <w:r w:rsidR="00EB6DEC">
          <w:rPr>
            <w:webHidden/>
          </w:rPr>
          <w:tab/>
        </w:r>
        <w:r w:rsidR="00EB6DEC">
          <w:rPr>
            <w:webHidden/>
          </w:rPr>
          <w:fldChar w:fldCharType="begin"/>
        </w:r>
        <w:r w:rsidR="00EB6DEC">
          <w:rPr>
            <w:webHidden/>
          </w:rPr>
          <w:instrText xml:space="preserve"> PAGEREF _Toc358045188 \h </w:instrText>
        </w:r>
        <w:r w:rsidR="00EB6DEC">
          <w:rPr>
            <w:webHidden/>
          </w:rPr>
        </w:r>
        <w:r w:rsidR="00EB6DEC">
          <w:rPr>
            <w:webHidden/>
          </w:rPr>
          <w:fldChar w:fldCharType="separate"/>
        </w:r>
        <w:r w:rsidR="00EB6DEC">
          <w:rPr>
            <w:webHidden/>
          </w:rPr>
          <w:t>4</w:t>
        </w:r>
        <w:r w:rsidR="00EB6DEC">
          <w:rPr>
            <w:webHidden/>
          </w:rPr>
          <w:fldChar w:fldCharType="end"/>
        </w:r>
      </w:hyperlink>
    </w:p>
    <w:p w:rsidR="00EB6DEC" w:rsidRDefault="004E7C83">
      <w:pPr>
        <w:pStyle w:val="TOC2"/>
        <w:rPr>
          <w:rFonts w:asciiTheme="minorHAnsi" w:eastAsiaTheme="minorEastAsia" w:hAnsiTheme="minorHAnsi" w:cstheme="minorBidi"/>
          <w:bCs w:val="0"/>
          <w:sz w:val="22"/>
          <w:szCs w:val="22"/>
          <w:lang w:val="en-GB" w:eastAsia="en-GB"/>
        </w:rPr>
      </w:pPr>
      <w:hyperlink w:anchor="_Toc358045189" w:history="1">
        <w:r w:rsidR="00EB6DEC" w:rsidRPr="001F4D8B">
          <w:rPr>
            <w:rStyle w:val="Hyperlink"/>
          </w:rPr>
          <w:t>1.</w:t>
        </w:r>
        <w:r w:rsidR="00EB6DEC">
          <w:rPr>
            <w:rFonts w:asciiTheme="minorHAnsi" w:eastAsiaTheme="minorEastAsia" w:hAnsiTheme="minorHAnsi" w:cstheme="minorBidi"/>
            <w:bCs w:val="0"/>
            <w:sz w:val="22"/>
            <w:szCs w:val="22"/>
            <w:lang w:val="en-GB" w:eastAsia="en-GB"/>
          </w:rPr>
          <w:tab/>
        </w:r>
        <w:r w:rsidR="00EB6DEC" w:rsidRPr="001F4D8B">
          <w:rPr>
            <w:rStyle w:val="Hyperlink"/>
          </w:rPr>
          <w:t>CA 221: related to SR2012 Change requests proposed by South Africa</w:t>
        </w:r>
        <w:r w:rsidR="00EB6DEC">
          <w:rPr>
            <w:webHidden/>
          </w:rPr>
          <w:tab/>
        </w:r>
        <w:r w:rsidR="00EB6DEC">
          <w:rPr>
            <w:webHidden/>
          </w:rPr>
          <w:fldChar w:fldCharType="begin"/>
        </w:r>
        <w:r w:rsidR="00EB6DEC">
          <w:rPr>
            <w:webHidden/>
          </w:rPr>
          <w:instrText xml:space="preserve"> PAGEREF _Toc358045189 \h </w:instrText>
        </w:r>
        <w:r w:rsidR="00EB6DEC">
          <w:rPr>
            <w:webHidden/>
          </w:rPr>
        </w:r>
        <w:r w:rsidR="00EB6DEC">
          <w:rPr>
            <w:webHidden/>
          </w:rPr>
          <w:fldChar w:fldCharType="separate"/>
        </w:r>
        <w:r w:rsidR="00EB6DEC">
          <w:rPr>
            <w:webHidden/>
          </w:rPr>
          <w:t>4</w:t>
        </w:r>
        <w:r w:rsidR="00EB6DEC">
          <w:rPr>
            <w:webHidden/>
          </w:rPr>
          <w:fldChar w:fldCharType="end"/>
        </w:r>
      </w:hyperlink>
    </w:p>
    <w:p w:rsidR="00EB6DEC" w:rsidRDefault="004E7C83">
      <w:pPr>
        <w:pStyle w:val="TOC1"/>
        <w:rPr>
          <w:rFonts w:asciiTheme="minorHAnsi" w:eastAsiaTheme="minorEastAsia" w:hAnsiTheme="minorHAnsi" w:cstheme="minorBidi"/>
          <w:b w:val="0"/>
          <w:bCs w:val="0"/>
          <w:sz w:val="22"/>
          <w:szCs w:val="22"/>
          <w:lang w:val="en-GB" w:eastAsia="en-GB"/>
        </w:rPr>
      </w:pPr>
      <w:hyperlink w:anchor="_Toc358045190" w:history="1">
        <w:r w:rsidR="00EB6DEC" w:rsidRPr="001F4D8B">
          <w:rPr>
            <w:rStyle w:val="Hyperlink"/>
            <w:lang w:val="en-GB"/>
          </w:rPr>
          <w:t>5.</w:t>
        </w:r>
        <w:r w:rsidR="00EB6DEC">
          <w:rPr>
            <w:rFonts w:asciiTheme="minorHAnsi" w:eastAsiaTheme="minorEastAsia" w:hAnsiTheme="minorHAnsi" w:cstheme="minorBidi"/>
            <w:b w:val="0"/>
            <w:bCs w:val="0"/>
            <w:sz w:val="22"/>
            <w:szCs w:val="22"/>
            <w:lang w:val="en-GB" w:eastAsia="en-GB"/>
          </w:rPr>
          <w:tab/>
        </w:r>
        <w:r w:rsidR="00EB6DEC" w:rsidRPr="001F4D8B">
          <w:rPr>
            <w:rStyle w:val="Hyperlink"/>
          </w:rPr>
          <w:t>Next Conference Calls</w:t>
        </w:r>
        <w:r w:rsidR="00EB6DEC">
          <w:rPr>
            <w:webHidden/>
          </w:rPr>
          <w:tab/>
        </w:r>
        <w:r w:rsidR="00EB6DEC">
          <w:rPr>
            <w:webHidden/>
          </w:rPr>
          <w:fldChar w:fldCharType="begin"/>
        </w:r>
        <w:r w:rsidR="00EB6DEC">
          <w:rPr>
            <w:webHidden/>
          </w:rPr>
          <w:instrText xml:space="preserve"> PAGEREF _Toc358045190 \h </w:instrText>
        </w:r>
        <w:r w:rsidR="00EB6DEC">
          <w:rPr>
            <w:webHidden/>
          </w:rPr>
        </w:r>
        <w:r w:rsidR="00EB6DEC">
          <w:rPr>
            <w:webHidden/>
          </w:rPr>
          <w:fldChar w:fldCharType="separate"/>
        </w:r>
        <w:r w:rsidR="00EB6DEC">
          <w:rPr>
            <w:webHidden/>
          </w:rPr>
          <w:t>5</w:t>
        </w:r>
        <w:r w:rsidR="00EB6DEC">
          <w:rPr>
            <w:webHidden/>
          </w:rPr>
          <w:fldChar w:fldCharType="end"/>
        </w:r>
      </w:hyperlink>
    </w:p>
    <w:p w:rsidR="00E60462" w:rsidRDefault="00E60462">
      <w:r>
        <w:fldChar w:fldCharType="end"/>
      </w:r>
    </w:p>
    <w:p w:rsidR="008067B2" w:rsidRDefault="008067B2" w:rsidP="00F80FDA">
      <w:pPr>
        <w:rPr>
          <w:b/>
          <w:sz w:val="24"/>
          <w:szCs w:val="24"/>
          <w:u w:val="single"/>
          <w:lang w:eastAsia="en-GB"/>
        </w:rPr>
      </w:pPr>
      <w:bookmarkStart w:id="1" w:name="OLE_LINK1"/>
      <w:bookmarkStart w:id="2" w:name="OLE_LINK2"/>
    </w:p>
    <w:p w:rsidR="00E60462" w:rsidRPr="00F80FDA" w:rsidRDefault="00E60462" w:rsidP="00F80FDA">
      <w:pPr>
        <w:rPr>
          <w:b/>
          <w:sz w:val="24"/>
          <w:szCs w:val="24"/>
          <w:u w:val="single"/>
        </w:rPr>
      </w:pPr>
      <w:r w:rsidRPr="00F80FDA">
        <w:rPr>
          <w:b/>
          <w:sz w:val="24"/>
          <w:szCs w:val="24"/>
          <w:u w:val="single"/>
          <w:lang w:eastAsia="en-GB"/>
        </w:rPr>
        <w:t>Attendees</w:t>
      </w:r>
      <w:bookmarkEnd w:id="0"/>
    </w:p>
    <w:bookmarkEnd w:id="1"/>
    <w:bookmarkEnd w:id="2"/>
    <w:p w:rsidR="00E60462" w:rsidRDefault="00E60462" w:rsidP="003D56C9">
      <w:pPr>
        <w:rPr>
          <w:b/>
          <w:u w:val="single"/>
        </w:rPr>
      </w:pPr>
    </w:p>
    <w:tbl>
      <w:tblPr>
        <w:tblW w:w="8720" w:type="dxa"/>
        <w:tblInd w:w="55" w:type="dxa"/>
        <w:tblCellMar>
          <w:left w:w="70" w:type="dxa"/>
          <w:right w:w="70" w:type="dxa"/>
        </w:tblCellMar>
        <w:tblLook w:val="00A0" w:firstRow="1" w:lastRow="0" w:firstColumn="1" w:lastColumn="0" w:noHBand="0" w:noVBand="0"/>
      </w:tblPr>
      <w:tblGrid>
        <w:gridCol w:w="1062"/>
        <w:gridCol w:w="918"/>
        <w:gridCol w:w="559"/>
        <w:gridCol w:w="1344"/>
        <w:gridCol w:w="1468"/>
        <w:gridCol w:w="2017"/>
        <w:gridCol w:w="1352"/>
      </w:tblGrid>
      <w:tr w:rsidR="00E60462" w:rsidRPr="009A697A" w:rsidTr="00344965">
        <w:trPr>
          <w:trHeight w:val="315"/>
        </w:trPr>
        <w:tc>
          <w:tcPr>
            <w:tcW w:w="1038"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eastAsia="fr-FR"/>
              </w:rPr>
            </w:pPr>
          </w:p>
        </w:tc>
        <w:tc>
          <w:tcPr>
            <w:tcW w:w="919" w:type="dxa"/>
            <w:tcBorders>
              <w:top w:val="single" w:sz="8" w:space="0" w:color="auto"/>
              <w:left w:val="single" w:sz="8" w:space="0" w:color="auto"/>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Country</w:t>
            </w:r>
          </w:p>
        </w:tc>
        <w:tc>
          <w:tcPr>
            <w:tcW w:w="559"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 </w:t>
            </w:r>
          </w:p>
        </w:tc>
        <w:tc>
          <w:tcPr>
            <w:tcW w:w="1348"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First Name</w:t>
            </w:r>
          </w:p>
        </w:tc>
        <w:tc>
          <w:tcPr>
            <w:tcW w:w="1471"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Last Name</w:t>
            </w:r>
          </w:p>
        </w:tc>
        <w:tc>
          <w:tcPr>
            <w:tcW w:w="2033"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Institution</w:t>
            </w:r>
          </w:p>
        </w:tc>
        <w:tc>
          <w:tcPr>
            <w:tcW w:w="1352"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Participation</w:t>
            </w:r>
          </w:p>
        </w:tc>
      </w:tr>
      <w:tr w:rsidR="00406E74" w:rsidRPr="00406E74" w:rsidTr="00411761">
        <w:trPr>
          <w:trHeight w:val="315"/>
        </w:trPr>
        <w:tc>
          <w:tcPr>
            <w:tcW w:w="1038" w:type="dxa"/>
            <w:tcBorders>
              <w:top w:val="nil"/>
              <w:left w:val="nil"/>
              <w:bottom w:val="nil"/>
              <w:right w:val="nil"/>
            </w:tcBorders>
            <w:shd w:val="clear" w:color="auto" w:fill="auto"/>
            <w:noWrap/>
            <w:vAlign w:val="bottom"/>
          </w:tcPr>
          <w:p w:rsidR="00411761" w:rsidRPr="00344965" w:rsidRDefault="00411761" w:rsidP="009A697A">
            <w:pPr>
              <w:spacing w:after="0"/>
              <w:rPr>
                <w:rFonts w:ascii="Calibri" w:hAnsi="Calibri" w:cs="Calibri"/>
                <w:b/>
                <w:color w:val="000000"/>
                <w:sz w:val="22"/>
                <w:szCs w:val="22"/>
                <w:lang w:val="en-GB" w:eastAsia="fr-FR"/>
              </w:rPr>
            </w:pPr>
          </w:p>
        </w:tc>
        <w:tc>
          <w:tcPr>
            <w:tcW w:w="919" w:type="dxa"/>
            <w:tcBorders>
              <w:top w:val="nil"/>
              <w:left w:val="single" w:sz="8" w:space="0" w:color="auto"/>
              <w:bottom w:val="single" w:sz="8" w:space="0" w:color="auto"/>
              <w:right w:val="single" w:sz="8" w:space="0" w:color="auto"/>
            </w:tcBorders>
            <w:shd w:val="clear" w:color="auto" w:fill="auto"/>
            <w:vAlign w:val="center"/>
          </w:tcPr>
          <w:p w:rsidR="00411761" w:rsidRPr="00406E74" w:rsidRDefault="00411761" w:rsidP="009A697A">
            <w:pPr>
              <w:spacing w:after="0"/>
              <w:jc w:val="center"/>
              <w:rPr>
                <w:rFonts w:ascii="Calibri" w:hAnsi="Calibri" w:cs="Calibri"/>
                <w:color w:val="808080" w:themeColor="background1" w:themeShade="80"/>
                <w:sz w:val="22"/>
                <w:szCs w:val="22"/>
                <w:lang w:eastAsia="fr-FR"/>
              </w:rPr>
            </w:pPr>
            <w:r w:rsidRPr="00406E74">
              <w:rPr>
                <w:rFonts w:ascii="Calibri" w:hAnsi="Calibri" w:cs="Calibri"/>
                <w:color w:val="808080" w:themeColor="background1" w:themeShade="80"/>
                <w:sz w:val="22"/>
                <w:szCs w:val="22"/>
                <w:lang w:eastAsia="fr-FR"/>
              </w:rPr>
              <w:t>BE</w:t>
            </w:r>
          </w:p>
        </w:tc>
        <w:tc>
          <w:tcPr>
            <w:tcW w:w="559" w:type="dxa"/>
            <w:tcBorders>
              <w:top w:val="nil"/>
              <w:left w:val="nil"/>
              <w:bottom w:val="single" w:sz="8" w:space="0" w:color="auto"/>
              <w:right w:val="single" w:sz="8" w:space="0" w:color="auto"/>
            </w:tcBorders>
            <w:shd w:val="clear" w:color="auto" w:fill="auto"/>
            <w:vAlign w:val="center"/>
          </w:tcPr>
          <w:p w:rsidR="00411761" w:rsidRPr="00406E74" w:rsidRDefault="00411761" w:rsidP="009A697A">
            <w:pPr>
              <w:spacing w:after="0"/>
              <w:jc w:val="center"/>
              <w:rPr>
                <w:rFonts w:ascii="Calibri" w:hAnsi="Calibri" w:cs="Calibri"/>
                <w:color w:val="808080" w:themeColor="background1" w:themeShade="80"/>
                <w:sz w:val="22"/>
                <w:szCs w:val="22"/>
                <w:lang w:eastAsia="fr-FR"/>
              </w:rPr>
            </w:pPr>
            <w:r w:rsidRPr="00406E74">
              <w:rPr>
                <w:rFonts w:ascii="Calibri" w:hAnsi="Calibri" w:cs="Calibri"/>
                <w:color w:val="808080" w:themeColor="background1" w:themeShade="80"/>
                <w:sz w:val="22"/>
                <w:szCs w:val="22"/>
                <w:lang w:eastAsia="fr-FR"/>
              </w:rPr>
              <w:t>Ms.</w:t>
            </w:r>
          </w:p>
        </w:tc>
        <w:tc>
          <w:tcPr>
            <w:tcW w:w="1348" w:type="dxa"/>
            <w:tcBorders>
              <w:top w:val="nil"/>
              <w:left w:val="nil"/>
              <w:bottom w:val="single" w:sz="8" w:space="0" w:color="auto"/>
              <w:right w:val="single" w:sz="8" w:space="0" w:color="auto"/>
            </w:tcBorders>
            <w:shd w:val="clear" w:color="auto" w:fill="auto"/>
            <w:vAlign w:val="center"/>
          </w:tcPr>
          <w:p w:rsidR="00411761" w:rsidRPr="00406E74" w:rsidRDefault="00411761" w:rsidP="009A697A">
            <w:pPr>
              <w:spacing w:after="0"/>
              <w:rPr>
                <w:rFonts w:ascii="Calibri" w:hAnsi="Calibri" w:cs="Calibri"/>
                <w:color w:val="808080" w:themeColor="background1" w:themeShade="80"/>
                <w:sz w:val="22"/>
                <w:szCs w:val="22"/>
                <w:lang w:eastAsia="fr-FR"/>
              </w:rPr>
            </w:pPr>
            <w:proofErr w:type="spellStart"/>
            <w:r w:rsidRPr="00406E74">
              <w:rPr>
                <w:rFonts w:ascii="Calibri" w:hAnsi="Calibri" w:cs="Calibri"/>
                <w:color w:val="808080" w:themeColor="background1" w:themeShade="80"/>
                <w:sz w:val="22"/>
                <w:szCs w:val="22"/>
                <w:lang w:eastAsia="fr-FR"/>
              </w:rPr>
              <w:t>Véronique</w:t>
            </w:r>
            <w:proofErr w:type="spellEnd"/>
          </w:p>
        </w:tc>
        <w:tc>
          <w:tcPr>
            <w:tcW w:w="1471" w:type="dxa"/>
            <w:tcBorders>
              <w:top w:val="nil"/>
              <w:left w:val="nil"/>
              <w:bottom w:val="single" w:sz="8" w:space="0" w:color="auto"/>
              <w:right w:val="single" w:sz="8" w:space="0" w:color="auto"/>
            </w:tcBorders>
            <w:shd w:val="clear" w:color="auto" w:fill="auto"/>
            <w:vAlign w:val="center"/>
          </w:tcPr>
          <w:p w:rsidR="00411761" w:rsidRPr="00406E74" w:rsidRDefault="00411761" w:rsidP="009A697A">
            <w:pPr>
              <w:spacing w:after="0"/>
              <w:rPr>
                <w:rFonts w:ascii="Calibri" w:hAnsi="Calibri" w:cs="Calibri"/>
                <w:color w:val="808080" w:themeColor="background1" w:themeShade="80"/>
                <w:sz w:val="22"/>
                <w:szCs w:val="22"/>
                <w:lang w:eastAsia="fr-FR"/>
              </w:rPr>
            </w:pPr>
            <w:proofErr w:type="spellStart"/>
            <w:r w:rsidRPr="00406E74">
              <w:rPr>
                <w:rFonts w:ascii="Calibri" w:hAnsi="Calibri" w:cs="Calibri"/>
                <w:color w:val="808080" w:themeColor="background1" w:themeShade="80"/>
                <w:sz w:val="22"/>
                <w:szCs w:val="22"/>
                <w:lang w:eastAsia="fr-FR"/>
              </w:rPr>
              <w:t>Peeters</w:t>
            </w:r>
            <w:proofErr w:type="spellEnd"/>
          </w:p>
        </w:tc>
        <w:tc>
          <w:tcPr>
            <w:tcW w:w="2033" w:type="dxa"/>
            <w:tcBorders>
              <w:top w:val="nil"/>
              <w:left w:val="nil"/>
              <w:bottom w:val="single" w:sz="8" w:space="0" w:color="auto"/>
              <w:right w:val="single" w:sz="8" w:space="0" w:color="auto"/>
            </w:tcBorders>
            <w:shd w:val="clear" w:color="auto" w:fill="auto"/>
            <w:vAlign w:val="center"/>
          </w:tcPr>
          <w:p w:rsidR="00411761" w:rsidRPr="00406E74" w:rsidRDefault="00411761" w:rsidP="009A697A">
            <w:pPr>
              <w:spacing w:after="0"/>
              <w:rPr>
                <w:rFonts w:ascii="Calibri" w:hAnsi="Calibri" w:cs="Calibri"/>
                <w:color w:val="808080" w:themeColor="background1" w:themeShade="80"/>
                <w:sz w:val="22"/>
                <w:szCs w:val="22"/>
                <w:lang w:eastAsia="fr-FR"/>
              </w:rPr>
            </w:pPr>
            <w:r w:rsidRPr="00406E74">
              <w:rPr>
                <w:rFonts w:ascii="Calibri" w:hAnsi="Calibri" w:cs="Calibri"/>
                <w:color w:val="808080" w:themeColor="background1" w:themeShade="80"/>
                <w:sz w:val="22"/>
                <w:szCs w:val="22"/>
                <w:lang w:eastAsia="fr-FR"/>
              </w:rPr>
              <w:t>BNY Mellon</w:t>
            </w:r>
          </w:p>
        </w:tc>
        <w:tc>
          <w:tcPr>
            <w:tcW w:w="1352" w:type="dxa"/>
            <w:tcBorders>
              <w:top w:val="nil"/>
              <w:left w:val="nil"/>
              <w:bottom w:val="single" w:sz="8" w:space="0" w:color="auto"/>
              <w:right w:val="single" w:sz="8" w:space="0" w:color="auto"/>
            </w:tcBorders>
            <w:shd w:val="clear" w:color="auto" w:fill="auto"/>
            <w:vAlign w:val="center"/>
          </w:tcPr>
          <w:p w:rsidR="00411761" w:rsidRPr="00406E74" w:rsidRDefault="00411761" w:rsidP="00411761">
            <w:pPr>
              <w:spacing w:after="0"/>
              <w:jc w:val="center"/>
              <w:rPr>
                <w:rFonts w:ascii="Wingdings 3" w:hAnsi="Wingdings 3" w:cs="Calibri"/>
                <w:color w:val="808080" w:themeColor="background1" w:themeShade="80"/>
                <w:sz w:val="22"/>
                <w:szCs w:val="22"/>
                <w:lang w:val="en-GB" w:eastAsia="fr-FR"/>
              </w:rPr>
            </w:pPr>
            <w:r w:rsidRPr="00406E74">
              <w:rPr>
                <w:rFonts w:ascii="Calibri" w:hAnsi="Calibri" w:cs="Calibri"/>
                <w:color w:val="808080" w:themeColor="background1" w:themeShade="80"/>
                <w:sz w:val="22"/>
                <w:szCs w:val="22"/>
                <w:lang w:val="en-GB" w:eastAsia="fr-FR"/>
              </w:rPr>
              <w:t>Excused</w:t>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b/>
                <w:color w:val="000000"/>
                <w:sz w:val="22"/>
                <w:szCs w:val="22"/>
                <w:lang w:eastAsia="fr-FR"/>
              </w:rPr>
            </w:pPr>
            <w:r w:rsidRPr="00344965">
              <w:rPr>
                <w:rFonts w:ascii="Calibri" w:hAnsi="Calibri" w:cs="Calibri"/>
                <w:b/>
                <w:color w:val="000000"/>
                <w:sz w:val="22"/>
                <w:szCs w:val="22"/>
                <w:lang w:val="en-GB" w:eastAsia="fr-FR"/>
              </w:rPr>
              <w:t>Facilitator</w:t>
            </w:r>
          </w:p>
        </w:tc>
        <w:tc>
          <w:tcPr>
            <w:tcW w:w="919" w:type="dxa"/>
            <w:tcBorders>
              <w:top w:val="nil"/>
              <w:left w:val="single" w:sz="8" w:space="0" w:color="auto"/>
              <w:bottom w:val="single" w:sz="8" w:space="0" w:color="auto"/>
              <w:right w:val="single" w:sz="8" w:space="0" w:color="auto"/>
            </w:tcBorders>
            <w:shd w:val="clear" w:color="auto" w:fill="FFFF00"/>
            <w:vAlign w:val="center"/>
          </w:tcPr>
          <w:p w:rsidR="00E60462" w:rsidRPr="00344965" w:rsidRDefault="00E60462" w:rsidP="009A697A">
            <w:pPr>
              <w:spacing w:after="0"/>
              <w:jc w:val="center"/>
              <w:rPr>
                <w:rFonts w:ascii="Calibri" w:hAnsi="Calibri" w:cs="Calibri"/>
                <w:color w:val="000000"/>
                <w:sz w:val="22"/>
                <w:szCs w:val="22"/>
                <w:lang w:eastAsia="fr-FR"/>
              </w:rPr>
            </w:pPr>
            <w:r w:rsidRPr="00344965">
              <w:rPr>
                <w:rFonts w:ascii="Calibri" w:hAnsi="Calibri" w:cs="Calibri"/>
                <w:color w:val="000000"/>
                <w:sz w:val="22"/>
                <w:szCs w:val="22"/>
                <w:lang w:eastAsia="fr-FR"/>
              </w:rPr>
              <w:t>N/A</w:t>
            </w:r>
          </w:p>
        </w:tc>
        <w:tc>
          <w:tcPr>
            <w:tcW w:w="559" w:type="dxa"/>
            <w:tcBorders>
              <w:top w:val="nil"/>
              <w:left w:val="nil"/>
              <w:bottom w:val="single" w:sz="8" w:space="0" w:color="auto"/>
              <w:right w:val="single" w:sz="8" w:space="0" w:color="auto"/>
            </w:tcBorders>
            <w:shd w:val="clear" w:color="auto" w:fill="FFFF00"/>
            <w:vAlign w:val="center"/>
          </w:tcPr>
          <w:p w:rsidR="00E60462" w:rsidRPr="00344965" w:rsidRDefault="00E60462" w:rsidP="009A697A">
            <w:pPr>
              <w:spacing w:after="0"/>
              <w:jc w:val="center"/>
              <w:rPr>
                <w:rFonts w:ascii="Calibri" w:hAnsi="Calibri" w:cs="Calibri"/>
                <w:color w:val="000000"/>
                <w:sz w:val="22"/>
                <w:szCs w:val="22"/>
                <w:lang w:eastAsia="fr-FR"/>
              </w:rPr>
            </w:pPr>
            <w:r w:rsidRPr="00344965">
              <w:rPr>
                <w:rFonts w:ascii="Calibri" w:hAnsi="Calibri" w:cs="Calibri"/>
                <w:color w:val="000000"/>
                <w:sz w:val="22"/>
                <w:szCs w:val="22"/>
                <w:lang w:eastAsia="fr-FR"/>
              </w:rPr>
              <w:t>Mr.</w:t>
            </w:r>
          </w:p>
        </w:tc>
        <w:tc>
          <w:tcPr>
            <w:tcW w:w="1348" w:type="dxa"/>
            <w:tcBorders>
              <w:top w:val="nil"/>
              <w:left w:val="nil"/>
              <w:bottom w:val="single" w:sz="8" w:space="0" w:color="auto"/>
              <w:right w:val="single" w:sz="8" w:space="0" w:color="auto"/>
            </w:tcBorders>
            <w:shd w:val="clear" w:color="auto" w:fill="FFFF00"/>
            <w:vAlign w:val="center"/>
          </w:tcPr>
          <w:p w:rsidR="00E60462" w:rsidRPr="00344965" w:rsidRDefault="00E60462" w:rsidP="009A697A">
            <w:pPr>
              <w:spacing w:after="0"/>
              <w:rPr>
                <w:rFonts w:ascii="Calibri" w:hAnsi="Calibri" w:cs="Calibri"/>
                <w:color w:val="000000"/>
                <w:sz w:val="22"/>
                <w:szCs w:val="22"/>
                <w:lang w:eastAsia="fr-FR"/>
              </w:rPr>
            </w:pPr>
            <w:r w:rsidRPr="00344965">
              <w:rPr>
                <w:rFonts w:ascii="Calibri" w:hAnsi="Calibri" w:cs="Calibri"/>
                <w:color w:val="000000"/>
                <w:sz w:val="22"/>
                <w:szCs w:val="22"/>
                <w:lang w:eastAsia="fr-FR"/>
              </w:rPr>
              <w:t>Jacques</w:t>
            </w:r>
          </w:p>
        </w:tc>
        <w:tc>
          <w:tcPr>
            <w:tcW w:w="1471" w:type="dxa"/>
            <w:tcBorders>
              <w:top w:val="nil"/>
              <w:left w:val="nil"/>
              <w:bottom w:val="single" w:sz="8" w:space="0" w:color="auto"/>
              <w:right w:val="single" w:sz="8" w:space="0" w:color="auto"/>
            </w:tcBorders>
            <w:shd w:val="clear" w:color="auto" w:fill="FFFF00"/>
            <w:vAlign w:val="center"/>
          </w:tcPr>
          <w:p w:rsidR="00E60462" w:rsidRPr="00344965" w:rsidRDefault="00E60462" w:rsidP="009A697A">
            <w:pPr>
              <w:spacing w:after="0"/>
              <w:rPr>
                <w:rFonts w:ascii="Calibri" w:hAnsi="Calibri" w:cs="Calibri"/>
                <w:color w:val="000000"/>
                <w:sz w:val="22"/>
                <w:szCs w:val="22"/>
                <w:lang w:eastAsia="fr-FR"/>
              </w:rPr>
            </w:pPr>
            <w:proofErr w:type="spellStart"/>
            <w:r w:rsidRPr="00344965">
              <w:rPr>
                <w:rFonts w:ascii="Calibri" w:hAnsi="Calibri" w:cs="Calibri"/>
                <w:color w:val="000000"/>
                <w:sz w:val="22"/>
                <w:szCs w:val="22"/>
                <w:lang w:eastAsia="fr-FR"/>
              </w:rPr>
              <w:t>Littré</w:t>
            </w:r>
            <w:proofErr w:type="spellEnd"/>
          </w:p>
        </w:tc>
        <w:tc>
          <w:tcPr>
            <w:tcW w:w="2033" w:type="dxa"/>
            <w:tcBorders>
              <w:top w:val="nil"/>
              <w:left w:val="nil"/>
              <w:bottom w:val="single" w:sz="8" w:space="0" w:color="auto"/>
              <w:right w:val="single" w:sz="8" w:space="0" w:color="auto"/>
            </w:tcBorders>
            <w:shd w:val="clear" w:color="auto" w:fill="FFFF00"/>
            <w:vAlign w:val="center"/>
          </w:tcPr>
          <w:p w:rsidR="00E60462" w:rsidRPr="00344965" w:rsidRDefault="00E60462" w:rsidP="009A697A">
            <w:pPr>
              <w:spacing w:after="0"/>
              <w:rPr>
                <w:rFonts w:ascii="Calibri" w:hAnsi="Calibri" w:cs="Calibri"/>
                <w:color w:val="000000"/>
                <w:sz w:val="22"/>
                <w:szCs w:val="22"/>
                <w:lang w:eastAsia="fr-FR"/>
              </w:rPr>
            </w:pPr>
            <w:r w:rsidRPr="00344965">
              <w:rPr>
                <w:rFonts w:ascii="Calibri" w:hAnsi="Calibri" w:cs="Calibri"/>
                <w:color w:val="000000"/>
                <w:sz w:val="22"/>
                <w:szCs w:val="22"/>
                <w:lang w:eastAsia="fr-FR"/>
              </w:rPr>
              <w:t>SWIFT</w:t>
            </w:r>
          </w:p>
        </w:tc>
        <w:tc>
          <w:tcPr>
            <w:tcW w:w="1352" w:type="dxa"/>
            <w:tcBorders>
              <w:top w:val="nil"/>
              <w:left w:val="nil"/>
              <w:bottom w:val="single" w:sz="8" w:space="0" w:color="auto"/>
              <w:right w:val="single" w:sz="8" w:space="0" w:color="auto"/>
            </w:tcBorders>
            <w:shd w:val="clear" w:color="auto" w:fill="FFFF00"/>
            <w:vAlign w:val="center"/>
          </w:tcPr>
          <w:p w:rsidR="00E60462" w:rsidRPr="00344965" w:rsidRDefault="00344965" w:rsidP="009A697A">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eastAsia="fr-FR"/>
              </w:rPr>
            </w:pPr>
            <w:r w:rsidRPr="00344965">
              <w:rPr>
                <w:rFonts w:ascii="Calibri" w:hAnsi="Calibri" w:cs="Calibri"/>
                <w:color w:val="000000"/>
                <w:sz w:val="22"/>
                <w:szCs w:val="22"/>
                <w:lang w:eastAsia="fr-FR"/>
              </w:rPr>
              <w:t>CH</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eastAsia="fr-FR"/>
              </w:rPr>
            </w:pPr>
            <w:r w:rsidRPr="00344965">
              <w:rPr>
                <w:rFonts w:ascii="Calibri" w:hAnsi="Calibri" w:cs="Calibri"/>
                <w:color w:val="000000"/>
                <w:sz w:val="22"/>
                <w:szCs w:val="22"/>
                <w:lang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eastAsia="fr-FR"/>
              </w:rPr>
            </w:pPr>
            <w:proofErr w:type="spellStart"/>
            <w:r w:rsidRPr="00344965">
              <w:rPr>
                <w:rFonts w:ascii="Calibri" w:hAnsi="Calibri" w:cs="Calibri"/>
                <w:color w:val="000000"/>
                <w:sz w:val="22"/>
                <w:szCs w:val="22"/>
                <w:lang w:eastAsia="fr-FR"/>
              </w:rPr>
              <w:t>Reto</w:t>
            </w:r>
            <w:proofErr w:type="spellEnd"/>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eastAsia="fr-FR"/>
              </w:rPr>
              <w:t>Baumga</w:t>
            </w:r>
            <w:r w:rsidRPr="00344965">
              <w:rPr>
                <w:rFonts w:ascii="Calibri" w:hAnsi="Calibri" w:cs="Calibri"/>
                <w:color w:val="000000"/>
                <w:sz w:val="22"/>
                <w:szCs w:val="22"/>
                <w:lang w:val="fr-FR" w:eastAsia="fr-FR"/>
              </w:rPr>
              <w:t>rtner</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en-GB" w:eastAsia="fr-FR"/>
              </w:rPr>
              <w:t>Credit</w:t>
            </w:r>
            <w:r w:rsidRPr="00344965">
              <w:rPr>
                <w:rFonts w:ascii="Calibri" w:hAnsi="Calibri" w:cs="Calibri"/>
                <w:color w:val="000000"/>
                <w:sz w:val="22"/>
                <w:szCs w:val="22"/>
                <w:lang w:val="fr-FR" w:eastAsia="fr-FR"/>
              </w:rPr>
              <w:t xml:space="preserve"> Suisse</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DE</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Mr</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Daniel</w:t>
            </w:r>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Schaefer</w:t>
            </w:r>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HSBC</w:t>
            </w:r>
          </w:p>
        </w:tc>
        <w:tc>
          <w:tcPr>
            <w:tcW w:w="1352" w:type="dxa"/>
            <w:tcBorders>
              <w:top w:val="nil"/>
              <w:left w:val="nil"/>
              <w:bottom w:val="single" w:sz="8" w:space="0" w:color="auto"/>
              <w:right w:val="single" w:sz="8" w:space="0" w:color="auto"/>
            </w:tcBorders>
            <w:vAlign w:val="center"/>
          </w:tcPr>
          <w:p w:rsidR="00E60462" w:rsidRPr="00406E74" w:rsidRDefault="00344965"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FR</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 xml:space="preserve">Mrs. </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fr-FR" w:eastAsia="fr-FR"/>
              </w:rPr>
              <w:t>Kimchi</w:t>
            </w:r>
            <w:proofErr w:type="spellEnd"/>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fr-FR" w:eastAsia="fr-FR"/>
              </w:rPr>
              <w:t>Phungtran</w:t>
            </w:r>
            <w:proofErr w:type="spellEnd"/>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BNP Paribas</w:t>
            </w:r>
          </w:p>
        </w:tc>
        <w:tc>
          <w:tcPr>
            <w:tcW w:w="1352"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r w:rsidRPr="00344965">
              <w:rPr>
                <w:rFonts w:ascii="Calibri" w:hAnsi="Calibri" w:cs="Calibri"/>
                <w:b/>
                <w:color w:val="000000"/>
                <w:sz w:val="22"/>
                <w:szCs w:val="22"/>
                <w:lang w:val="fr-FR" w:eastAsia="fr-FR"/>
              </w:rPr>
              <w:t>Co-chair</w:t>
            </w: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FR</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Jean-Pierre</w:t>
            </w:r>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Klak</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State Street</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IT</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Mrs</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Paola</w:t>
            </w:r>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fr-FR" w:eastAsia="fr-FR"/>
              </w:rPr>
              <w:t>Deantoni</w:t>
            </w:r>
            <w:proofErr w:type="spellEnd"/>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en-GB" w:eastAsia="fr-FR"/>
              </w:rPr>
              <w:t>Societe</w:t>
            </w:r>
            <w:proofErr w:type="spellEnd"/>
            <w:r w:rsidRPr="00406E74">
              <w:rPr>
                <w:rFonts w:ascii="Calibri" w:hAnsi="Calibri" w:cs="Calibri"/>
                <w:color w:val="808080" w:themeColor="background1" w:themeShade="80"/>
                <w:sz w:val="22"/>
                <w:szCs w:val="22"/>
                <w:lang w:val="fr-FR" w:eastAsia="fr-FR"/>
              </w:rPr>
              <w:t xml:space="preserve"> </w:t>
            </w:r>
            <w:proofErr w:type="spellStart"/>
            <w:r w:rsidRPr="00406E74">
              <w:rPr>
                <w:rFonts w:ascii="Calibri" w:hAnsi="Calibri" w:cs="Calibri"/>
                <w:color w:val="808080" w:themeColor="background1" w:themeShade="80"/>
                <w:sz w:val="22"/>
                <w:szCs w:val="22"/>
                <w:lang w:val="en-GB" w:eastAsia="fr-FR"/>
              </w:rPr>
              <w:t>Generale</w:t>
            </w:r>
            <w:proofErr w:type="spellEnd"/>
          </w:p>
        </w:tc>
        <w:tc>
          <w:tcPr>
            <w:tcW w:w="1352"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LU</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Bernard</w:t>
            </w:r>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Lenelle</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Clearstream</w:t>
            </w:r>
            <w:proofErr w:type="spellEnd"/>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LU</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Mr</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Charles</w:t>
            </w:r>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Boniver</w:t>
            </w:r>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RBC IS</w:t>
            </w:r>
          </w:p>
        </w:tc>
        <w:tc>
          <w:tcPr>
            <w:tcW w:w="1352" w:type="dxa"/>
            <w:tcBorders>
              <w:top w:val="nil"/>
              <w:left w:val="nil"/>
              <w:bottom w:val="single" w:sz="8" w:space="0" w:color="auto"/>
              <w:right w:val="single" w:sz="8" w:space="0" w:color="auto"/>
            </w:tcBorders>
            <w:vAlign w:val="center"/>
          </w:tcPr>
          <w:p w:rsidR="00E60462" w:rsidRPr="00406E74" w:rsidRDefault="00344965"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r w:rsidRPr="00344965">
              <w:rPr>
                <w:rFonts w:ascii="Calibri" w:hAnsi="Calibri" w:cs="Calibri"/>
                <w:b/>
                <w:color w:val="000000"/>
                <w:sz w:val="22"/>
                <w:szCs w:val="22"/>
                <w:lang w:val="fr-FR" w:eastAsia="fr-FR"/>
              </w:rPr>
              <w:t>Co-chair</w:t>
            </w: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SG</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Jyi</w:t>
            </w:r>
            <w:proofErr w:type="spellEnd"/>
            <w:r w:rsidRPr="00344965">
              <w:rPr>
                <w:rFonts w:ascii="Calibri" w:hAnsi="Calibri" w:cs="Calibri"/>
                <w:color w:val="000000"/>
                <w:sz w:val="22"/>
                <w:szCs w:val="22"/>
                <w:lang w:val="fr-FR" w:eastAsia="fr-FR"/>
              </w:rPr>
              <w:t>-Chen</w:t>
            </w:r>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Chueh</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 xml:space="preserve">Standard </w:t>
            </w:r>
            <w:proofErr w:type="spellStart"/>
            <w:r w:rsidRPr="00344965">
              <w:rPr>
                <w:rFonts w:ascii="Calibri" w:hAnsi="Calibri" w:cs="Calibri"/>
                <w:color w:val="000000"/>
                <w:sz w:val="22"/>
                <w:szCs w:val="22"/>
                <w:lang w:val="fr-FR" w:eastAsia="fr-FR"/>
              </w:rPr>
              <w:t>Chartered</w:t>
            </w:r>
            <w:proofErr w:type="spellEnd"/>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UK &amp; IE</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Mrs.</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Mariangela</w:t>
            </w:r>
            <w:proofErr w:type="spellEnd"/>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Fumagalli</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BNP Paribas</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US</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Mrs.</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Sonda</w:t>
            </w:r>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Pimental</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BBH</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XS</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Mrs</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Delphine</w:t>
            </w:r>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fr-FR" w:eastAsia="fr-FR"/>
              </w:rPr>
              <w:t>Haillez</w:t>
            </w:r>
            <w:proofErr w:type="spellEnd"/>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proofErr w:type="spellStart"/>
            <w:r w:rsidRPr="00406E74">
              <w:rPr>
                <w:rFonts w:ascii="Calibri" w:hAnsi="Calibri" w:cs="Calibri"/>
                <w:color w:val="808080" w:themeColor="background1" w:themeShade="80"/>
                <w:sz w:val="22"/>
                <w:szCs w:val="22"/>
                <w:lang w:val="fr-FR" w:eastAsia="fr-FR"/>
              </w:rPr>
              <w:t>Euroclear</w:t>
            </w:r>
            <w:proofErr w:type="spellEnd"/>
          </w:p>
        </w:tc>
        <w:tc>
          <w:tcPr>
            <w:tcW w:w="1352" w:type="dxa"/>
            <w:tcBorders>
              <w:top w:val="nil"/>
              <w:left w:val="nil"/>
              <w:bottom w:val="single" w:sz="8" w:space="0" w:color="auto"/>
              <w:right w:val="single" w:sz="8" w:space="0" w:color="auto"/>
            </w:tcBorders>
            <w:vAlign w:val="center"/>
          </w:tcPr>
          <w:p w:rsidR="00E60462" w:rsidRPr="00406E74" w:rsidRDefault="00344965"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ZA</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Sanjeev</w:t>
            </w:r>
            <w:proofErr w:type="spellEnd"/>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Jayram</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First National Bank</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r w:rsidR="00E60462" w:rsidRPr="00344965" w:rsidTr="00344965">
        <w:trPr>
          <w:trHeight w:val="315"/>
        </w:trPr>
        <w:tc>
          <w:tcPr>
            <w:tcW w:w="1038" w:type="dxa"/>
            <w:tcBorders>
              <w:top w:val="nil"/>
              <w:left w:val="nil"/>
              <w:bottom w:val="nil"/>
              <w:right w:val="nil"/>
            </w:tcBorders>
            <w:shd w:val="clear" w:color="auto" w:fill="auto"/>
            <w:noWrap/>
            <w:vAlign w:val="bottom"/>
          </w:tcPr>
          <w:p w:rsidR="00E60462" w:rsidRPr="00344965" w:rsidRDefault="00E60462" w:rsidP="009A697A">
            <w:pPr>
              <w:spacing w:after="0"/>
              <w:rPr>
                <w:rFonts w:ascii="Calibri" w:hAnsi="Calibri" w:cs="Calibri"/>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ZA</w:t>
            </w:r>
          </w:p>
        </w:tc>
        <w:tc>
          <w:tcPr>
            <w:tcW w:w="559"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Mr</w:t>
            </w:r>
          </w:p>
        </w:tc>
        <w:tc>
          <w:tcPr>
            <w:tcW w:w="1348"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Dale</w:t>
            </w:r>
          </w:p>
        </w:tc>
        <w:tc>
          <w:tcPr>
            <w:tcW w:w="1471"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 xml:space="preserve">Van </w:t>
            </w:r>
            <w:proofErr w:type="spellStart"/>
            <w:r w:rsidRPr="00406E74">
              <w:rPr>
                <w:rFonts w:ascii="Calibri" w:hAnsi="Calibri" w:cs="Calibri"/>
                <w:color w:val="808080" w:themeColor="background1" w:themeShade="80"/>
                <w:sz w:val="22"/>
                <w:szCs w:val="22"/>
                <w:lang w:val="fr-FR" w:eastAsia="fr-FR"/>
              </w:rPr>
              <w:t>Rayne</w:t>
            </w:r>
            <w:proofErr w:type="spellEnd"/>
          </w:p>
        </w:tc>
        <w:tc>
          <w:tcPr>
            <w:tcW w:w="2033" w:type="dxa"/>
            <w:tcBorders>
              <w:top w:val="nil"/>
              <w:left w:val="nil"/>
              <w:bottom w:val="single" w:sz="8" w:space="0" w:color="auto"/>
              <w:right w:val="single" w:sz="8" w:space="0" w:color="auto"/>
            </w:tcBorders>
            <w:vAlign w:val="center"/>
          </w:tcPr>
          <w:p w:rsidR="00E60462" w:rsidRPr="00406E74" w:rsidRDefault="00E60462" w:rsidP="009A697A">
            <w:pPr>
              <w:spacing w:after="0"/>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fr-FR" w:eastAsia="fr-FR"/>
              </w:rPr>
              <w:t>First National Bank</w:t>
            </w:r>
          </w:p>
        </w:tc>
        <w:tc>
          <w:tcPr>
            <w:tcW w:w="1352" w:type="dxa"/>
            <w:tcBorders>
              <w:top w:val="nil"/>
              <w:left w:val="nil"/>
              <w:bottom w:val="single" w:sz="8" w:space="0" w:color="auto"/>
              <w:right w:val="single" w:sz="8" w:space="0" w:color="auto"/>
            </w:tcBorders>
            <w:vAlign w:val="center"/>
          </w:tcPr>
          <w:p w:rsidR="00E60462" w:rsidRPr="00406E74" w:rsidRDefault="00E60462" w:rsidP="009A697A">
            <w:pPr>
              <w:spacing w:after="0"/>
              <w:jc w:val="center"/>
              <w:rPr>
                <w:rFonts w:ascii="Calibri" w:hAnsi="Calibri" w:cs="Calibri"/>
                <w:color w:val="808080" w:themeColor="background1" w:themeShade="80"/>
                <w:sz w:val="22"/>
                <w:szCs w:val="22"/>
                <w:lang w:val="fr-FR" w:eastAsia="fr-FR"/>
              </w:rPr>
            </w:pPr>
            <w:r w:rsidRPr="00406E74">
              <w:rPr>
                <w:rFonts w:ascii="Calibri" w:hAnsi="Calibri" w:cs="Calibri"/>
                <w:color w:val="808080" w:themeColor="background1" w:themeShade="80"/>
                <w:sz w:val="22"/>
                <w:szCs w:val="22"/>
                <w:lang w:val="en-GB" w:eastAsia="fr-FR"/>
              </w:rPr>
              <w:t>Excused</w:t>
            </w:r>
          </w:p>
        </w:tc>
      </w:tr>
      <w:tr w:rsidR="00344965" w:rsidRPr="00344965" w:rsidTr="00344965">
        <w:trPr>
          <w:trHeight w:val="315"/>
        </w:trPr>
        <w:tc>
          <w:tcPr>
            <w:tcW w:w="1038" w:type="dxa"/>
            <w:tcBorders>
              <w:top w:val="nil"/>
              <w:left w:val="nil"/>
              <w:bottom w:val="nil"/>
              <w:right w:val="nil"/>
            </w:tcBorders>
            <w:shd w:val="clear" w:color="auto" w:fill="auto"/>
            <w:noWrap/>
            <w:vAlign w:val="bottom"/>
          </w:tcPr>
          <w:p w:rsidR="00344965" w:rsidRPr="00344965" w:rsidRDefault="00344965" w:rsidP="009A697A">
            <w:pPr>
              <w:spacing w:after="0"/>
              <w:rPr>
                <w:rFonts w:ascii="Calibri" w:hAnsi="Calibri" w:cs="Calibri"/>
                <w:b/>
                <w:color w:val="000000"/>
                <w:sz w:val="22"/>
                <w:szCs w:val="22"/>
                <w:lang w:val="fr-FR" w:eastAsia="fr-FR"/>
              </w:rPr>
            </w:pPr>
          </w:p>
        </w:tc>
        <w:tc>
          <w:tcPr>
            <w:tcW w:w="919" w:type="dxa"/>
            <w:tcBorders>
              <w:top w:val="nil"/>
              <w:left w:val="single" w:sz="8" w:space="0" w:color="auto"/>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ZA</w:t>
            </w:r>
          </w:p>
        </w:tc>
        <w:tc>
          <w:tcPr>
            <w:tcW w:w="559"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jc w:val="center"/>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Mr</w:t>
            </w:r>
          </w:p>
        </w:tc>
        <w:tc>
          <w:tcPr>
            <w:tcW w:w="1348"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Yusuf</w:t>
            </w:r>
            <w:proofErr w:type="spellEnd"/>
          </w:p>
        </w:tc>
        <w:tc>
          <w:tcPr>
            <w:tcW w:w="1471"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proofErr w:type="spellStart"/>
            <w:r w:rsidRPr="00344965">
              <w:rPr>
                <w:rFonts w:ascii="Calibri" w:hAnsi="Calibri" w:cs="Calibri"/>
                <w:color w:val="000000"/>
                <w:sz w:val="22"/>
                <w:szCs w:val="22"/>
                <w:lang w:val="fr-FR" w:eastAsia="fr-FR"/>
              </w:rPr>
              <w:t>Basha</w:t>
            </w:r>
            <w:proofErr w:type="spellEnd"/>
          </w:p>
        </w:tc>
        <w:tc>
          <w:tcPr>
            <w:tcW w:w="2033" w:type="dxa"/>
            <w:tcBorders>
              <w:top w:val="nil"/>
              <w:left w:val="nil"/>
              <w:bottom w:val="single" w:sz="8" w:space="0" w:color="auto"/>
              <w:right w:val="single" w:sz="8" w:space="0" w:color="auto"/>
            </w:tcBorders>
            <w:shd w:val="clear" w:color="auto" w:fill="FFFF00"/>
            <w:vAlign w:val="center"/>
          </w:tcPr>
          <w:p w:rsidR="00344965" w:rsidRPr="00344965" w:rsidRDefault="00344965" w:rsidP="009A697A">
            <w:pPr>
              <w:spacing w:after="0"/>
              <w:rPr>
                <w:rFonts w:ascii="Calibri" w:hAnsi="Calibri" w:cs="Calibri"/>
                <w:color w:val="000000"/>
                <w:sz w:val="22"/>
                <w:szCs w:val="22"/>
                <w:lang w:val="fr-FR" w:eastAsia="fr-FR"/>
              </w:rPr>
            </w:pPr>
            <w:r w:rsidRPr="00344965">
              <w:rPr>
                <w:rFonts w:ascii="Calibri" w:hAnsi="Calibri" w:cs="Calibri"/>
                <w:color w:val="000000"/>
                <w:sz w:val="22"/>
                <w:szCs w:val="22"/>
                <w:lang w:val="fr-FR" w:eastAsia="fr-FR"/>
              </w:rPr>
              <w:t>First National Bank</w:t>
            </w:r>
          </w:p>
        </w:tc>
        <w:tc>
          <w:tcPr>
            <w:tcW w:w="1352" w:type="dxa"/>
            <w:tcBorders>
              <w:top w:val="nil"/>
              <w:left w:val="nil"/>
              <w:bottom w:val="single" w:sz="8" w:space="0" w:color="auto"/>
              <w:right w:val="single" w:sz="8" w:space="0" w:color="auto"/>
            </w:tcBorders>
            <w:shd w:val="clear" w:color="auto" w:fill="FFFF00"/>
            <w:vAlign w:val="center"/>
          </w:tcPr>
          <w:p w:rsidR="00344965" w:rsidRPr="00344965" w:rsidRDefault="00344965" w:rsidP="00DF4A4E">
            <w:pPr>
              <w:spacing w:after="0"/>
              <w:jc w:val="center"/>
              <w:rPr>
                <w:rFonts w:ascii="Wingdings 3" w:hAnsi="Wingdings 3" w:cs="Calibri"/>
                <w:color w:val="000000"/>
                <w:sz w:val="22"/>
                <w:szCs w:val="22"/>
                <w:lang w:eastAsia="fr-FR"/>
              </w:rPr>
            </w:pPr>
            <w:r w:rsidRPr="00344965">
              <w:rPr>
                <w:rFonts w:ascii="Wingdings 3" w:hAnsi="Wingdings 3" w:cs="Calibri"/>
                <w:color w:val="000000"/>
                <w:sz w:val="22"/>
                <w:szCs w:val="22"/>
                <w:lang w:val="en-GB" w:eastAsia="fr-FR"/>
              </w:rPr>
              <w:sym w:font="Wingdings 2" w:char="F050"/>
            </w:r>
          </w:p>
        </w:tc>
      </w:tr>
    </w:tbl>
    <w:p w:rsidR="00E60462" w:rsidRDefault="00E60462" w:rsidP="003D56C9">
      <w:pPr>
        <w:rPr>
          <w:b/>
          <w:u w:val="single"/>
        </w:rPr>
      </w:pPr>
    </w:p>
    <w:p w:rsidR="00E60462" w:rsidRPr="00110DA4" w:rsidRDefault="00E60462" w:rsidP="00110DA4">
      <w:pPr>
        <w:pStyle w:val="Heading1"/>
      </w:pPr>
      <w:bookmarkStart w:id="3" w:name="_Toc358045185"/>
      <w:bookmarkStart w:id="4" w:name="OLE_LINK5"/>
      <w:bookmarkStart w:id="5" w:name="OLE_LINK8"/>
      <w:r w:rsidRPr="00110DA4">
        <w:t>Scope of the Tax Sub-group</w:t>
      </w:r>
      <w:bookmarkEnd w:id="3"/>
    </w:p>
    <w:p w:rsidR="00852F5E" w:rsidRDefault="00E60462" w:rsidP="008067B2">
      <w:r w:rsidRPr="00F80FDA">
        <w:rPr>
          <w:u w:val="single"/>
        </w:rPr>
        <w:t>Tax on Events vs</w:t>
      </w:r>
      <w:r w:rsidR="00F80FDA" w:rsidRPr="00F80FDA">
        <w:rPr>
          <w:u w:val="single"/>
        </w:rPr>
        <w:t>.</w:t>
      </w:r>
      <w:r w:rsidRPr="00F80FDA">
        <w:rPr>
          <w:u w:val="single"/>
        </w:rPr>
        <w:t xml:space="preserve"> Tax on Transactions</w:t>
      </w:r>
      <w:r w:rsidRPr="00F80FDA">
        <w:rPr>
          <w:u w:val="single"/>
        </w:rPr>
        <w:br/>
      </w:r>
      <w:r w:rsidR="00852F5E">
        <w:t>Jean-Pierre has contacted Italy (Paola) regarding the European Financial Transaction Tax (FTT) and Italy confirmed they have the same approach/model as the French market on this topic.</w:t>
      </w:r>
    </w:p>
    <w:p w:rsidR="00E5069D" w:rsidRDefault="00F80FDA" w:rsidP="008067B2">
      <w:r w:rsidRPr="00F80FDA">
        <w:t>As already</w:t>
      </w:r>
      <w:r>
        <w:t xml:space="preserve"> communicated at the last meeting, Jean-Pierre reminds the group that the</w:t>
      </w:r>
      <w:r w:rsidR="00E5069D">
        <w:t xml:space="preserve"> European</w:t>
      </w:r>
      <w:r>
        <w:t xml:space="preserve"> Financial Transaction Tax</w:t>
      </w:r>
      <w:r w:rsidR="00E5069D">
        <w:t xml:space="preserve"> topic </w:t>
      </w:r>
      <w:r>
        <w:t xml:space="preserve">is not in the scope </w:t>
      </w:r>
      <w:r w:rsidR="00E5069D">
        <w:t xml:space="preserve">of work </w:t>
      </w:r>
      <w:r>
        <w:t xml:space="preserve">of the tax-subgroup. </w:t>
      </w:r>
    </w:p>
    <w:p w:rsidR="00E5069D" w:rsidRDefault="000F3614" w:rsidP="008067B2">
      <w:r>
        <w:t>At the last SMPG Frankfurt meeting in April 2013, t</w:t>
      </w:r>
      <w:r w:rsidR="00E5069D">
        <w:t>he creation of a new cross domain</w:t>
      </w:r>
      <w:r>
        <w:t>s</w:t>
      </w:r>
      <w:r w:rsidR="00E5069D">
        <w:t xml:space="preserve"> SMPG </w:t>
      </w:r>
      <w:r>
        <w:t>sub-</w:t>
      </w:r>
      <w:r w:rsidR="00E5069D">
        <w:t xml:space="preserve">group </w:t>
      </w:r>
      <w:r>
        <w:t>for the European FFT related issues has been proposed and will be first discussed at the next SMPG steering committee meeting.</w:t>
      </w:r>
    </w:p>
    <w:p w:rsidR="00B71EB2" w:rsidRDefault="00F80FDA" w:rsidP="008067B2">
      <w:r>
        <w:lastRenderedPageBreak/>
        <w:t xml:space="preserve">The </w:t>
      </w:r>
      <w:r w:rsidR="000F3614">
        <w:t xml:space="preserve">CA tax </w:t>
      </w:r>
      <w:r w:rsidR="00E5069D">
        <w:t xml:space="preserve">sub-group </w:t>
      </w:r>
      <w:r w:rsidR="00B71EB2">
        <w:t>objective</w:t>
      </w:r>
      <w:r w:rsidR="00E5069D">
        <w:t xml:space="preserve"> is rather to focus on</w:t>
      </w:r>
      <w:r w:rsidR="00B71EB2">
        <w:t>:</w:t>
      </w:r>
    </w:p>
    <w:p w:rsidR="00B71EB2" w:rsidRPr="00B71EB2" w:rsidRDefault="00E5069D" w:rsidP="00B71EB2">
      <w:pPr>
        <w:pStyle w:val="Bulletedtext"/>
        <w:rPr>
          <w:b/>
          <w:bCs/>
          <w:color w:val="FF0000"/>
          <w:kern w:val="28"/>
          <w:u w:val="single"/>
        </w:rPr>
      </w:pPr>
      <w:r>
        <w:t>some of the specific phases of the tax processing flow so as to identify potential information gap</w:t>
      </w:r>
      <w:r w:rsidR="00B71EB2">
        <w:t>;</w:t>
      </w:r>
    </w:p>
    <w:p w:rsidR="00B71EB2" w:rsidRPr="00B71EB2" w:rsidRDefault="00E5069D" w:rsidP="00B71EB2">
      <w:pPr>
        <w:pStyle w:val="Bulletedtext"/>
        <w:rPr>
          <w:b/>
          <w:bCs/>
          <w:color w:val="FF0000"/>
          <w:kern w:val="28"/>
          <w:u w:val="single"/>
        </w:rPr>
      </w:pPr>
      <w:r>
        <w:t>the correct usage of the tax elements</w:t>
      </w:r>
      <w:r w:rsidR="00B71EB2">
        <w:t>/rates</w:t>
      </w:r>
      <w:r>
        <w:t xml:space="preserve"> per CA event</w:t>
      </w:r>
      <w:r w:rsidR="00B71EB2">
        <w:t>;</w:t>
      </w:r>
      <w:r>
        <w:t xml:space="preserve"> and</w:t>
      </w:r>
    </w:p>
    <w:p w:rsidR="00F80FDA" w:rsidRPr="00B71EB2" w:rsidRDefault="00E5069D" w:rsidP="00B71EB2">
      <w:pPr>
        <w:pStyle w:val="Bulletedtext"/>
        <w:rPr>
          <w:b/>
          <w:bCs/>
          <w:color w:val="FF0000"/>
          <w:kern w:val="28"/>
          <w:u w:val="single"/>
        </w:rPr>
      </w:pPr>
      <w:proofErr w:type="gramStart"/>
      <w:r>
        <w:t>solving</w:t>
      </w:r>
      <w:proofErr w:type="gramEnd"/>
      <w:r>
        <w:t xml:space="preserve"> tax related CA events issues</w:t>
      </w:r>
      <w:r w:rsidR="000F3614">
        <w:t xml:space="preserve"> raised  by the SMPG CA group.</w:t>
      </w:r>
      <w:r>
        <w:t xml:space="preserve"> </w:t>
      </w:r>
    </w:p>
    <w:p w:rsidR="00110DA4" w:rsidRDefault="00110DA4" w:rsidP="00110DA4">
      <w:pPr>
        <w:pStyle w:val="Heading1"/>
      </w:pPr>
      <w:bookmarkStart w:id="6" w:name="_Toc358045186"/>
      <w:r>
        <w:t>Tax Table</w:t>
      </w:r>
      <w:bookmarkEnd w:id="6"/>
    </w:p>
    <w:p w:rsidR="008067B2" w:rsidRDefault="004E7C83" w:rsidP="00110DA4">
      <w:pPr>
        <w:rPr>
          <w:vertAlign w:val="superscript"/>
        </w:rPr>
      </w:pPr>
      <w:r>
        <w:rPr>
          <w:vertAlign w:val="superscript"/>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10" o:title=""/>
          </v:shape>
          <o:OLEObject Type="Embed" ProgID="Excel.Sheet.12" ShapeID="_x0000_i1032" DrawAspect="Icon" ObjectID="_1432052915" r:id="rId11"/>
        </w:object>
      </w:r>
      <w:bookmarkStart w:id="7" w:name="_GoBack"/>
      <w:bookmarkEnd w:id="7"/>
    </w:p>
    <w:p w:rsidR="008067B2" w:rsidRDefault="008067B2" w:rsidP="00110DA4">
      <w:pPr>
        <w:rPr>
          <w:lang w:eastAsia="en-GB"/>
        </w:rPr>
      </w:pPr>
      <w:r>
        <w:rPr>
          <w:lang w:eastAsia="en-GB"/>
        </w:rPr>
        <w:t>The objective is not at this stage to go into the a detailed analysis of the usage of the tax related message elements but rather to collect first-hand information about which elements are actually used or not.</w:t>
      </w:r>
    </w:p>
    <w:p w:rsidR="00110DA4" w:rsidRDefault="008067B2" w:rsidP="00110DA4">
      <w:pPr>
        <w:rPr>
          <w:lang w:eastAsia="en-GB"/>
        </w:rPr>
      </w:pPr>
      <w:r>
        <w:rPr>
          <w:lang w:eastAsia="en-GB"/>
        </w:rPr>
        <w:t>No country feedback received before the Meeting.</w:t>
      </w:r>
    </w:p>
    <w:p w:rsidR="008067B2" w:rsidRDefault="008067B2" w:rsidP="00110DA4">
      <w:pPr>
        <w:rPr>
          <w:lang w:eastAsia="en-GB"/>
        </w:rPr>
      </w:pPr>
      <w:r>
        <w:rPr>
          <w:lang w:eastAsia="en-GB"/>
        </w:rPr>
        <w:t xml:space="preserve">Asian countries: </w:t>
      </w:r>
      <w:proofErr w:type="spellStart"/>
      <w:r>
        <w:rPr>
          <w:lang w:eastAsia="en-GB"/>
        </w:rPr>
        <w:t>Jyi</w:t>
      </w:r>
      <w:proofErr w:type="spellEnd"/>
      <w:r>
        <w:rPr>
          <w:lang w:eastAsia="en-GB"/>
        </w:rPr>
        <w:t>-Chen mentions that the topic will be discussed at the APAC Regional MPG around begin</w:t>
      </w:r>
      <w:r w:rsidR="00BB09F0">
        <w:rPr>
          <w:lang w:eastAsia="en-GB"/>
        </w:rPr>
        <w:t>n</w:t>
      </w:r>
      <w:r>
        <w:rPr>
          <w:lang w:eastAsia="en-GB"/>
        </w:rPr>
        <w:t xml:space="preserve">ing of June. </w:t>
      </w:r>
    </w:p>
    <w:p w:rsidR="008067B2" w:rsidRDefault="008067B2" w:rsidP="00110DA4">
      <w:pPr>
        <w:rPr>
          <w:lang w:eastAsia="en-GB"/>
        </w:rPr>
      </w:pPr>
      <w:r>
        <w:rPr>
          <w:lang w:eastAsia="en-GB"/>
        </w:rPr>
        <w:t>CH: will provide feedback for the June tax sub-group meeting.</w:t>
      </w:r>
    </w:p>
    <w:p w:rsidR="00DE7148" w:rsidRDefault="00DE7148" w:rsidP="00110DA4">
      <w:pPr>
        <w:rPr>
          <w:lang w:eastAsia="en-GB"/>
        </w:rPr>
      </w:pPr>
      <w:r>
        <w:rPr>
          <w:lang w:eastAsia="en-GB"/>
        </w:rPr>
        <w:t>UK: will revert on when they could provide feedback given that the task to collect that information from users can be huge.</w:t>
      </w:r>
    </w:p>
    <w:p w:rsidR="00DE7148" w:rsidRDefault="00DE7148" w:rsidP="00110DA4">
      <w:pPr>
        <w:rPr>
          <w:lang w:eastAsia="en-GB"/>
        </w:rPr>
      </w:pPr>
      <w:r>
        <w:rPr>
          <w:lang w:eastAsia="en-GB"/>
        </w:rPr>
        <w:t>LU: will provide mainly a cross border view of the tax rates usage.</w:t>
      </w:r>
    </w:p>
    <w:p w:rsidR="00DE7148" w:rsidRDefault="00110DA4" w:rsidP="00110DA4">
      <w:pPr>
        <w:pStyle w:val="Actions"/>
        <w:jc w:val="left"/>
      </w:pPr>
      <w:r w:rsidRPr="00597C9E">
        <w:rPr>
          <w:b/>
          <w:u w:val="single"/>
        </w:rPr>
        <w:t>Action</w:t>
      </w:r>
      <w:r w:rsidR="00DE7148">
        <w:rPr>
          <w:b/>
          <w:u w:val="single"/>
        </w:rPr>
        <w:t>s</w:t>
      </w:r>
      <w:r>
        <w:t xml:space="preserve">: </w:t>
      </w:r>
    </w:p>
    <w:p w:rsidR="00110DA4" w:rsidRDefault="00DE7148" w:rsidP="00DE7148">
      <w:pPr>
        <w:pStyle w:val="Actions"/>
        <w:numPr>
          <w:ilvl w:val="0"/>
          <w:numId w:val="39"/>
        </w:numPr>
        <w:jc w:val="left"/>
      </w:pPr>
      <w:r>
        <w:t>For next call June 20, a</w:t>
      </w:r>
      <w:r w:rsidR="00110DA4">
        <w:t xml:space="preserve">ll countries to provide their feedback for each code with a status ‘Used’ / ‘Not used’ locally. Each participant is required to give only a national view and not a global custodian point of view (involved in several countries). </w:t>
      </w:r>
    </w:p>
    <w:p w:rsidR="00DE7148" w:rsidRDefault="00DE7148" w:rsidP="00DE7148">
      <w:pPr>
        <w:pStyle w:val="Actions"/>
        <w:numPr>
          <w:ilvl w:val="0"/>
          <w:numId w:val="39"/>
        </w:numPr>
        <w:jc w:val="left"/>
      </w:pPr>
      <w:r>
        <w:t>Jacques to fill in the table the usage of tax rates as per the traffic figures collected in 2010</w:t>
      </w:r>
      <w:r w:rsidR="0024755B">
        <w:t>.</w:t>
      </w:r>
    </w:p>
    <w:p w:rsidR="00DE7148" w:rsidRDefault="00DE7148" w:rsidP="00DE7148">
      <w:pPr>
        <w:pStyle w:val="Actions"/>
        <w:numPr>
          <w:ilvl w:val="0"/>
          <w:numId w:val="39"/>
        </w:numPr>
        <w:jc w:val="left"/>
      </w:pPr>
      <w:r>
        <w:t xml:space="preserve">Jacques to ask if SWIFT is </w:t>
      </w:r>
      <w:r w:rsidR="0024755B">
        <w:t>planning again to collect traffic data on tax elements on a regular basis.</w:t>
      </w:r>
    </w:p>
    <w:p w:rsidR="00E60462" w:rsidRDefault="00E60462" w:rsidP="00B7661F">
      <w:pPr>
        <w:pStyle w:val="Heading1"/>
      </w:pPr>
      <w:bookmarkStart w:id="8" w:name="_Toc358045187"/>
      <w:r>
        <w:t>Tax processing flow / certification process</w:t>
      </w:r>
      <w:bookmarkEnd w:id="8"/>
    </w:p>
    <w:p w:rsidR="00E60462" w:rsidRDefault="00C13F54" w:rsidP="00F8542D">
      <w:pPr>
        <w:pStyle w:val="ListParagraph"/>
        <w:ind w:left="0"/>
        <w:rPr>
          <w:sz w:val="20"/>
        </w:rPr>
      </w:pPr>
      <w:r>
        <w:rPr>
          <w:sz w:val="20"/>
        </w:rPr>
        <w:object w:dxaOrig="1531" w:dyaOrig="990">
          <v:shape id="_x0000_i1026" type="#_x0000_t75" style="width:76.5pt;height:49.5pt" o:ole="">
            <v:imagedata r:id="rId12" o:title=""/>
          </v:shape>
          <o:OLEObject Type="Embed" ProgID="PowerPoint.Show.8" ShapeID="_x0000_i1026" DrawAspect="Icon" ObjectID="_1432052916" r:id="rId13"/>
        </w:object>
      </w:r>
    </w:p>
    <w:p w:rsidR="00D87972" w:rsidRDefault="00D87972" w:rsidP="00D87972">
      <w:r>
        <w:t>Bernard walks the sub-group through the tax processing flow chart (see attached slide above) then the group discuss on which steps the group should focus in priority.</w:t>
      </w:r>
    </w:p>
    <w:p w:rsidR="00D87972" w:rsidRDefault="00307EA7" w:rsidP="00D87972">
      <w:r>
        <w:t xml:space="preserve">The group agrees to focus </w:t>
      </w:r>
      <w:r w:rsidR="009E0C0E">
        <w:t xml:space="preserve">initially </w:t>
      </w:r>
      <w:r>
        <w:t xml:space="preserve">on the </w:t>
      </w:r>
      <w:r w:rsidR="009E0C0E">
        <w:t xml:space="preserve">4 following </w:t>
      </w:r>
      <w:r>
        <w:t>steps</w:t>
      </w:r>
      <w:r w:rsidR="009E0C0E">
        <w:t xml:space="preserve"> of the flow</w:t>
      </w:r>
      <w:r>
        <w:t>:</w:t>
      </w:r>
    </w:p>
    <w:p w:rsidR="00307EA7" w:rsidRPr="00A63DF2" w:rsidRDefault="00A63DF2" w:rsidP="00A63DF2">
      <w:pPr>
        <w:pStyle w:val="ListParagraph"/>
        <w:numPr>
          <w:ilvl w:val="0"/>
          <w:numId w:val="40"/>
        </w:numPr>
        <w:rPr>
          <w:sz w:val="20"/>
        </w:rPr>
      </w:pPr>
      <w:r w:rsidRPr="00A63DF2">
        <w:rPr>
          <w:sz w:val="20"/>
        </w:rPr>
        <w:t>Account set-up</w:t>
      </w:r>
    </w:p>
    <w:p w:rsidR="00A63DF2" w:rsidRPr="00A63DF2" w:rsidRDefault="00A63DF2" w:rsidP="00A63DF2">
      <w:pPr>
        <w:pStyle w:val="ListParagraph"/>
        <w:numPr>
          <w:ilvl w:val="0"/>
          <w:numId w:val="40"/>
        </w:numPr>
        <w:rPr>
          <w:sz w:val="20"/>
        </w:rPr>
      </w:pPr>
      <w:r w:rsidRPr="00A63DF2">
        <w:rPr>
          <w:sz w:val="20"/>
        </w:rPr>
        <w:t>Certification and instruction</w:t>
      </w:r>
    </w:p>
    <w:p w:rsidR="00A63DF2" w:rsidRPr="009E0C0E" w:rsidRDefault="00A63DF2" w:rsidP="00A63DF2">
      <w:pPr>
        <w:pStyle w:val="ListParagraph"/>
        <w:numPr>
          <w:ilvl w:val="0"/>
          <w:numId w:val="40"/>
        </w:numPr>
        <w:rPr>
          <w:sz w:val="20"/>
          <w:lang w:val="en-US"/>
        </w:rPr>
      </w:pPr>
      <w:r w:rsidRPr="00A63DF2">
        <w:rPr>
          <w:sz w:val="20"/>
        </w:rPr>
        <w:t>Tax repayment / claim</w:t>
      </w:r>
    </w:p>
    <w:p w:rsidR="009E0C0E" w:rsidRPr="004A6917" w:rsidRDefault="009E0C0E" w:rsidP="00A63DF2">
      <w:pPr>
        <w:pStyle w:val="ListParagraph"/>
        <w:numPr>
          <w:ilvl w:val="0"/>
          <w:numId w:val="40"/>
        </w:numPr>
        <w:rPr>
          <w:sz w:val="20"/>
          <w:lang w:val="en-US"/>
        </w:rPr>
      </w:pPr>
      <w:r>
        <w:rPr>
          <w:sz w:val="20"/>
        </w:rPr>
        <w:t>Notification</w:t>
      </w:r>
    </w:p>
    <w:p w:rsidR="00C13F54" w:rsidRDefault="009E0C0E" w:rsidP="004A6917">
      <w:proofErr w:type="gramStart"/>
      <w:r>
        <w:t>and</w:t>
      </w:r>
      <w:proofErr w:type="gramEnd"/>
      <w:r>
        <w:t xml:space="preserve"> also resolves to split the notification </w:t>
      </w:r>
      <w:r w:rsidR="00C13F54">
        <w:t>steps into the following 2 aspects:</w:t>
      </w:r>
    </w:p>
    <w:p w:rsidR="004A6917" w:rsidRDefault="00C13F54" w:rsidP="00C13F54">
      <w:pPr>
        <w:pStyle w:val="ListParagraph"/>
        <w:numPr>
          <w:ilvl w:val="0"/>
          <w:numId w:val="41"/>
        </w:numPr>
        <w:rPr>
          <w:sz w:val="20"/>
        </w:rPr>
      </w:pPr>
      <w:r w:rsidRPr="00C13F54">
        <w:rPr>
          <w:sz w:val="20"/>
        </w:rPr>
        <w:t xml:space="preserve">Tax processing </w:t>
      </w:r>
      <w:r>
        <w:rPr>
          <w:sz w:val="20"/>
        </w:rPr>
        <w:t>related information</w:t>
      </w:r>
    </w:p>
    <w:p w:rsidR="00C13F54" w:rsidRDefault="00C13F54" w:rsidP="00C13F54">
      <w:pPr>
        <w:pStyle w:val="ListParagraph"/>
        <w:numPr>
          <w:ilvl w:val="0"/>
          <w:numId w:val="41"/>
        </w:numPr>
        <w:rPr>
          <w:sz w:val="20"/>
        </w:rPr>
      </w:pPr>
      <w:r>
        <w:rPr>
          <w:sz w:val="20"/>
        </w:rPr>
        <w:t>CA event related tax information</w:t>
      </w:r>
    </w:p>
    <w:p w:rsidR="00C13F54" w:rsidRDefault="00C13F54" w:rsidP="00C13F54"/>
    <w:p w:rsidR="00C13F54" w:rsidRDefault="00C13F54" w:rsidP="00C13F54">
      <w:r>
        <w:lastRenderedPageBreak/>
        <w:t xml:space="preserve">It is also agreed to start with the </w:t>
      </w:r>
      <w:r w:rsidRPr="00C13F54">
        <w:rPr>
          <w:u w:val="single"/>
        </w:rPr>
        <w:t>“Account Set-Up”</w:t>
      </w:r>
      <w:r>
        <w:t xml:space="preserve"> step at the next conference call. </w:t>
      </w:r>
    </w:p>
    <w:p w:rsidR="004A6917" w:rsidRDefault="004A6917" w:rsidP="004A6917">
      <w:proofErr w:type="spellStart"/>
      <w:r>
        <w:t>Sonda</w:t>
      </w:r>
      <w:proofErr w:type="spellEnd"/>
      <w:r>
        <w:t xml:space="preserve"> confirms that FATCA fits into this value chain description</w:t>
      </w:r>
      <w:r w:rsidR="00C13F54">
        <w:t xml:space="preserve"> and that it can be addressed as part of the Account Set-Up </w:t>
      </w:r>
      <w:r w:rsidR="00AA7731">
        <w:t>phase</w:t>
      </w:r>
      <w:r>
        <w:t>.</w:t>
      </w:r>
    </w:p>
    <w:p w:rsidR="00AB525C" w:rsidRDefault="008D573A" w:rsidP="004A6917">
      <w:r>
        <w:t>As complementary input, below an example of tax messaging flow already discussed in an earlier tax subgroup meeting:</w:t>
      </w:r>
    </w:p>
    <w:bookmarkStart w:id="9" w:name="_MON_1431939058"/>
    <w:bookmarkEnd w:id="9"/>
    <w:p w:rsidR="00AB525C" w:rsidRDefault="008D573A" w:rsidP="004A6917">
      <w:r>
        <w:object w:dxaOrig="1551" w:dyaOrig="991">
          <v:shape id="_x0000_i1027" type="#_x0000_t75" style="width:77.25pt;height:49.5pt" o:ole="">
            <v:imagedata r:id="rId14" o:title=""/>
          </v:shape>
          <o:OLEObject Type="Embed" ProgID="Word.Document.12" ShapeID="_x0000_i1027" DrawAspect="Icon" ObjectID="_1432052917" r:id="rId15">
            <o:FieldCodes>\s</o:FieldCodes>
          </o:OLEObject>
        </w:object>
      </w:r>
    </w:p>
    <w:p w:rsidR="00943AF9" w:rsidRDefault="00943AF9" w:rsidP="004A6917"/>
    <w:p w:rsidR="00DE32F4" w:rsidRPr="00DE32F4" w:rsidRDefault="00DE32F4" w:rsidP="004A6917">
      <w:pPr>
        <w:rPr>
          <w:b/>
          <w:u w:val="single"/>
        </w:rPr>
      </w:pPr>
      <w:r w:rsidRPr="00DE32F4">
        <w:rPr>
          <w:b/>
          <w:u w:val="single"/>
        </w:rPr>
        <w:t xml:space="preserve">Feedback received from </w:t>
      </w:r>
      <w:proofErr w:type="spellStart"/>
      <w:r w:rsidRPr="00DE32F4">
        <w:rPr>
          <w:b/>
          <w:u w:val="single"/>
        </w:rPr>
        <w:t>Sanjeev</w:t>
      </w:r>
      <w:proofErr w:type="spellEnd"/>
      <w:r w:rsidRPr="00DE32F4">
        <w:rPr>
          <w:b/>
          <w:u w:val="single"/>
        </w:rPr>
        <w:t xml:space="preserve"> (ZA) before the </w:t>
      </w:r>
      <w:proofErr w:type="spellStart"/>
      <w:proofErr w:type="gramStart"/>
      <w:r w:rsidRPr="00DE32F4">
        <w:rPr>
          <w:b/>
          <w:u w:val="single"/>
        </w:rPr>
        <w:t>conf</w:t>
      </w:r>
      <w:proofErr w:type="spellEnd"/>
      <w:r w:rsidRPr="00DE32F4">
        <w:rPr>
          <w:b/>
          <w:u w:val="single"/>
        </w:rPr>
        <w:t xml:space="preserve">  call</w:t>
      </w:r>
      <w:proofErr w:type="gramEnd"/>
      <w:r w:rsidRPr="00DE32F4">
        <w:rPr>
          <w:b/>
          <w:u w:val="single"/>
        </w:rPr>
        <w:t>.</w:t>
      </w:r>
    </w:p>
    <w:p w:rsidR="00DE32F4" w:rsidRPr="00DE32F4" w:rsidRDefault="00DE32F4" w:rsidP="00DE32F4">
      <w:pPr>
        <w:rPr>
          <w:rFonts w:ascii="Calibri" w:hAnsi="Calibri" w:cs="Calibri"/>
          <w:i/>
          <w:color w:val="1F497D"/>
          <w:sz w:val="22"/>
          <w:szCs w:val="22"/>
          <w:u w:val="single"/>
        </w:rPr>
      </w:pPr>
      <w:r w:rsidRPr="00DE32F4">
        <w:rPr>
          <w:rFonts w:ascii="Calibri" w:hAnsi="Calibri" w:cs="Calibri"/>
          <w:i/>
          <w:color w:val="1F497D"/>
          <w:sz w:val="22"/>
          <w:szCs w:val="22"/>
          <w:u w:val="single"/>
        </w:rPr>
        <w:t>Value Chain Description of the tax landscape</w:t>
      </w:r>
    </w:p>
    <w:p w:rsidR="00DE32F4" w:rsidRPr="00DE32F4" w:rsidRDefault="00DE32F4" w:rsidP="00DE32F4">
      <w:pPr>
        <w:pStyle w:val="ListParagraph"/>
        <w:numPr>
          <w:ilvl w:val="0"/>
          <w:numId w:val="48"/>
        </w:numPr>
        <w:ind w:left="720"/>
        <w:rPr>
          <w:rFonts w:ascii="Calibri" w:hAnsi="Calibri" w:cs="Calibri"/>
          <w:i/>
          <w:color w:val="1F497D"/>
          <w:sz w:val="22"/>
          <w:szCs w:val="22"/>
          <w:lang w:val="en-US"/>
        </w:rPr>
      </w:pPr>
      <w:r w:rsidRPr="00DE32F4">
        <w:rPr>
          <w:rFonts w:ascii="Calibri" w:hAnsi="Calibri" w:cs="Calibri"/>
          <w:i/>
          <w:color w:val="1F497D"/>
          <w:sz w:val="22"/>
          <w:szCs w:val="22"/>
          <w:lang w:val="en-US"/>
        </w:rPr>
        <w:t>We are generally in agreement with the Value Chain Description of the tax landscape.</w:t>
      </w:r>
    </w:p>
    <w:p w:rsidR="00DE32F4" w:rsidRPr="00DE32F4" w:rsidRDefault="00DE32F4" w:rsidP="00DE32F4">
      <w:pPr>
        <w:pStyle w:val="ListParagraph"/>
        <w:numPr>
          <w:ilvl w:val="0"/>
          <w:numId w:val="48"/>
        </w:numPr>
        <w:ind w:left="720"/>
        <w:rPr>
          <w:rFonts w:ascii="Calibri" w:hAnsi="Calibri" w:cs="Calibri"/>
          <w:i/>
          <w:color w:val="1F497D"/>
          <w:sz w:val="22"/>
          <w:szCs w:val="22"/>
          <w:lang w:val="en-US"/>
        </w:rPr>
      </w:pPr>
      <w:r w:rsidRPr="00DE32F4">
        <w:rPr>
          <w:rFonts w:ascii="Calibri" w:hAnsi="Calibri" w:cs="Calibri"/>
          <w:i/>
          <w:color w:val="1F497D"/>
          <w:sz w:val="22"/>
          <w:szCs w:val="22"/>
          <w:lang w:val="en-US"/>
        </w:rPr>
        <w:t>The withholding tax process in South Africa is slightly different in that:-</w:t>
      </w:r>
    </w:p>
    <w:p w:rsidR="00DE32F4" w:rsidRPr="00DE32F4" w:rsidRDefault="00DE32F4" w:rsidP="00DE32F4">
      <w:pPr>
        <w:pStyle w:val="ListParagraph"/>
        <w:numPr>
          <w:ilvl w:val="0"/>
          <w:numId w:val="49"/>
        </w:numPr>
        <w:ind w:left="1080"/>
        <w:rPr>
          <w:rFonts w:ascii="Calibri" w:hAnsi="Calibri" w:cs="Calibri"/>
          <w:i/>
          <w:color w:val="1F497D"/>
          <w:sz w:val="22"/>
          <w:szCs w:val="22"/>
          <w:lang w:val="en-US"/>
        </w:rPr>
      </w:pPr>
      <w:r w:rsidRPr="00DE32F4">
        <w:rPr>
          <w:rFonts w:ascii="Calibri" w:hAnsi="Calibri" w:cs="Calibri"/>
          <w:i/>
          <w:color w:val="1F497D"/>
          <w:sz w:val="22"/>
          <w:szCs w:val="22"/>
          <w:lang w:val="en-US"/>
        </w:rPr>
        <w:t>Legislation has made provision for Regulated Intermediaries (RI). The duties of the RI include the collection of withholding taxes (WHT), reporting on withheld taxes and paying such taxes to the Tax Authority.</w:t>
      </w:r>
    </w:p>
    <w:p w:rsidR="00DE32F4" w:rsidRPr="00DE32F4" w:rsidRDefault="00DE32F4" w:rsidP="00DE32F4">
      <w:pPr>
        <w:pStyle w:val="ListParagraph"/>
        <w:numPr>
          <w:ilvl w:val="0"/>
          <w:numId w:val="49"/>
        </w:numPr>
        <w:ind w:left="1080"/>
        <w:rPr>
          <w:rFonts w:ascii="Calibri" w:hAnsi="Calibri" w:cs="Calibri"/>
          <w:i/>
          <w:color w:val="1F497D"/>
          <w:sz w:val="22"/>
          <w:szCs w:val="22"/>
          <w:lang w:val="en-US"/>
        </w:rPr>
      </w:pPr>
      <w:r w:rsidRPr="00DE32F4">
        <w:rPr>
          <w:rFonts w:ascii="Calibri" w:hAnsi="Calibri" w:cs="Calibri"/>
          <w:i/>
          <w:color w:val="1F497D"/>
          <w:sz w:val="22"/>
          <w:szCs w:val="22"/>
          <w:lang w:val="en-US"/>
        </w:rPr>
        <w:t xml:space="preserve">In order to avail of relief from WHT the investor is required to make the required declaration (can be seen as certification). The declaration is required once and will remain in force until the “status” of the investor or the applicable Double Taxation Agreement (DTA) </w:t>
      </w:r>
      <w:proofErr w:type="gramStart"/>
      <w:r w:rsidRPr="00DE32F4">
        <w:rPr>
          <w:rFonts w:ascii="Calibri" w:hAnsi="Calibri" w:cs="Calibri"/>
          <w:i/>
          <w:color w:val="1F497D"/>
          <w:sz w:val="22"/>
          <w:szCs w:val="22"/>
          <w:lang w:val="en-US"/>
        </w:rPr>
        <w:t>changes,</w:t>
      </w:r>
      <w:proofErr w:type="gramEnd"/>
      <w:r w:rsidRPr="00DE32F4">
        <w:rPr>
          <w:rFonts w:ascii="Calibri" w:hAnsi="Calibri" w:cs="Calibri"/>
          <w:i/>
          <w:color w:val="1F497D"/>
          <w:sz w:val="22"/>
          <w:szCs w:val="22"/>
          <w:lang w:val="en-US"/>
        </w:rPr>
        <w:t xml:space="preserve"> either the investor is required to inform their service provider.</w:t>
      </w:r>
    </w:p>
    <w:p w:rsidR="00DE32F4" w:rsidRPr="00DE32F4" w:rsidRDefault="00DE32F4" w:rsidP="00DE32F4">
      <w:pPr>
        <w:pStyle w:val="ListParagraph"/>
        <w:numPr>
          <w:ilvl w:val="0"/>
          <w:numId w:val="49"/>
        </w:numPr>
        <w:ind w:left="1080"/>
        <w:rPr>
          <w:rFonts w:ascii="Calibri" w:hAnsi="Calibri" w:cs="Calibri"/>
          <w:i/>
          <w:color w:val="1F497D"/>
          <w:sz w:val="22"/>
          <w:szCs w:val="22"/>
          <w:lang w:val="en-US"/>
        </w:rPr>
      </w:pPr>
      <w:r w:rsidRPr="00DE32F4">
        <w:rPr>
          <w:rFonts w:ascii="Calibri" w:hAnsi="Calibri" w:cs="Calibri"/>
          <w:i/>
          <w:color w:val="1F497D"/>
          <w:sz w:val="22"/>
          <w:szCs w:val="22"/>
          <w:lang w:val="en-US"/>
        </w:rPr>
        <w:t>The tax reclaims are directed to the RI and not the Tax Authority. South Africa is thus seen as a “quick reclaim” market. Tax reclaims can be made up to 3 years from the pay date of the event after which no claim is possible.  </w:t>
      </w:r>
    </w:p>
    <w:p w:rsidR="00DE32F4" w:rsidRPr="00DE32F4" w:rsidRDefault="00DE32F4" w:rsidP="00DE32F4">
      <w:pPr>
        <w:pStyle w:val="ListParagraph"/>
        <w:numPr>
          <w:ilvl w:val="0"/>
          <w:numId w:val="49"/>
        </w:numPr>
        <w:ind w:left="1080"/>
        <w:rPr>
          <w:rFonts w:ascii="Calibri" w:hAnsi="Calibri" w:cs="Calibri"/>
          <w:i/>
          <w:color w:val="1F497D"/>
          <w:sz w:val="22"/>
          <w:szCs w:val="22"/>
          <w:lang w:val="en-US"/>
        </w:rPr>
      </w:pPr>
      <w:r w:rsidRPr="00DE32F4">
        <w:rPr>
          <w:rFonts w:ascii="Calibri" w:hAnsi="Calibri" w:cs="Calibri"/>
          <w:i/>
          <w:color w:val="1F497D"/>
          <w:sz w:val="22"/>
          <w:szCs w:val="22"/>
          <w:lang w:val="en-US"/>
        </w:rPr>
        <w:t>Service providers have, to an extent, enhanced their systems to annotate account with the applicable tax rate.</w:t>
      </w:r>
    </w:p>
    <w:p w:rsidR="00DE32F4" w:rsidRDefault="00DE32F4" w:rsidP="004A6917"/>
    <w:p w:rsidR="004A6917" w:rsidRDefault="00E60462" w:rsidP="00F8542D">
      <w:pPr>
        <w:pStyle w:val="Actions"/>
        <w:rPr>
          <w:b/>
        </w:rPr>
      </w:pPr>
      <w:r w:rsidRPr="00597C9E">
        <w:rPr>
          <w:b/>
          <w:u w:val="single"/>
        </w:rPr>
        <w:t>Action</w:t>
      </w:r>
      <w:r>
        <w:rPr>
          <w:b/>
          <w:u w:val="single"/>
        </w:rPr>
        <w:t>:</w:t>
      </w:r>
      <w:r w:rsidRPr="00F8542D">
        <w:rPr>
          <w:b/>
        </w:rPr>
        <w:t xml:space="preserve"> </w:t>
      </w:r>
    </w:p>
    <w:p w:rsidR="004A6917" w:rsidRDefault="00DE32F4" w:rsidP="00C13F54">
      <w:pPr>
        <w:pStyle w:val="Actions"/>
        <w:numPr>
          <w:ilvl w:val="0"/>
          <w:numId w:val="43"/>
        </w:numPr>
      </w:pPr>
      <w:r>
        <w:t>Countries to p</w:t>
      </w:r>
      <w:r w:rsidR="00C13F54" w:rsidRPr="00C13F54">
        <w:t xml:space="preserve">rovide </w:t>
      </w:r>
      <w:r w:rsidR="00C13F54">
        <w:t>feedback on the 4 priorities defined above and identify issues for each of them</w:t>
      </w:r>
      <w:r>
        <w:t>.</w:t>
      </w:r>
    </w:p>
    <w:p w:rsidR="00E60462" w:rsidRDefault="00AC3C0E" w:rsidP="00AC3C0E">
      <w:pPr>
        <w:pStyle w:val="Heading1"/>
      </w:pPr>
      <w:bookmarkStart w:id="10" w:name="_Toc358045188"/>
      <w:r>
        <w:t>Other Items</w:t>
      </w:r>
      <w:bookmarkEnd w:id="10"/>
    </w:p>
    <w:p w:rsidR="002C748B" w:rsidRDefault="00E60462" w:rsidP="002C748B">
      <w:pPr>
        <w:pStyle w:val="Heading2"/>
        <w:jc w:val="left"/>
        <w:rPr>
          <w:rStyle w:val="ActionsChar"/>
          <w:sz w:val="20"/>
        </w:rPr>
      </w:pPr>
      <w:bookmarkStart w:id="11" w:name="_Toc358045189"/>
      <w:r w:rsidRPr="001E4BC9">
        <w:t xml:space="preserve">CA 221: </w:t>
      </w:r>
      <w:r>
        <w:t>related to SR2012 Change requests proposed by South Africa</w:t>
      </w:r>
      <w:bookmarkEnd w:id="11"/>
    </w:p>
    <w:p w:rsidR="002C748B" w:rsidRDefault="008D040C" w:rsidP="002C748B">
      <w:pPr>
        <w:pStyle w:val="BlockText"/>
        <w:rPr>
          <w:sz w:val="20"/>
        </w:rPr>
      </w:pPr>
      <w:r w:rsidRPr="00DE32F4">
        <w:rPr>
          <w:sz w:val="20"/>
          <w:u w:val="single"/>
        </w:rPr>
        <w:t xml:space="preserve">Feedback received from </w:t>
      </w:r>
      <w:proofErr w:type="spellStart"/>
      <w:r w:rsidRPr="00DE32F4">
        <w:rPr>
          <w:sz w:val="20"/>
          <w:u w:val="single"/>
        </w:rPr>
        <w:t>Sanjeev</w:t>
      </w:r>
      <w:proofErr w:type="spellEnd"/>
      <w:r w:rsidRPr="00DE32F4">
        <w:rPr>
          <w:sz w:val="20"/>
          <w:u w:val="single"/>
        </w:rPr>
        <w:t xml:space="preserve"> (ZA)</w:t>
      </w:r>
      <w:r w:rsidR="00DE32F4" w:rsidRPr="00DE32F4">
        <w:rPr>
          <w:sz w:val="20"/>
          <w:u w:val="single"/>
        </w:rPr>
        <w:t xml:space="preserve"> before the conference call</w:t>
      </w:r>
      <w:r w:rsidRPr="008D040C">
        <w:rPr>
          <w:sz w:val="20"/>
        </w:rPr>
        <w:t>:</w:t>
      </w:r>
    </w:p>
    <w:p w:rsidR="008D040C" w:rsidRPr="008D040C" w:rsidRDefault="008D040C" w:rsidP="008D040C">
      <w:pPr>
        <w:rPr>
          <w:rFonts w:ascii="Calibri" w:hAnsi="Calibri" w:cs="Calibri"/>
          <w:i/>
          <w:color w:val="1F497D"/>
          <w:sz w:val="22"/>
          <w:szCs w:val="22"/>
        </w:rPr>
      </w:pPr>
      <w:r w:rsidRPr="008D040C">
        <w:rPr>
          <w:rFonts w:ascii="Calibri" w:hAnsi="Calibri" w:cs="Calibri"/>
          <w:i/>
          <w:color w:val="1F497D"/>
          <w:sz w:val="22"/>
          <w:szCs w:val="22"/>
        </w:rPr>
        <w:t xml:space="preserve">There were 2 issues here: </w:t>
      </w:r>
    </w:p>
    <w:p w:rsidR="008D040C" w:rsidRPr="008D040C" w:rsidRDefault="008D040C" w:rsidP="008D040C">
      <w:pPr>
        <w:pStyle w:val="ListParagraph"/>
        <w:numPr>
          <w:ilvl w:val="0"/>
          <w:numId w:val="46"/>
        </w:numPr>
        <w:ind w:left="360"/>
        <w:rPr>
          <w:rFonts w:ascii="Calibri" w:hAnsi="Calibri" w:cs="Calibri"/>
          <w:i/>
          <w:color w:val="1F497D"/>
          <w:sz w:val="22"/>
          <w:szCs w:val="22"/>
          <w:lang w:val="en-US"/>
        </w:rPr>
      </w:pPr>
      <w:r w:rsidRPr="008D040C">
        <w:rPr>
          <w:rFonts w:ascii="Calibri" w:hAnsi="Calibri" w:cs="Calibri"/>
          <w:i/>
          <w:color w:val="1F497D"/>
          <w:sz w:val="22"/>
          <w:szCs w:val="22"/>
          <w:lang w:val="en-US"/>
        </w:rPr>
        <w:t>Tax on security distributions (Dividends in Specie – Spin-off)</w:t>
      </w:r>
    </w:p>
    <w:p w:rsidR="008D040C" w:rsidRPr="008D040C" w:rsidRDefault="008D040C" w:rsidP="008D040C">
      <w:pPr>
        <w:pStyle w:val="ListParagraph"/>
        <w:numPr>
          <w:ilvl w:val="0"/>
          <w:numId w:val="47"/>
        </w:numPr>
        <w:ind w:left="1080"/>
        <w:rPr>
          <w:rFonts w:ascii="Calibri" w:hAnsi="Calibri" w:cs="Calibri"/>
          <w:i/>
          <w:color w:val="1F497D"/>
          <w:sz w:val="22"/>
          <w:szCs w:val="22"/>
          <w:lang w:val="en-US"/>
        </w:rPr>
      </w:pPr>
      <w:r w:rsidRPr="008D040C">
        <w:rPr>
          <w:rFonts w:ascii="Calibri" w:hAnsi="Calibri" w:cs="Calibri"/>
          <w:i/>
          <w:color w:val="1F497D"/>
          <w:sz w:val="22"/>
          <w:szCs w:val="22"/>
          <w:lang w:val="en-US"/>
        </w:rPr>
        <w:t>Currently sequence E1 in the MT564 (and D1 in the MT566) does not allow for the communication of tax qualifiers. This was referred to SWIFT we received guidance that these qualifiers can be communicated in sequence E. This is not the most desirable solution and South Africa will evaluate and consider whether we will lodge a CR.</w:t>
      </w:r>
    </w:p>
    <w:p w:rsidR="008D040C" w:rsidRPr="008D040C" w:rsidRDefault="008D040C" w:rsidP="008D040C">
      <w:pPr>
        <w:pStyle w:val="ListParagraph"/>
        <w:ind w:left="1080"/>
        <w:rPr>
          <w:rFonts w:ascii="Calibri" w:hAnsi="Calibri" w:cs="Calibri"/>
          <w:i/>
          <w:color w:val="1F497D"/>
          <w:sz w:val="22"/>
          <w:szCs w:val="22"/>
          <w:lang w:val="en-US"/>
        </w:rPr>
      </w:pPr>
    </w:p>
    <w:p w:rsidR="008D040C" w:rsidRPr="008D040C" w:rsidRDefault="008D040C" w:rsidP="008D040C">
      <w:pPr>
        <w:pStyle w:val="ListParagraph"/>
        <w:numPr>
          <w:ilvl w:val="0"/>
          <w:numId w:val="46"/>
        </w:numPr>
        <w:ind w:left="360"/>
        <w:rPr>
          <w:rFonts w:ascii="Calibri" w:hAnsi="Calibri" w:cs="Calibri"/>
          <w:i/>
          <w:color w:val="1F497D"/>
          <w:sz w:val="22"/>
          <w:szCs w:val="22"/>
          <w:lang w:val="en-US"/>
        </w:rPr>
      </w:pPr>
      <w:r w:rsidRPr="008D040C">
        <w:rPr>
          <w:rFonts w:ascii="Calibri" w:hAnsi="Calibri" w:cs="Calibri"/>
          <w:i/>
          <w:color w:val="1F497D"/>
          <w:sz w:val="22"/>
          <w:szCs w:val="22"/>
          <w:lang w:val="en-US"/>
        </w:rPr>
        <w:t xml:space="preserve">Question whether one or two cash moves should be communicated where there is a taxable and non-taxable amount </w:t>
      </w:r>
    </w:p>
    <w:p w:rsidR="008D040C" w:rsidRPr="008D040C" w:rsidRDefault="008D040C" w:rsidP="008D040C">
      <w:pPr>
        <w:pStyle w:val="ListParagraph"/>
        <w:numPr>
          <w:ilvl w:val="0"/>
          <w:numId w:val="47"/>
        </w:numPr>
        <w:spacing w:before="100" w:beforeAutospacing="1" w:after="100" w:afterAutospacing="1"/>
        <w:ind w:left="1080"/>
        <w:rPr>
          <w:rFonts w:ascii="Calibri" w:hAnsi="Calibri" w:cs="Calibri"/>
          <w:i/>
          <w:color w:val="1F497D"/>
          <w:sz w:val="22"/>
          <w:szCs w:val="22"/>
          <w:lang w:val="en-US"/>
        </w:rPr>
      </w:pPr>
      <w:r w:rsidRPr="008D040C">
        <w:rPr>
          <w:rFonts w:ascii="Calibri" w:hAnsi="Calibri" w:cs="Calibri"/>
          <w:i/>
          <w:color w:val="1F497D"/>
          <w:sz w:val="22"/>
          <w:szCs w:val="22"/>
          <w:lang w:val="en-US"/>
        </w:rPr>
        <w:lastRenderedPageBreak/>
        <w:t>This situation arises where the company pays part of the cash distribution as a taxable dividend and a Secondary Tax on Companies (STC) credit. Prior to WHT coming into effect all taxation obligations on corporate action entitlements was paid by the Issuer. The Issuer satisfied tax obligations in terms of Secondary Tax on Companies (STC) legislation and as a result no deductions are made from the announced rates. Whilst paying STC the Issuer accumulated credits and in terms of the WHT legislation Issuers have 3 years from 1 April 2012 to distribute such STC credits to investors. Thereafter STC credits will be forfeited to the treasury.   </w:t>
      </w:r>
    </w:p>
    <w:p w:rsidR="008D040C" w:rsidRPr="008D040C" w:rsidRDefault="008D040C" w:rsidP="008D040C">
      <w:pPr>
        <w:pStyle w:val="ListParagraph"/>
        <w:numPr>
          <w:ilvl w:val="0"/>
          <w:numId w:val="47"/>
        </w:numPr>
        <w:ind w:left="1080"/>
        <w:rPr>
          <w:rFonts w:ascii="Calibri" w:hAnsi="Calibri" w:cs="Calibri"/>
          <w:i/>
          <w:color w:val="1F497D"/>
          <w:sz w:val="22"/>
          <w:szCs w:val="22"/>
          <w:lang w:val="en-US"/>
        </w:rPr>
      </w:pPr>
      <w:r w:rsidRPr="008D040C">
        <w:rPr>
          <w:rFonts w:ascii="Calibri" w:hAnsi="Calibri" w:cs="Calibri"/>
          <w:i/>
          <w:color w:val="1F497D"/>
          <w:sz w:val="22"/>
          <w:szCs w:val="22"/>
          <w:lang w:val="en-US"/>
        </w:rPr>
        <w:t xml:space="preserve">The WHT is communicated as TAXR and the STC credit as TAXC and the issue of 2 cash moves was referred to SWIFT who guided that one cash move with a net amount would be sufficient. </w:t>
      </w:r>
    </w:p>
    <w:p w:rsidR="008D040C" w:rsidRPr="008D040C" w:rsidRDefault="008D040C" w:rsidP="008D040C">
      <w:pPr>
        <w:pStyle w:val="ListParagraph"/>
        <w:numPr>
          <w:ilvl w:val="0"/>
          <w:numId w:val="47"/>
        </w:numPr>
        <w:ind w:left="1080"/>
        <w:rPr>
          <w:rFonts w:ascii="Calibri" w:hAnsi="Calibri" w:cs="Calibri"/>
          <w:i/>
          <w:color w:val="1F497D"/>
          <w:sz w:val="22"/>
          <w:szCs w:val="22"/>
          <w:lang w:val="en-US"/>
        </w:rPr>
      </w:pPr>
      <w:r w:rsidRPr="008D040C">
        <w:rPr>
          <w:rFonts w:ascii="Calibri" w:hAnsi="Calibri" w:cs="Calibri"/>
          <w:i/>
          <w:color w:val="1F497D"/>
          <w:sz w:val="22"/>
          <w:szCs w:val="22"/>
          <w:lang w:val="en-US"/>
        </w:rPr>
        <w:t xml:space="preserve">As STC will eventually work </w:t>
      </w:r>
      <w:proofErr w:type="gramStart"/>
      <w:r w:rsidRPr="008D040C">
        <w:rPr>
          <w:rFonts w:ascii="Calibri" w:hAnsi="Calibri" w:cs="Calibri"/>
          <w:i/>
          <w:color w:val="1F497D"/>
          <w:sz w:val="22"/>
          <w:szCs w:val="22"/>
          <w:lang w:val="en-US"/>
        </w:rPr>
        <w:t>itself</w:t>
      </w:r>
      <w:proofErr w:type="gramEnd"/>
      <w:r w:rsidRPr="008D040C">
        <w:rPr>
          <w:rFonts w:ascii="Calibri" w:hAnsi="Calibri" w:cs="Calibri"/>
          <w:i/>
          <w:color w:val="1F497D"/>
          <w:sz w:val="22"/>
          <w:szCs w:val="22"/>
          <w:lang w:val="en-US"/>
        </w:rPr>
        <w:t xml:space="preserve"> out of the system South Africa will not lodge a CR in this regard.</w:t>
      </w:r>
    </w:p>
    <w:p w:rsidR="008D040C" w:rsidRPr="008D040C" w:rsidRDefault="008D040C" w:rsidP="002C748B">
      <w:pPr>
        <w:pStyle w:val="BlockText"/>
        <w:rPr>
          <w:i/>
        </w:rPr>
      </w:pPr>
    </w:p>
    <w:p w:rsidR="00E60462" w:rsidRDefault="00E60462" w:rsidP="002C748B">
      <w:pPr>
        <w:pStyle w:val="Heading1"/>
      </w:pPr>
      <w:bookmarkStart w:id="12" w:name="_Toc358045190"/>
      <w:r>
        <w:t xml:space="preserve">Next </w:t>
      </w:r>
      <w:r w:rsidR="00AC3C0E">
        <w:t>Conference Calls</w:t>
      </w:r>
      <w:bookmarkEnd w:id="12"/>
    </w:p>
    <w:p w:rsidR="00E60462" w:rsidRDefault="00AC3C0E" w:rsidP="00AC3C0E">
      <w:pPr>
        <w:pStyle w:val="ListParagraph"/>
        <w:numPr>
          <w:ilvl w:val="0"/>
          <w:numId w:val="44"/>
        </w:numPr>
        <w:rPr>
          <w:bCs/>
          <w:iCs/>
          <w:sz w:val="20"/>
        </w:rPr>
      </w:pPr>
      <w:r>
        <w:rPr>
          <w:bCs/>
          <w:iCs/>
          <w:sz w:val="20"/>
        </w:rPr>
        <w:t xml:space="preserve">Thursday </w:t>
      </w:r>
      <w:r w:rsidR="00E60462" w:rsidRPr="00AC3C0E">
        <w:rPr>
          <w:bCs/>
          <w:iCs/>
          <w:sz w:val="20"/>
        </w:rPr>
        <w:t>June</w:t>
      </w:r>
      <w:r w:rsidRPr="00AC3C0E">
        <w:rPr>
          <w:bCs/>
          <w:iCs/>
          <w:sz w:val="20"/>
        </w:rPr>
        <w:t xml:space="preserve"> 20</w:t>
      </w:r>
      <w:r>
        <w:rPr>
          <w:bCs/>
          <w:iCs/>
          <w:sz w:val="20"/>
        </w:rPr>
        <w:t xml:space="preserve"> from 2 PM to 3:30 PM CET.</w:t>
      </w:r>
    </w:p>
    <w:p w:rsidR="00AC3C0E" w:rsidRPr="00AC3C0E" w:rsidRDefault="00AC3C0E" w:rsidP="00AC3C0E">
      <w:pPr>
        <w:ind w:left="360"/>
        <w:rPr>
          <w:bCs/>
          <w:iCs/>
        </w:rPr>
      </w:pPr>
    </w:p>
    <w:bookmarkEnd w:id="4"/>
    <w:bookmarkEnd w:id="5"/>
    <w:p w:rsidR="00E60462" w:rsidRPr="00927C3C" w:rsidRDefault="00E60462" w:rsidP="00AC3C0E">
      <w:pPr>
        <w:pStyle w:val="BlockText"/>
        <w:jc w:val="center"/>
        <w:rPr>
          <w:b/>
        </w:rPr>
      </w:pPr>
      <w:proofErr w:type="gramStart"/>
      <w:r>
        <w:rPr>
          <w:b/>
        </w:rPr>
        <w:t xml:space="preserve">------------------------  </w:t>
      </w:r>
      <w:r w:rsidRPr="003C599B">
        <w:rPr>
          <w:b/>
        </w:rPr>
        <w:t>End</w:t>
      </w:r>
      <w:proofErr w:type="gramEnd"/>
      <w:r w:rsidRPr="003C599B">
        <w:rPr>
          <w:b/>
        </w:rPr>
        <w:t xml:space="preserve"> of the </w:t>
      </w:r>
      <w:r>
        <w:rPr>
          <w:b/>
        </w:rPr>
        <w:t>Meeting Minutes  -----------------</w:t>
      </w:r>
    </w:p>
    <w:p w:rsidR="00E60462" w:rsidRPr="00927C3C" w:rsidRDefault="00E60462">
      <w:pPr>
        <w:pStyle w:val="BlockText"/>
        <w:jc w:val="center"/>
        <w:rPr>
          <w:b/>
        </w:rPr>
      </w:pPr>
    </w:p>
    <w:sectPr w:rsidR="00E60462" w:rsidRPr="00927C3C" w:rsidSect="002322DE">
      <w:headerReference w:type="default" r:id="rId16"/>
      <w:footerReference w:type="default" r:id="rId17"/>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62" w:rsidRDefault="00E60462" w:rsidP="00592037">
      <w:r>
        <w:separator/>
      </w:r>
    </w:p>
    <w:p w:rsidR="00E60462" w:rsidRDefault="00E60462" w:rsidP="00592037"/>
  </w:endnote>
  <w:endnote w:type="continuationSeparator" w:id="0">
    <w:p w:rsidR="00E60462" w:rsidRDefault="00E60462" w:rsidP="00592037">
      <w:r>
        <w:continuationSeparator/>
      </w:r>
    </w:p>
    <w:p w:rsidR="00E60462" w:rsidRDefault="00E6046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72" w:rsidRDefault="00D87972">
    <w:pPr>
      <w:pStyle w:val="Footer"/>
    </w:pPr>
    <w:r>
      <w:tab/>
      <w:t xml:space="preserve">Page </w:t>
    </w:r>
    <w:r>
      <w:fldChar w:fldCharType="begin"/>
    </w:r>
    <w:r>
      <w:instrText xml:space="preserve"> PAGE   \* MERGEFORMAT </w:instrText>
    </w:r>
    <w:r>
      <w:fldChar w:fldCharType="separate"/>
    </w:r>
    <w:r w:rsidR="004E7C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62" w:rsidRDefault="00E60462" w:rsidP="00592037">
      <w:r>
        <w:separator/>
      </w:r>
    </w:p>
    <w:p w:rsidR="00E60462" w:rsidRDefault="00E60462" w:rsidP="00592037"/>
  </w:footnote>
  <w:footnote w:type="continuationSeparator" w:id="0">
    <w:p w:rsidR="00E60462" w:rsidRDefault="00E60462" w:rsidP="00592037">
      <w:r>
        <w:continuationSeparator/>
      </w:r>
    </w:p>
    <w:p w:rsidR="00E60462" w:rsidRDefault="00E60462"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62" w:rsidRPr="00284B42" w:rsidRDefault="004E7C83"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32052918" r:id="rId2"/>
      </w:pict>
    </w:r>
    <w:r w:rsidR="00E60462" w:rsidRPr="00284B42">
      <w:rPr>
        <w:b/>
      </w:rPr>
      <w:t>SMPG</w:t>
    </w:r>
    <w:r w:rsidR="00E60462">
      <w:rPr>
        <w:b/>
      </w:rPr>
      <w:t xml:space="preserve"> TAX Sub-group –</w:t>
    </w:r>
    <w:r w:rsidR="00344965">
      <w:rPr>
        <w:b/>
      </w:rPr>
      <w:t xml:space="preserve"> </w:t>
    </w:r>
    <w:r w:rsidR="00E60462">
      <w:rPr>
        <w:b/>
      </w:rPr>
      <w:t>Conference Call Minutes</w:t>
    </w:r>
    <w:r w:rsidR="00344965" w:rsidRPr="00344965">
      <w:rPr>
        <w:b/>
      </w:rPr>
      <w:t xml:space="preserve"> </w:t>
    </w:r>
    <w:r w:rsidR="00344965">
      <w:rPr>
        <w:b/>
      </w:rPr>
      <w:t>May 16,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AA059ED"/>
    <w:multiLevelType w:val="multilevel"/>
    <w:tmpl w:val="6486CDE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722170"/>
    <w:multiLevelType w:val="hybridMultilevel"/>
    <w:tmpl w:val="01F460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85EC2"/>
    <w:multiLevelType w:val="hybridMultilevel"/>
    <w:tmpl w:val="00169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5">
    <w:nsid w:val="14E961EA"/>
    <w:multiLevelType w:val="hybridMultilevel"/>
    <w:tmpl w:val="4532E05A"/>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D4F8E"/>
    <w:multiLevelType w:val="hybridMultilevel"/>
    <w:tmpl w:val="EDB26AE6"/>
    <w:lvl w:ilvl="0" w:tplc="040C0019">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8">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547F0"/>
    <w:multiLevelType w:val="hybridMultilevel"/>
    <w:tmpl w:val="A6327D8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2C547E"/>
    <w:multiLevelType w:val="hybridMultilevel"/>
    <w:tmpl w:val="F1062D62"/>
    <w:lvl w:ilvl="0" w:tplc="CBCE332E">
      <w:numFmt w:val="bullet"/>
      <w:lvlText w:val="-"/>
      <w:lvlJc w:val="left"/>
      <w:pPr>
        <w:ind w:left="360" w:hanging="360"/>
      </w:pPr>
      <w:rPr>
        <w:rFonts w:ascii="Arial" w:eastAsia="Times New Roman" w:hAnsi="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9415BCD"/>
    <w:multiLevelType w:val="hybridMultilevel"/>
    <w:tmpl w:val="79A2D6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0214E9"/>
    <w:multiLevelType w:val="hybridMultilevel"/>
    <w:tmpl w:val="F404EA9A"/>
    <w:lvl w:ilvl="0" w:tplc="04090009">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8D5F58"/>
    <w:multiLevelType w:val="hybridMultilevel"/>
    <w:tmpl w:val="F91C3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CC2982"/>
    <w:multiLevelType w:val="hybridMultilevel"/>
    <w:tmpl w:val="39E6B01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6B7136"/>
    <w:multiLevelType w:val="hybridMultilevel"/>
    <w:tmpl w:val="456E0BF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36B45333"/>
    <w:multiLevelType w:val="hybridMultilevel"/>
    <w:tmpl w:val="A7DAC1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A51E87"/>
    <w:multiLevelType w:val="hybridMultilevel"/>
    <w:tmpl w:val="9934CE44"/>
    <w:lvl w:ilvl="0" w:tplc="D0889A5E">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24">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273D08"/>
    <w:multiLevelType w:val="hybridMultilevel"/>
    <w:tmpl w:val="25C6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6650B"/>
    <w:multiLevelType w:val="hybridMultilevel"/>
    <w:tmpl w:val="5D4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662FAB"/>
    <w:multiLevelType w:val="hybridMultilevel"/>
    <w:tmpl w:val="F7621A24"/>
    <w:lvl w:ilvl="0" w:tplc="64881110">
      <w:start w:val="1"/>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2DA2BAC"/>
    <w:multiLevelType w:val="hybridMultilevel"/>
    <w:tmpl w:val="22905C2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5DE01861"/>
    <w:multiLevelType w:val="hybridMultilevel"/>
    <w:tmpl w:val="21AAE8B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3C957B8"/>
    <w:multiLevelType w:val="hybridMultilevel"/>
    <w:tmpl w:val="98989B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68F545B"/>
    <w:multiLevelType w:val="hybridMultilevel"/>
    <w:tmpl w:val="D75210A6"/>
    <w:lvl w:ilvl="0" w:tplc="7CE01F86">
      <w:start w:val="1"/>
      <w:numFmt w:val="decimal"/>
      <w:lvlText w:val="%1."/>
      <w:lvlJc w:val="left"/>
      <w:pPr>
        <w:ind w:left="54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7">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833016"/>
    <w:multiLevelType w:val="hybridMultilevel"/>
    <w:tmpl w:val="14E84A44"/>
    <w:lvl w:ilvl="0" w:tplc="04090009">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9">
    <w:nsid w:val="6D772D6B"/>
    <w:multiLevelType w:val="hybridMultilevel"/>
    <w:tmpl w:val="54CC91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562602"/>
    <w:multiLevelType w:val="hybridMultilevel"/>
    <w:tmpl w:val="A0649054"/>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922365"/>
    <w:multiLevelType w:val="hybridMultilevel"/>
    <w:tmpl w:val="AB14A8D0"/>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821A9"/>
    <w:multiLevelType w:val="hybridMultilevel"/>
    <w:tmpl w:val="00DAEB38"/>
    <w:lvl w:ilvl="0" w:tplc="0809000F">
      <w:start w:val="1"/>
      <w:numFmt w:val="decimal"/>
      <w:lvlText w:val="%1."/>
      <w:lvlJc w:val="left"/>
      <w:pPr>
        <w:tabs>
          <w:tab w:val="num" w:pos="227"/>
        </w:tabs>
        <w:ind w:left="22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2"/>
  </w:num>
  <w:num w:numId="4">
    <w:abstractNumId w:val="0"/>
  </w:num>
  <w:num w:numId="5">
    <w:abstractNumId w:val="23"/>
  </w:num>
  <w:num w:numId="6">
    <w:abstractNumId w:val="10"/>
  </w:num>
  <w:num w:numId="7">
    <w:abstractNumId w:val="4"/>
  </w:num>
  <w:num w:numId="8">
    <w:abstractNumId w:val="37"/>
  </w:num>
  <w:num w:numId="9">
    <w:abstractNumId w:val="34"/>
  </w:num>
  <w:num w:numId="10">
    <w:abstractNumId w:val="31"/>
  </w:num>
  <w:num w:numId="11">
    <w:abstractNumId w:val="19"/>
  </w:num>
  <w:num w:numId="12">
    <w:abstractNumId w:val="44"/>
  </w:num>
  <w:num w:numId="13">
    <w:abstractNumId w:val="6"/>
  </w:num>
  <w:num w:numId="14">
    <w:abstractNumId w:val="30"/>
  </w:num>
  <w:num w:numId="15">
    <w:abstractNumId w:val="8"/>
  </w:num>
  <w:num w:numId="16">
    <w:abstractNumId w:val="41"/>
  </w:num>
  <w:num w:numId="17">
    <w:abstractNumId w:val="24"/>
  </w:num>
  <w:num w:numId="18">
    <w:abstractNumId w:val="15"/>
  </w:num>
  <w:num w:numId="19">
    <w:abstractNumId w:val="17"/>
  </w:num>
  <w:num w:numId="20">
    <w:abstractNumId w:val="11"/>
  </w:num>
  <w:num w:numId="21">
    <w:abstractNumId w:val="28"/>
  </w:num>
  <w:num w:numId="22">
    <w:abstractNumId w:val="14"/>
  </w:num>
  <w:num w:numId="23">
    <w:abstractNumId w:val="35"/>
  </w:num>
  <w:num w:numId="24">
    <w:abstractNumId w:val="12"/>
  </w:num>
  <w:num w:numId="25">
    <w:abstractNumId w:val="42"/>
  </w:num>
  <w:num w:numId="26">
    <w:abstractNumId w:val="5"/>
  </w:num>
  <w:num w:numId="27">
    <w:abstractNumId w:val="40"/>
  </w:num>
  <w:num w:numId="28">
    <w:abstractNumId w:val="21"/>
  </w:num>
  <w:num w:numId="29">
    <w:abstractNumId w:val="43"/>
  </w:num>
  <w:num w:numId="30">
    <w:abstractNumId w:val="20"/>
  </w:num>
  <w:num w:numId="31">
    <w:abstractNumId w:val="7"/>
  </w:num>
  <w:num w:numId="32">
    <w:abstractNumId w:val="27"/>
  </w:num>
  <w:num w:numId="33">
    <w:abstractNumId w:val="22"/>
  </w:num>
  <w:num w:numId="34">
    <w:abstractNumId w:val="33"/>
  </w:num>
  <w:num w:numId="35">
    <w:abstractNumId w:val="4"/>
  </w:num>
  <w:num w:numId="36">
    <w:abstractNumId w:val="10"/>
  </w:num>
  <w:num w:numId="37">
    <w:abstractNumId w:val="1"/>
  </w:num>
  <w:num w:numId="38">
    <w:abstractNumId w:val="36"/>
  </w:num>
  <w:num w:numId="39">
    <w:abstractNumId w:val="2"/>
  </w:num>
  <w:num w:numId="40">
    <w:abstractNumId w:val="25"/>
  </w:num>
  <w:num w:numId="41">
    <w:abstractNumId w:val="3"/>
  </w:num>
  <w:num w:numId="42">
    <w:abstractNumId w:val="16"/>
  </w:num>
  <w:num w:numId="43">
    <w:abstractNumId w:val="39"/>
  </w:num>
  <w:num w:numId="44">
    <w:abstractNumId w:val="26"/>
  </w:num>
  <w:num w:numId="45">
    <w:abstractNumId w:val="1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15FC"/>
    <w:rsid w:val="00043D75"/>
    <w:rsid w:val="00044AD0"/>
    <w:rsid w:val="00046B58"/>
    <w:rsid w:val="00046D6B"/>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3614"/>
    <w:rsid w:val="000F4705"/>
    <w:rsid w:val="001006E9"/>
    <w:rsid w:val="0010148B"/>
    <w:rsid w:val="001021B7"/>
    <w:rsid w:val="00104342"/>
    <w:rsid w:val="00104E0B"/>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14CA"/>
    <w:rsid w:val="001661A6"/>
    <w:rsid w:val="001676C8"/>
    <w:rsid w:val="00167ADC"/>
    <w:rsid w:val="001712B1"/>
    <w:rsid w:val="0017306F"/>
    <w:rsid w:val="00174310"/>
    <w:rsid w:val="001753F9"/>
    <w:rsid w:val="001803DE"/>
    <w:rsid w:val="0018324D"/>
    <w:rsid w:val="001865D5"/>
    <w:rsid w:val="001867B1"/>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2C65"/>
    <w:rsid w:val="001F3F45"/>
    <w:rsid w:val="001F4971"/>
    <w:rsid w:val="001F70B4"/>
    <w:rsid w:val="0020115E"/>
    <w:rsid w:val="00201BDB"/>
    <w:rsid w:val="00202058"/>
    <w:rsid w:val="0020323F"/>
    <w:rsid w:val="0020391C"/>
    <w:rsid w:val="00206DF5"/>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E08BB"/>
    <w:rsid w:val="002E1A29"/>
    <w:rsid w:val="002E39DA"/>
    <w:rsid w:val="002F0EA9"/>
    <w:rsid w:val="002F1879"/>
    <w:rsid w:val="002F18DE"/>
    <w:rsid w:val="002F3775"/>
    <w:rsid w:val="002F378F"/>
    <w:rsid w:val="002F434C"/>
    <w:rsid w:val="002F7332"/>
    <w:rsid w:val="002F79AF"/>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360F9"/>
    <w:rsid w:val="00340788"/>
    <w:rsid w:val="003429B6"/>
    <w:rsid w:val="003439BE"/>
    <w:rsid w:val="00344965"/>
    <w:rsid w:val="00345586"/>
    <w:rsid w:val="00346733"/>
    <w:rsid w:val="00346AA9"/>
    <w:rsid w:val="00346AE5"/>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6E74"/>
    <w:rsid w:val="0040717B"/>
    <w:rsid w:val="0040750A"/>
    <w:rsid w:val="004078BD"/>
    <w:rsid w:val="00410935"/>
    <w:rsid w:val="00410D38"/>
    <w:rsid w:val="0041103C"/>
    <w:rsid w:val="00411761"/>
    <w:rsid w:val="0041398D"/>
    <w:rsid w:val="00413A6E"/>
    <w:rsid w:val="00413DCF"/>
    <w:rsid w:val="0041445A"/>
    <w:rsid w:val="0041468C"/>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E0357"/>
    <w:rsid w:val="004E0F76"/>
    <w:rsid w:val="004E1DAE"/>
    <w:rsid w:val="004E210B"/>
    <w:rsid w:val="004E4BA3"/>
    <w:rsid w:val="004E62F4"/>
    <w:rsid w:val="004E646D"/>
    <w:rsid w:val="004E7310"/>
    <w:rsid w:val="004E7C83"/>
    <w:rsid w:val="004F0F26"/>
    <w:rsid w:val="004F1F1E"/>
    <w:rsid w:val="004F21AC"/>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1423"/>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A33"/>
    <w:rsid w:val="00612AEA"/>
    <w:rsid w:val="00612C6C"/>
    <w:rsid w:val="006136A6"/>
    <w:rsid w:val="00613994"/>
    <w:rsid w:val="00613B4F"/>
    <w:rsid w:val="0061654D"/>
    <w:rsid w:val="0061750F"/>
    <w:rsid w:val="00622B75"/>
    <w:rsid w:val="00625958"/>
    <w:rsid w:val="00631595"/>
    <w:rsid w:val="006341E8"/>
    <w:rsid w:val="00634CFC"/>
    <w:rsid w:val="0063519F"/>
    <w:rsid w:val="00635ECA"/>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4DF6"/>
    <w:rsid w:val="0067632B"/>
    <w:rsid w:val="00676435"/>
    <w:rsid w:val="00676523"/>
    <w:rsid w:val="00676727"/>
    <w:rsid w:val="00676EF9"/>
    <w:rsid w:val="00677719"/>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5C86"/>
    <w:rsid w:val="006C7749"/>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C15"/>
    <w:rsid w:val="0076568D"/>
    <w:rsid w:val="00766046"/>
    <w:rsid w:val="0076639E"/>
    <w:rsid w:val="00766510"/>
    <w:rsid w:val="0077339B"/>
    <w:rsid w:val="007736C0"/>
    <w:rsid w:val="00774BF3"/>
    <w:rsid w:val="00775A74"/>
    <w:rsid w:val="00776E2D"/>
    <w:rsid w:val="007779B6"/>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CF9"/>
    <w:rsid w:val="007A26AC"/>
    <w:rsid w:val="007A3D8D"/>
    <w:rsid w:val="007A3E2D"/>
    <w:rsid w:val="007A507A"/>
    <w:rsid w:val="007A509A"/>
    <w:rsid w:val="007A53C5"/>
    <w:rsid w:val="007A558E"/>
    <w:rsid w:val="007A69C8"/>
    <w:rsid w:val="007A7D84"/>
    <w:rsid w:val="007B01F8"/>
    <w:rsid w:val="007B02CB"/>
    <w:rsid w:val="007B090B"/>
    <w:rsid w:val="007B162C"/>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3FB"/>
    <w:rsid w:val="007F7D7A"/>
    <w:rsid w:val="008000C6"/>
    <w:rsid w:val="00800138"/>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604BA"/>
    <w:rsid w:val="0086126F"/>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40C"/>
    <w:rsid w:val="008D0E2B"/>
    <w:rsid w:val="008D2310"/>
    <w:rsid w:val="008D2E16"/>
    <w:rsid w:val="008D3B3E"/>
    <w:rsid w:val="008D3D9E"/>
    <w:rsid w:val="008D4920"/>
    <w:rsid w:val="008D53D2"/>
    <w:rsid w:val="008D573A"/>
    <w:rsid w:val="008D5D5C"/>
    <w:rsid w:val="008D6973"/>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345E"/>
    <w:rsid w:val="009370FE"/>
    <w:rsid w:val="00937498"/>
    <w:rsid w:val="00941E29"/>
    <w:rsid w:val="009427AE"/>
    <w:rsid w:val="00943AF9"/>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17E9"/>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14D0"/>
    <w:rsid w:val="009D3AA0"/>
    <w:rsid w:val="009D3B68"/>
    <w:rsid w:val="009D4249"/>
    <w:rsid w:val="009D4BFD"/>
    <w:rsid w:val="009D55F5"/>
    <w:rsid w:val="009D5D20"/>
    <w:rsid w:val="009E074F"/>
    <w:rsid w:val="009E0C0E"/>
    <w:rsid w:val="009E1F2B"/>
    <w:rsid w:val="009E3F4E"/>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A00A07"/>
    <w:rsid w:val="00A0635A"/>
    <w:rsid w:val="00A06939"/>
    <w:rsid w:val="00A06EE5"/>
    <w:rsid w:val="00A07B34"/>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37CFE"/>
    <w:rsid w:val="00A4048E"/>
    <w:rsid w:val="00A40575"/>
    <w:rsid w:val="00A42D4E"/>
    <w:rsid w:val="00A43511"/>
    <w:rsid w:val="00A444B1"/>
    <w:rsid w:val="00A44A41"/>
    <w:rsid w:val="00A46158"/>
    <w:rsid w:val="00A50D47"/>
    <w:rsid w:val="00A51A7F"/>
    <w:rsid w:val="00A54ED5"/>
    <w:rsid w:val="00A55A24"/>
    <w:rsid w:val="00A57665"/>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A7731"/>
    <w:rsid w:val="00AB0264"/>
    <w:rsid w:val="00AB2464"/>
    <w:rsid w:val="00AB3C29"/>
    <w:rsid w:val="00AB5229"/>
    <w:rsid w:val="00AB525C"/>
    <w:rsid w:val="00AB5D12"/>
    <w:rsid w:val="00AB6103"/>
    <w:rsid w:val="00AB6283"/>
    <w:rsid w:val="00AB7794"/>
    <w:rsid w:val="00AC03B4"/>
    <w:rsid w:val="00AC0752"/>
    <w:rsid w:val="00AC1347"/>
    <w:rsid w:val="00AC1EC3"/>
    <w:rsid w:val="00AC27D4"/>
    <w:rsid w:val="00AC33D2"/>
    <w:rsid w:val="00AC3B87"/>
    <w:rsid w:val="00AC3C0E"/>
    <w:rsid w:val="00AC4586"/>
    <w:rsid w:val="00AC51B8"/>
    <w:rsid w:val="00AC564B"/>
    <w:rsid w:val="00AC639A"/>
    <w:rsid w:val="00AC74CF"/>
    <w:rsid w:val="00AD0A2E"/>
    <w:rsid w:val="00AD28BB"/>
    <w:rsid w:val="00AD4824"/>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40C8B"/>
    <w:rsid w:val="00B41238"/>
    <w:rsid w:val="00B416F4"/>
    <w:rsid w:val="00B417B4"/>
    <w:rsid w:val="00B4281A"/>
    <w:rsid w:val="00B443EF"/>
    <w:rsid w:val="00B44667"/>
    <w:rsid w:val="00B45637"/>
    <w:rsid w:val="00B4667C"/>
    <w:rsid w:val="00B47358"/>
    <w:rsid w:val="00B50E51"/>
    <w:rsid w:val="00B50EF8"/>
    <w:rsid w:val="00B51AF6"/>
    <w:rsid w:val="00B5246F"/>
    <w:rsid w:val="00B524CD"/>
    <w:rsid w:val="00B579A1"/>
    <w:rsid w:val="00B61679"/>
    <w:rsid w:val="00B61AA7"/>
    <w:rsid w:val="00B61F76"/>
    <w:rsid w:val="00B6248B"/>
    <w:rsid w:val="00B62AFD"/>
    <w:rsid w:val="00B62B81"/>
    <w:rsid w:val="00B64798"/>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A2779"/>
    <w:rsid w:val="00BA4818"/>
    <w:rsid w:val="00BB09F0"/>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5872"/>
    <w:rsid w:val="00BF6C43"/>
    <w:rsid w:val="00C0057E"/>
    <w:rsid w:val="00C01FCF"/>
    <w:rsid w:val="00C02036"/>
    <w:rsid w:val="00C032FD"/>
    <w:rsid w:val="00C050EC"/>
    <w:rsid w:val="00C06B13"/>
    <w:rsid w:val="00C06EFA"/>
    <w:rsid w:val="00C10F02"/>
    <w:rsid w:val="00C11047"/>
    <w:rsid w:val="00C11FA9"/>
    <w:rsid w:val="00C13F54"/>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0"/>
    <w:rsid w:val="00C825D5"/>
    <w:rsid w:val="00C825FB"/>
    <w:rsid w:val="00C8662D"/>
    <w:rsid w:val="00C92B71"/>
    <w:rsid w:val="00C956D5"/>
    <w:rsid w:val="00C958E1"/>
    <w:rsid w:val="00C961CB"/>
    <w:rsid w:val="00CA002C"/>
    <w:rsid w:val="00CA01D6"/>
    <w:rsid w:val="00CA0C4D"/>
    <w:rsid w:val="00CA182B"/>
    <w:rsid w:val="00CA1917"/>
    <w:rsid w:val="00CA1CF7"/>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4CAD"/>
    <w:rsid w:val="00CD5021"/>
    <w:rsid w:val="00CD6DF1"/>
    <w:rsid w:val="00CE078B"/>
    <w:rsid w:val="00CE2177"/>
    <w:rsid w:val="00CE2B3D"/>
    <w:rsid w:val="00CE3C8B"/>
    <w:rsid w:val="00CE4500"/>
    <w:rsid w:val="00CE7EFD"/>
    <w:rsid w:val="00CF08B4"/>
    <w:rsid w:val="00CF0A4F"/>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706A"/>
    <w:rsid w:val="00DE7148"/>
    <w:rsid w:val="00DF0644"/>
    <w:rsid w:val="00DF2E30"/>
    <w:rsid w:val="00DF3878"/>
    <w:rsid w:val="00DF3E97"/>
    <w:rsid w:val="00DF5C4F"/>
    <w:rsid w:val="00DF6D3F"/>
    <w:rsid w:val="00DF7A95"/>
    <w:rsid w:val="00E00C01"/>
    <w:rsid w:val="00E01386"/>
    <w:rsid w:val="00E01E13"/>
    <w:rsid w:val="00E01F24"/>
    <w:rsid w:val="00E047A1"/>
    <w:rsid w:val="00E05479"/>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60462"/>
    <w:rsid w:val="00E606F9"/>
    <w:rsid w:val="00E60A85"/>
    <w:rsid w:val="00E62F12"/>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678E9"/>
    <w:rsid w:val="00F733D4"/>
    <w:rsid w:val="00F76537"/>
    <w:rsid w:val="00F76A92"/>
    <w:rsid w:val="00F76DC5"/>
    <w:rsid w:val="00F80AA8"/>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7"/>
      </w:numPr>
      <w:spacing w:before="360" w:after="240"/>
      <w:ind w:left="360"/>
      <w:outlineLvl w:val="0"/>
    </w:pPr>
    <w:rPr>
      <w:b/>
      <w:kern w:val="28"/>
      <w:sz w:val="24"/>
      <w:u w:val="single"/>
      <w:lang w:eastAsia="en-GB"/>
    </w:rPr>
  </w:style>
  <w:style w:type="paragraph" w:styleId="Heading2">
    <w:name w:val="heading 2"/>
    <w:aliases w:val="TSBTWO"/>
    <w:basedOn w:val="Normal"/>
    <w:next w:val="BlockText"/>
    <w:link w:val="Heading2Char"/>
    <w:uiPriority w:val="99"/>
    <w:qFormat/>
    <w:rsid w:val="00AC3C0E"/>
    <w:pPr>
      <w:keepNext/>
      <w:numPr>
        <w:numId w:val="45"/>
      </w:numPr>
      <w:spacing w:before="240"/>
      <w:jc w:val="both"/>
      <w:outlineLvl w:val="1"/>
    </w:pPr>
    <w:rPr>
      <w:b/>
      <w:color w:val="000000"/>
      <w:u w:val="single"/>
    </w:rPr>
  </w:style>
  <w:style w:type="paragraph" w:styleId="Heading3">
    <w:name w:val="heading 3"/>
    <w:aliases w:val="TSBTHREE"/>
    <w:basedOn w:val="Normal"/>
    <w:next w:val="Normal"/>
    <w:link w:val="Heading3Char"/>
    <w:uiPriority w:val="99"/>
    <w:qFormat/>
    <w:rsid w:val="009F5040"/>
    <w:pPr>
      <w:keepNext/>
      <w:numPr>
        <w:ilvl w:val="2"/>
        <w:numId w:val="3"/>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
    <w:name w:val="Heading 2 Char"/>
    <w:aliases w:val="TSBTWO Char"/>
    <w:basedOn w:val="DefaultParagraphFont"/>
    <w:link w:val="Heading2"/>
    <w:uiPriority w:val="99"/>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3"/>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5"/>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uiPriority w:val="99"/>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uiPriority w:val="99"/>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uiPriority w:val="99"/>
    <w:locked/>
    <w:rsid w:val="000A0FAC"/>
    <w:rPr>
      <w:rFonts w:ascii="Arial" w:hAnsi="Arial" w:cs="Arial"/>
      <w:color w:val="008000"/>
      <w:sz w:val="22"/>
      <w:lang w:val="en-US" w:eastAsia="en-US"/>
    </w:rPr>
  </w:style>
  <w:style w:type="character" w:customStyle="1" w:styleId="ActionsChar">
    <w:name w:val="Actions Char"/>
    <w:basedOn w:val="BlockTextCh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8"/>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9"/>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10"/>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7"/>
      </w:numPr>
      <w:spacing w:before="360" w:after="240"/>
      <w:ind w:left="360"/>
      <w:outlineLvl w:val="0"/>
    </w:pPr>
    <w:rPr>
      <w:b/>
      <w:kern w:val="28"/>
      <w:sz w:val="24"/>
      <w:u w:val="single"/>
      <w:lang w:eastAsia="en-GB"/>
    </w:rPr>
  </w:style>
  <w:style w:type="paragraph" w:styleId="Heading2">
    <w:name w:val="heading 2"/>
    <w:aliases w:val="TSBTWO"/>
    <w:basedOn w:val="Normal"/>
    <w:next w:val="BlockText"/>
    <w:link w:val="Heading2Char"/>
    <w:uiPriority w:val="99"/>
    <w:qFormat/>
    <w:rsid w:val="00AC3C0E"/>
    <w:pPr>
      <w:keepNext/>
      <w:numPr>
        <w:numId w:val="45"/>
      </w:numPr>
      <w:spacing w:before="240"/>
      <w:jc w:val="both"/>
      <w:outlineLvl w:val="1"/>
    </w:pPr>
    <w:rPr>
      <w:b/>
      <w:color w:val="000000"/>
      <w:u w:val="single"/>
    </w:rPr>
  </w:style>
  <w:style w:type="paragraph" w:styleId="Heading3">
    <w:name w:val="heading 3"/>
    <w:aliases w:val="TSBTHREE"/>
    <w:basedOn w:val="Normal"/>
    <w:next w:val="Normal"/>
    <w:link w:val="Heading3Char"/>
    <w:uiPriority w:val="99"/>
    <w:qFormat/>
    <w:rsid w:val="009F5040"/>
    <w:pPr>
      <w:keepNext/>
      <w:numPr>
        <w:ilvl w:val="2"/>
        <w:numId w:val="3"/>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
    <w:name w:val="Heading 2 Char"/>
    <w:aliases w:val="TSBTWO Char"/>
    <w:basedOn w:val="DefaultParagraphFont"/>
    <w:link w:val="Heading2"/>
    <w:uiPriority w:val="99"/>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3"/>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5"/>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uiPriority w:val="99"/>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uiPriority w:val="99"/>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uiPriority w:val="99"/>
    <w:locked/>
    <w:rsid w:val="000A0FAC"/>
    <w:rPr>
      <w:rFonts w:ascii="Arial" w:hAnsi="Arial" w:cs="Arial"/>
      <w:color w:val="008000"/>
      <w:sz w:val="22"/>
      <w:lang w:val="en-US" w:eastAsia="en-US"/>
    </w:rPr>
  </w:style>
  <w:style w:type="character" w:customStyle="1" w:styleId="ActionsChar">
    <w:name w:val="Actions Char"/>
    <w:basedOn w:val="BlockTextCh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8"/>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9"/>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10"/>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2003_Presentation1.ppt"/><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D905-FE28-4BB7-B36F-A8403AC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Pages>
  <Words>1190</Words>
  <Characters>6336</Characters>
  <Application>Microsoft Office Word</Application>
  <DocSecurity>0</DocSecurity>
  <Lines>52</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23</cp:revision>
  <cp:lastPrinted>2012-05-10T13:07:00Z</cp:lastPrinted>
  <dcterms:created xsi:type="dcterms:W3CDTF">2013-06-03T10:00:00Z</dcterms:created>
  <dcterms:modified xsi:type="dcterms:W3CDTF">2013-06-06T17:39:00Z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