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2" w:rsidRPr="007A69C8" w:rsidRDefault="007B162C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7791D3" wp14:editId="5222171B">
            <wp:simplePos x="0" y="0"/>
            <wp:positionH relativeFrom="column">
              <wp:posOffset>2546350</wp:posOffset>
            </wp:positionH>
            <wp:positionV relativeFrom="paragraph">
              <wp:posOffset>-152400</wp:posOffset>
            </wp:positionV>
            <wp:extent cx="3759200" cy="2819400"/>
            <wp:effectExtent l="0" t="0" r="0" b="0"/>
            <wp:wrapTopAndBottom/>
            <wp:docPr id="3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62">
        <w:rPr>
          <w:lang w:val="en-GB"/>
        </w:rPr>
        <w:tab/>
      </w: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A738EA">
      <w:pPr>
        <w:pStyle w:val="Header"/>
        <w:rPr>
          <w:lang w:val="en-GB"/>
        </w:rPr>
      </w:pPr>
      <w:r w:rsidRPr="007A69C8">
        <w:rPr>
          <w:lang w:val="en-GB"/>
        </w:rPr>
        <w:t xml:space="preserve">SMPG </w:t>
      </w:r>
      <w:r>
        <w:rPr>
          <w:lang w:val="en-GB"/>
        </w:rPr>
        <w:t>–</w:t>
      </w:r>
      <w:r w:rsidRPr="007A69C8">
        <w:rPr>
          <w:lang w:val="en-GB"/>
        </w:rPr>
        <w:t xml:space="preserve"> </w:t>
      </w:r>
      <w:r>
        <w:rPr>
          <w:lang w:val="en-GB"/>
        </w:rPr>
        <w:t>Tax sub-group</w:t>
      </w:r>
    </w:p>
    <w:p w:rsidR="00E60462" w:rsidRPr="007A69C8" w:rsidRDefault="00E60462" w:rsidP="00A738EA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E60462" w:rsidRPr="007A69C8" w:rsidRDefault="009D0213" w:rsidP="00A738EA">
      <w:pPr>
        <w:pStyle w:val="Header"/>
        <w:rPr>
          <w:lang w:val="en-GB"/>
        </w:rPr>
      </w:pPr>
      <w:r>
        <w:rPr>
          <w:lang w:val="en-GB"/>
        </w:rPr>
        <w:t>20</w:t>
      </w:r>
      <w:r w:rsidR="00E60462">
        <w:rPr>
          <w:lang w:val="en-GB"/>
        </w:rPr>
        <w:t xml:space="preserve">th </w:t>
      </w:r>
      <w:r>
        <w:rPr>
          <w:lang w:val="en-GB"/>
        </w:rPr>
        <w:t>June</w:t>
      </w:r>
      <w:r w:rsidR="00E60462">
        <w:rPr>
          <w:lang w:val="en-GB"/>
        </w:rPr>
        <w:t xml:space="preserve"> 2013</w:t>
      </w: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1C5BDD" w:rsidP="00592037">
      <w:pPr>
        <w:rPr>
          <w:lang w:val="en-GB"/>
        </w:rPr>
      </w:pPr>
      <w:r>
        <w:rPr>
          <w:lang w:val="en-GB"/>
        </w:rPr>
        <w:t xml:space="preserve">Publication: </w:t>
      </w:r>
      <w:r w:rsidR="00975E55">
        <w:rPr>
          <w:lang w:val="en-GB"/>
        </w:rPr>
        <w:t>September 17</w:t>
      </w:r>
      <w:r w:rsidR="00F678E9">
        <w:rPr>
          <w:lang w:val="en-GB"/>
        </w:rPr>
        <w:t>, 2103</w:t>
      </w:r>
    </w:p>
    <w:p w:rsidR="00E60462" w:rsidRDefault="00E60462" w:rsidP="00592037">
      <w:pPr>
        <w:pStyle w:val="Title1"/>
      </w:pPr>
      <w:bookmarkStart w:id="0" w:name="_Toc54501830"/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  <w:r>
        <w:t>Table of Contents</w:t>
      </w:r>
    </w:p>
    <w:p w:rsidR="00EB44CD" w:rsidRDefault="00E6046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6498841" w:history="1">
        <w:r w:rsidR="00EB44CD" w:rsidRPr="00710163">
          <w:rPr>
            <w:rStyle w:val="Hyperlink"/>
            <w:lang w:val="en-GB"/>
          </w:rPr>
          <w:t>1.</w:t>
        </w:r>
        <w:r w:rsidR="00EB44C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EB44CD" w:rsidRPr="00710163">
          <w:rPr>
            <w:rStyle w:val="Hyperlink"/>
          </w:rPr>
          <w:t>Tax Table</w:t>
        </w:r>
        <w:r w:rsidR="00EB44CD">
          <w:rPr>
            <w:webHidden/>
          </w:rPr>
          <w:tab/>
        </w:r>
        <w:r w:rsidR="00EB44CD">
          <w:rPr>
            <w:webHidden/>
          </w:rPr>
          <w:fldChar w:fldCharType="begin"/>
        </w:r>
        <w:r w:rsidR="00EB44CD">
          <w:rPr>
            <w:webHidden/>
          </w:rPr>
          <w:instrText xml:space="preserve"> PAGEREF _Toc366498841 \h </w:instrText>
        </w:r>
        <w:r w:rsidR="00EB44CD">
          <w:rPr>
            <w:webHidden/>
          </w:rPr>
        </w:r>
        <w:r w:rsidR="00EB44CD">
          <w:rPr>
            <w:webHidden/>
          </w:rPr>
          <w:fldChar w:fldCharType="separate"/>
        </w:r>
        <w:r w:rsidR="00EB44CD">
          <w:rPr>
            <w:webHidden/>
          </w:rPr>
          <w:t>2</w:t>
        </w:r>
        <w:r w:rsidR="00EB44CD">
          <w:rPr>
            <w:webHidden/>
          </w:rPr>
          <w:fldChar w:fldCharType="end"/>
        </w:r>
      </w:hyperlink>
    </w:p>
    <w:p w:rsidR="00EB44CD" w:rsidRDefault="00407B4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66498842" w:history="1">
        <w:r w:rsidR="00EB44CD" w:rsidRPr="00710163">
          <w:rPr>
            <w:rStyle w:val="Hyperlink"/>
            <w:lang w:val="en-GB"/>
          </w:rPr>
          <w:t>2.</w:t>
        </w:r>
        <w:r w:rsidR="00EB44C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EB44CD" w:rsidRPr="00710163">
          <w:rPr>
            <w:rStyle w:val="Hyperlink"/>
          </w:rPr>
          <w:t>Tax processing flow / certification process</w:t>
        </w:r>
        <w:r w:rsidR="00EB44CD">
          <w:rPr>
            <w:webHidden/>
          </w:rPr>
          <w:tab/>
        </w:r>
        <w:r w:rsidR="00EB44CD">
          <w:rPr>
            <w:webHidden/>
          </w:rPr>
          <w:fldChar w:fldCharType="begin"/>
        </w:r>
        <w:r w:rsidR="00EB44CD">
          <w:rPr>
            <w:webHidden/>
          </w:rPr>
          <w:instrText xml:space="preserve"> PAGEREF _Toc366498842 \h </w:instrText>
        </w:r>
        <w:r w:rsidR="00EB44CD">
          <w:rPr>
            <w:webHidden/>
          </w:rPr>
        </w:r>
        <w:r w:rsidR="00EB44CD">
          <w:rPr>
            <w:webHidden/>
          </w:rPr>
          <w:fldChar w:fldCharType="separate"/>
        </w:r>
        <w:r w:rsidR="00EB44CD">
          <w:rPr>
            <w:webHidden/>
          </w:rPr>
          <w:t>2</w:t>
        </w:r>
        <w:r w:rsidR="00EB44CD">
          <w:rPr>
            <w:webHidden/>
          </w:rPr>
          <w:fldChar w:fldCharType="end"/>
        </w:r>
      </w:hyperlink>
    </w:p>
    <w:p w:rsidR="00EB44CD" w:rsidRDefault="00407B4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66498843" w:history="1">
        <w:r w:rsidR="00EB44CD" w:rsidRPr="00710163">
          <w:rPr>
            <w:rStyle w:val="Hyperlink"/>
            <w:lang w:val="en-GB"/>
          </w:rPr>
          <w:t>3.</w:t>
        </w:r>
        <w:r w:rsidR="00EB44C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EB44CD" w:rsidRPr="00710163">
          <w:rPr>
            <w:rStyle w:val="Hyperlink"/>
          </w:rPr>
          <w:t>Other Items</w:t>
        </w:r>
        <w:r w:rsidR="00EB44CD">
          <w:rPr>
            <w:webHidden/>
          </w:rPr>
          <w:tab/>
        </w:r>
        <w:r w:rsidR="00EB44CD">
          <w:rPr>
            <w:webHidden/>
          </w:rPr>
          <w:fldChar w:fldCharType="begin"/>
        </w:r>
        <w:r w:rsidR="00EB44CD">
          <w:rPr>
            <w:webHidden/>
          </w:rPr>
          <w:instrText xml:space="preserve"> PAGEREF _Toc366498843 \h </w:instrText>
        </w:r>
        <w:r w:rsidR="00EB44CD">
          <w:rPr>
            <w:webHidden/>
          </w:rPr>
        </w:r>
        <w:r w:rsidR="00EB44CD">
          <w:rPr>
            <w:webHidden/>
          </w:rPr>
          <w:fldChar w:fldCharType="separate"/>
        </w:r>
        <w:r w:rsidR="00EB44CD">
          <w:rPr>
            <w:webHidden/>
          </w:rPr>
          <w:t>3</w:t>
        </w:r>
        <w:r w:rsidR="00EB44CD">
          <w:rPr>
            <w:webHidden/>
          </w:rPr>
          <w:fldChar w:fldCharType="end"/>
        </w:r>
      </w:hyperlink>
    </w:p>
    <w:p w:rsidR="00EB44CD" w:rsidRDefault="00407B4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66498844" w:history="1">
        <w:r w:rsidR="00EB44CD" w:rsidRPr="00710163">
          <w:rPr>
            <w:rStyle w:val="Hyperlink"/>
            <w:lang w:val="en-GB"/>
          </w:rPr>
          <w:t>4.</w:t>
        </w:r>
        <w:r w:rsidR="00EB44CD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EB44CD" w:rsidRPr="00710163">
          <w:rPr>
            <w:rStyle w:val="Hyperlink"/>
          </w:rPr>
          <w:t>Next Conference Calls</w:t>
        </w:r>
        <w:r w:rsidR="00EB44CD">
          <w:rPr>
            <w:webHidden/>
          </w:rPr>
          <w:tab/>
        </w:r>
        <w:r w:rsidR="00EB44CD">
          <w:rPr>
            <w:webHidden/>
          </w:rPr>
          <w:fldChar w:fldCharType="begin"/>
        </w:r>
        <w:r w:rsidR="00EB44CD">
          <w:rPr>
            <w:webHidden/>
          </w:rPr>
          <w:instrText xml:space="preserve"> PAGEREF _Toc366498844 \h </w:instrText>
        </w:r>
        <w:r w:rsidR="00EB44CD">
          <w:rPr>
            <w:webHidden/>
          </w:rPr>
        </w:r>
        <w:r w:rsidR="00EB44CD">
          <w:rPr>
            <w:webHidden/>
          </w:rPr>
          <w:fldChar w:fldCharType="separate"/>
        </w:r>
        <w:r w:rsidR="00EB44CD">
          <w:rPr>
            <w:webHidden/>
          </w:rPr>
          <w:t>3</w:t>
        </w:r>
        <w:r w:rsidR="00EB44CD">
          <w:rPr>
            <w:webHidden/>
          </w:rPr>
          <w:fldChar w:fldCharType="end"/>
        </w:r>
      </w:hyperlink>
    </w:p>
    <w:p w:rsidR="00E60462" w:rsidRDefault="00E60462">
      <w:r>
        <w:fldChar w:fldCharType="end"/>
      </w:r>
    </w:p>
    <w:p w:rsidR="00E60462" w:rsidRDefault="00E60462" w:rsidP="00F80FDA">
      <w:pPr>
        <w:rPr>
          <w:b/>
          <w:sz w:val="24"/>
          <w:szCs w:val="24"/>
          <w:u w:val="single"/>
          <w:lang w:eastAsia="en-GB"/>
        </w:rPr>
      </w:pPr>
      <w:bookmarkStart w:id="1" w:name="OLE_LINK1"/>
      <w:bookmarkStart w:id="2" w:name="OLE_LINK2"/>
      <w:r w:rsidRPr="00F80FDA">
        <w:rPr>
          <w:b/>
          <w:sz w:val="24"/>
          <w:szCs w:val="24"/>
          <w:u w:val="single"/>
          <w:lang w:eastAsia="en-GB"/>
        </w:rPr>
        <w:t>Attendees</w:t>
      </w:r>
      <w:bookmarkEnd w:id="0"/>
    </w:p>
    <w:p w:rsidR="009A03A5" w:rsidRPr="00F80FDA" w:rsidRDefault="009A03A5" w:rsidP="00F80FDA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83"/>
        <w:gridCol w:w="987"/>
        <w:gridCol w:w="630"/>
        <w:gridCol w:w="1260"/>
        <w:gridCol w:w="1373"/>
        <w:gridCol w:w="2041"/>
        <w:gridCol w:w="1428"/>
      </w:tblGrid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03A5" w:rsidRPr="009A03A5" w:rsidRDefault="009A03A5" w:rsidP="009A03A5">
            <w:pPr>
              <w:jc w:val="center"/>
              <w:rPr>
                <w:b/>
              </w:rPr>
            </w:pPr>
            <w:bookmarkStart w:id="3" w:name="OLE_LINK5"/>
            <w:bookmarkStart w:id="4" w:name="OLE_LINK8"/>
            <w:bookmarkEnd w:id="1"/>
            <w:bookmarkEnd w:id="2"/>
          </w:p>
        </w:tc>
        <w:tc>
          <w:tcPr>
            <w:tcW w:w="987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  <w:r w:rsidRPr="009A03A5">
              <w:rPr>
                <w:b/>
              </w:rPr>
              <w:t>Country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  <w:r w:rsidRPr="009A03A5">
              <w:rPr>
                <w:b/>
              </w:rPr>
              <w:t>First Name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  <w:r w:rsidRPr="009A03A5">
              <w:rPr>
                <w:b/>
              </w:rPr>
              <w:t>Last Name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  <w:r w:rsidRPr="009A03A5">
              <w:rPr>
                <w:b/>
              </w:rPr>
              <w:t>Institution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9A03A5" w:rsidRPr="009A03A5" w:rsidRDefault="009A03A5" w:rsidP="00975E55">
            <w:pPr>
              <w:spacing w:before="120"/>
              <w:jc w:val="center"/>
              <w:rPr>
                <w:b/>
              </w:rPr>
            </w:pPr>
            <w:r w:rsidRPr="009A03A5">
              <w:rPr>
                <w:b/>
              </w:rPr>
              <w:t>Participation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BE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Ms.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Véronique</w:t>
            </w:r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Peeters</w:t>
            </w:r>
            <w:bookmarkStart w:id="5" w:name="_GoBack"/>
            <w:bookmarkEnd w:id="5"/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BNY Mellon</w:t>
            </w:r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Facilitator</w:t>
            </w: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n/a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Mr.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Jacques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Littré</w:t>
            </w:r>
            <w:proofErr w:type="spellEnd"/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SWIFT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CH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Mr.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Reto</w:t>
            </w:r>
            <w:proofErr w:type="spellEnd"/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Baumgartner</w:t>
            </w:r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Credit Suisse</w:t>
            </w:r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75E5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DE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Daniel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Schaefer</w:t>
            </w:r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HSBC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FR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 xml:space="preserve">Mrs. 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Kimchi</w:t>
            </w:r>
            <w:proofErr w:type="spellEnd"/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Phungtran</w:t>
            </w:r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BNP Paribas</w:t>
            </w:r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Co-chair</w:t>
            </w: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FR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Jean-Pierre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Klak</w:t>
            </w:r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State Street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75E5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IT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Mrs</w:t>
            </w:r>
            <w:proofErr w:type="spellEnd"/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Paola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Deantoni</w:t>
            </w:r>
            <w:proofErr w:type="spellEnd"/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Societe</w:t>
            </w:r>
            <w:proofErr w:type="spellEnd"/>
            <w:r w:rsidRPr="00200B8B">
              <w:t xml:space="preserve"> </w:t>
            </w:r>
            <w:proofErr w:type="spellStart"/>
            <w:r w:rsidRPr="00200B8B">
              <w:t>Generale</w:t>
            </w:r>
            <w:proofErr w:type="spellEnd"/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75E5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LU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Mr.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Bernard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Lenelle</w:t>
            </w:r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Clearstream</w:t>
            </w:r>
            <w:proofErr w:type="spellEnd"/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LU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Mr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Charles</w:t>
            </w:r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Boniver</w:t>
            </w:r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RBC IS</w:t>
            </w:r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Co-chair</w:t>
            </w: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SG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Mr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Jyi</w:t>
            </w:r>
            <w:proofErr w:type="spellEnd"/>
            <w:r w:rsidRPr="00975E55">
              <w:rPr>
                <w:color w:val="BFBFBF" w:themeColor="background1" w:themeShade="BF"/>
              </w:rPr>
              <w:t>-Chen</w:t>
            </w:r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Chueh</w:t>
            </w:r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Standard Chartered</w:t>
            </w:r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UK &amp; IE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Mrs.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Mariangela</w:t>
            </w:r>
            <w:proofErr w:type="spellEnd"/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Fumagalli</w:t>
            </w:r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BNP Paribas</w:t>
            </w:r>
          </w:p>
        </w:tc>
        <w:tc>
          <w:tcPr>
            <w:tcW w:w="1428" w:type="dxa"/>
          </w:tcPr>
          <w:p w:rsidR="009A03A5" w:rsidRPr="00975E55" w:rsidRDefault="00975E5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75E5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US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Mrs.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Sonda</w:t>
            </w:r>
            <w:proofErr w:type="spellEnd"/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Pimental</w:t>
            </w:r>
            <w:proofErr w:type="spellEnd"/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BBH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XS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Mrs</w:t>
            </w:r>
            <w:proofErr w:type="spellEnd"/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Delphine</w:t>
            </w:r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Haillez</w:t>
            </w:r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Euroclear</w:t>
            </w:r>
            <w:proofErr w:type="spellEnd"/>
          </w:p>
        </w:tc>
        <w:tc>
          <w:tcPr>
            <w:tcW w:w="1428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ZA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Mr.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Sanjeev</w:t>
            </w:r>
            <w:proofErr w:type="spellEnd"/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proofErr w:type="spellStart"/>
            <w:r w:rsidRPr="00200B8B">
              <w:t>Jayram</w:t>
            </w:r>
            <w:proofErr w:type="spellEnd"/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First National Bank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P</w:t>
            </w:r>
          </w:p>
        </w:tc>
      </w:tr>
      <w:tr w:rsidR="009A03A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ZA</w:t>
            </w:r>
          </w:p>
        </w:tc>
        <w:tc>
          <w:tcPr>
            <w:tcW w:w="63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Mr</w:t>
            </w:r>
          </w:p>
        </w:tc>
        <w:tc>
          <w:tcPr>
            <w:tcW w:w="1260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Dale</w:t>
            </w:r>
          </w:p>
        </w:tc>
        <w:tc>
          <w:tcPr>
            <w:tcW w:w="1373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Van Rayne</w:t>
            </w:r>
          </w:p>
        </w:tc>
        <w:tc>
          <w:tcPr>
            <w:tcW w:w="2041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>First National Bank</w:t>
            </w:r>
          </w:p>
        </w:tc>
        <w:tc>
          <w:tcPr>
            <w:tcW w:w="1428" w:type="dxa"/>
            <w:shd w:val="clear" w:color="auto" w:fill="92D050"/>
          </w:tcPr>
          <w:p w:rsidR="009A03A5" w:rsidRPr="00200B8B" w:rsidRDefault="009A03A5" w:rsidP="009A03A5">
            <w:pPr>
              <w:spacing w:beforeLines="20" w:before="48" w:afterLines="20" w:after="48"/>
            </w:pPr>
            <w:r w:rsidRPr="00200B8B">
              <w:t xml:space="preserve"> </w:t>
            </w:r>
          </w:p>
        </w:tc>
      </w:tr>
      <w:tr w:rsidR="00B63CC5" w:rsidTr="009A03A5"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A03A5" w:rsidRPr="00200B8B" w:rsidRDefault="009A03A5" w:rsidP="009A03A5">
            <w:pPr>
              <w:spacing w:beforeLines="20" w:before="48" w:afterLines="20" w:after="48"/>
            </w:pPr>
          </w:p>
        </w:tc>
        <w:tc>
          <w:tcPr>
            <w:tcW w:w="987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ZA</w:t>
            </w:r>
          </w:p>
        </w:tc>
        <w:tc>
          <w:tcPr>
            <w:tcW w:w="63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Mr</w:t>
            </w:r>
          </w:p>
        </w:tc>
        <w:tc>
          <w:tcPr>
            <w:tcW w:w="1260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Yusuf</w:t>
            </w:r>
          </w:p>
        </w:tc>
        <w:tc>
          <w:tcPr>
            <w:tcW w:w="1373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proofErr w:type="spellStart"/>
            <w:r w:rsidRPr="00975E55">
              <w:rPr>
                <w:color w:val="BFBFBF" w:themeColor="background1" w:themeShade="BF"/>
              </w:rPr>
              <w:t>Basha</w:t>
            </w:r>
            <w:proofErr w:type="spellEnd"/>
          </w:p>
        </w:tc>
        <w:tc>
          <w:tcPr>
            <w:tcW w:w="2041" w:type="dxa"/>
          </w:tcPr>
          <w:p w:rsidR="009A03A5" w:rsidRPr="00975E55" w:rsidRDefault="009A03A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First National Bank</w:t>
            </w:r>
          </w:p>
        </w:tc>
        <w:tc>
          <w:tcPr>
            <w:tcW w:w="1428" w:type="dxa"/>
          </w:tcPr>
          <w:p w:rsidR="009A03A5" w:rsidRPr="00975E55" w:rsidRDefault="00975E55" w:rsidP="009A03A5">
            <w:pPr>
              <w:spacing w:beforeLines="20" w:before="48" w:afterLines="20" w:after="48"/>
              <w:rPr>
                <w:color w:val="BFBFBF" w:themeColor="background1" w:themeShade="BF"/>
              </w:rPr>
            </w:pPr>
            <w:r w:rsidRPr="00975E55">
              <w:rPr>
                <w:color w:val="BFBFBF" w:themeColor="background1" w:themeShade="BF"/>
              </w:rPr>
              <w:t>Excused</w:t>
            </w:r>
          </w:p>
        </w:tc>
      </w:tr>
    </w:tbl>
    <w:p w:rsidR="00110DA4" w:rsidRDefault="00110DA4" w:rsidP="00110DA4">
      <w:pPr>
        <w:pStyle w:val="Heading1"/>
      </w:pPr>
      <w:bookmarkStart w:id="6" w:name="_Toc366498841"/>
      <w:r>
        <w:t>Tax Table</w:t>
      </w:r>
      <w:bookmarkEnd w:id="6"/>
    </w:p>
    <w:p w:rsidR="008067B2" w:rsidRDefault="00167719" w:rsidP="00110DA4">
      <w:pPr>
        <w:rPr>
          <w:vertAlign w:val="superscript"/>
        </w:rPr>
      </w:pPr>
      <w:r>
        <w:rPr>
          <w:vertAlign w:val="superscript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02.75pt;height:66pt" o:ole="">
            <v:imagedata r:id="rId10" o:title=""/>
          </v:shape>
          <o:OLEObject Type="Embed" ProgID="Excel.Sheet.12" ShapeID="_x0000_i1065" DrawAspect="Icon" ObjectID="_1440925232" r:id="rId11"/>
        </w:object>
      </w:r>
    </w:p>
    <w:p w:rsidR="008067B2" w:rsidRDefault="008067B2" w:rsidP="00110DA4">
      <w:pPr>
        <w:rPr>
          <w:lang w:eastAsia="en-GB"/>
        </w:rPr>
      </w:pPr>
      <w:r>
        <w:rPr>
          <w:lang w:eastAsia="en-GB"/>
        </w:rPr>
        <w:t xml:space="preserve">Asian countries: </w:t>
      </w:r>
      <w:r w:rsidR="00BA1E3E">
        <w:rPr>
          <w:lang w:eastAsia="en-GB"/>
        </w:rPr>
        <w:t>the materials have been distributed but the meeting at APAC will be held on July 8</w:t>
      </w:r>
      <w:r w:rsidR="00BA1E3E" w:rsidRPr="00BA1E3E">
        <w:rPr>
          <w:vertAlign w:val="superscript"/>
          <w:lang w:eastAsia="en-GB"/>
        </w:rPr>
        <w:t>th</w:t>
      </w:r>
      <w:r w:rsidR="00BA1E3E">
        <w:rPr>
          <w:lang w:eastAsia="en-GB"/>
        </w:rPr>
        <w:t xml:space="preserve"> only.</w:t>
      </w:r>
      <w:r w:rsidR="00BA1E3E">
        <w:rPr>
          <w:lang w:eastAsia="en-GB"/>
        </w:rPr>
        <w:br/>
      </w:r>
      <w:r>
        <w:rPr>
          <w:lang w:eastAsia="en-GB"/>
        </w:rPr>
        <w:t xml:space="preserve">CH: </w:t>
      </w:r>
      <w:r w:rsidR="00BA1E3E">
        <w:rPr>
          <w:lang w:eastAsia="en-GB"/>
        </w:rPr>
        <w:t>table sent by Reto</w:t>
      </w:r>
      <w:r w:rsidR="00BA1E3E">
        <w:rPr>
          <w:lang w:eastAsia="en-GB"/>
        </w:rPr>
        <w:br/>
      </w:r>
      <w:proofErr w:type="gramStart"/>
      <w:r w:rsidR="00BA1E3E">
        <w:rPr>
          <w:lang w:eastAsia="en-GB"/>
        </w:rPr>
        <w:t>DE :</w:t>
      </w:r>
      <w:proofErr w:type="gramEnd"/>
      <w:r w:rsidR="00BA1E3E">
        <w:rPr>
          <w:lang w:eastAsia="en-GB"/>
        </w:rPr>
        <w:t xml:space="preserve"> table sent by Daniel</w:t>
      </w:r>
      <w:r>
        <w:rPr>
          <w:lang w:eastAsia="en-GB"/>
        </w:rPr>
        <w:t>.</w:t>
      </w:r>
    </w:p>
    <w:p w:rsidR="00DE7148" w:rsidRDefault="00DE7148" w:rsidP="00110DA4">
      <w:pPr>
        <w:rPr>
          <w:lang w:eastAsia="en-GB"/>
        </w:rPr>
      </w:pPr>
      <w:r>
        <w:rPr>
          <w:lang w:eastAsia="en-GB"/>
        </w:rPr>
        <w:t>UK: will revert on when they could provide feedback given that the task to collect that information from users can be huge.</w:t>
      </w:r>
    </w:p>
    <w:p w:rsidR="00DE7148" w:rsidRDefault="00DE7148" w:rsidP="00110DA4">
      <w:pPr>
        <w:rPr>
          <w:lang w:eastAsia="en-GB"/>
        </w:rPr>
      </w:pPr>
      <w:r>
        <w:rPr>
          <w:lang w:eastAsia="en-GB"/>
        </w:rPr>
        <w:t>LU: will provide mainly a cross border view of the tax rates usage.</w:t>
      </w:r>
    </w:p>
    <w:p w:rsidR="00511438" w:rsidRDefault="00511438" w:rsidP="00110DA4">
      <w:pPr>
        <w:rPr>
          <w:lang w:eastAsia="en-GB"/>
        </w:rPr>
      </w:pPr>
      <w:r>
        <w:rPr>
          <w:lang w:eastAsia="en-GB"/>
        </w:rPr>
        <w:lastRenderedPageBreak/>
        <w:t>The group discuss on how to progress on this Tax table. One proposal is to share analysis between the ‘simple events’ and ‘complex events’.</w:t>
      </w:r>
      <w:r w:rsidR="000215E8">
        <w:rPr>
          <w:lang w:eastAsia="en-GB"/>
        </w:rPr>
        <w:br/>
      </w:r>
      <w:r w:rsidR="00FB7D07">
        <w:rPr>
          <w:lang w:eastAsia="en-GB"/>
        </w:rPr>
        <w:t>More precisely and i</w:t>
      </w:r>
      <w:r w:rsidR="000215E8">
        <w:rPr>
          <w:lang w:eastAsia="en-GB"/>
        </w:rPr>
        <w:t xml:space="preserve">n addition to that, </w:t>
      </w:r>
      <w:r w:rsidR="00FB7D07">
        <w:rPr>
          <w:lang w:eastAsia="en-GB"/>
        </w:rPr>
        <w:t xml:space="preserve">what should we do with events such as Stock Dividends, Dutch </w:t>
      </w:r>
      <w:proofErr w:type="gramStart"/>
      <w:r w:rsidR="00FB7D07">
        <w:rPr>
          <w:lang w:eastAsia="en-GB"/>
        </w:rPr>
        <w:t>Auction</w:t>
      </w:r>
      <w:proofErr w:type="gramEnd"/>
      <w:r w:rsidR="00FB7D07">
        <w:rPr>
          <w:lang w:eastAsia="en-GB"/>
        </w:rPr>
        <w:t>?</w:t>
      </w:r>
    </w:p>
    <w:p w:rsidR="00511438" w:rsidRDefault="00511438" w:rsidP="00110DA4">
      <w:pPr>
        <w:rPr>
          <w:lang w:eastAsia="en-GB"/>
        </w:rPr>
      </w:pPr>
      <w:r>
        <w:rPr>
          <w:lang w:eastAsia="en-GB"/>
        </w:rPr>
        <w:t>Jacques</w:t>
      </w:r>
      <w:r w:rsidR="008C25D8">
        <w:rPr>
          <w:lang w:eastAsia="en-GB"/>
        </w:rPr>
        <w:t xml:space="preserve"> will investigate</w:t>
      </w:r>
      <w:r>
        <w:rPr>
          <w:lang w:eastAsia="en-GB"/>
        </w:rPr>
        <w:t xml:space="preserve"> if SWIFT is able to </w:t>
      </w:r>
      <w:proofErr w:type="gramStart"/>
      <w:r w:rsidR="008C25D8">
        <w:rPr>
          <w:lang w:eastAsia="en-GB"/>
        </w:rPr>
        <w:t>capture</w:t>
      </w:r>
      <w:r w:rsidR="008C25D8">
        <w:rPr>
          <w:lang w:eastAsia="en-GB"/>
        </w:rPr>
        <w:t xml:space="preserve"> </w:t>
      </w:r>
      <w:r>
        <w:rPr>
          <w:lang w:eastAsia="en-GB"/>
        </w:rPr>
        <w:t xml:space="preserve"> </w:t>
      </w:r>
      <w:r w:rsidR="008C25D8">
        <w:rPr>
          <w:lang w:eastAsia="en-GB"/>
        </w:rPr>
        <w:t>more</w:t>
      </w:r>
      <w:proofErr w:type="gramEnd"/>
      <w:r w:rsidR="008C25D8">
        <w:rPr>
          <w:lang w:eastAsia="en-GB"/>
        </w:rPr>
        <w:t xml:space="preserve"> recent traffic data</w:t>
      </w:r>
      <w:r>
        <w:rPr>
          <w:lang w:eastAsia="en-GB"/>
        </w:rPr>
        <w:t xml:space="preserve">. This request </w:t>
      </w:r>
      <w:r w:rsidR="008C25D8">
        <w:rPr>
          <w:lang w:eastAsia="en-GB"/>
        </w:rPr>
        <w:t>to capture traffic data should</w:t>
      </w:r>
      <w:r>
        <w:rPr>
          <w:lang w:eastAsia="en-GB"/>
        </w:rPr>
        <w:t xml:space="preserve"> </w:t>
      </w:r>
      <w:proofErr w:type="gramStart"/>
      <w:r>
        <w:rPr>
          <w:lang w:eastAsia="en-GB"/>
        </w:rPr>
        <w:t>first  be</w:t>
      </w:r>
      <w:proofErr w:type="gramEnd"/>
      <w:r>
        <w:rPr>
          <w:lang w:eastAsia="en-GB"/>
        </w:rPr>
        <w:t xml:space="preserve"> validated by the board</w:t>
      </w:r>
      <w:r w:rsidR="008C25D8">
        <w:rPr>
          <w:lang w:eastAsia="en-GB"/>
        </w:rPr>
        <w:t xml:space="preserve"> in any cases</w:t>
      </w:r>
      <w:r w:rsidR="00871AC5">
        <w:rPr>
          <w:lang w:eastAsia="en-GB"/>
        </w:rPr>
        <w:t xml:space="preserve">. </w:t>
      </w:r>
      <w:r w:rsidR="008C25D8">
        <w:rPr>
          <w:lang w:eastAsia="en-GB"/>
        </w:rPr>
        <w:t>However</w:t>
      </w:r>
      <w:r w:rsidR="00A6230D">
        <w:rPr>
          <w:lang w:eastAsia="en-GB"/>
        </w:rPr>
        <w:t xml:space="preserve"> </w:t>
      </w:r>
      <w:r w:rsidR="008C25D8">
        <w:rPr>
          <w:lang w:eastAsia="en-GB"/>
        </w:rPr>
        <w:t xml:space="preserve">we need to know also </w:t>
      </w:r>
      <w:r w:rsidR="00A6230D">
        <w:rPr>
          <w:lang w:eastAsia="en-GB"/>
        </w:rPr>
        <w:t xml:space="preserve">what </w:t>
      </w:r>
      <w:r w:rsidR="008C25D8">
        <w:rPr>
          <w:lang w:eastAsia="en-GB"/>
        </w:rPr>
        <w:t>are</w:t>
      </w:r>
      <w:r w:rsidR="00A6230D">
        <w:rPr>
          <w:lang w:eastAsia="en-GB"/>
        </w:rPr>
        <w:t xml:space="preserve"> the exact need</w:t>
      </w:r>
      <w:r w:rsidR="008C25D8">
        <w:rPr>
          <w:lang w:eastAsia="en-GB"/>
        </w:rPr>
        <w:t>s</w:t>
      </w:r>
      <w:r w:rsidR="00A6230D">
        <w:rPr>
          <w:lang w:eastAsia="en-GB"/>
        </w:rPr>
        <w:t xml:space="preserve"> of the Tax sub-group </w:t>
      </w:r>
      <w:r w:rsidR="008C25D8">
        <w:rPr>
          <w:lang w:eastAsia="en-GB"/>
        </w:rPr>
        <w:t>(i.e. possibility to have correlation with event types etc…</w:t>
      </w:r>
      <w:proofErr w:type="gramStart"/>
      <w:r w:rsidR="008C25D8">
        <w:rPr>
          <w:lang w:eastAsia="en-GB"/>
        </w:rPr>
        <w:t xml:space="preserve">) </w:t>
      </w:r>
      <w:r w:rsidR="00A6230D">
        <w:rPr>
          <w:lang w:eastAsia="en-GB"/>
        </w:rPr>
        <w:t>?</w:t>
      </w:r>
      <w:proofErr w:type="gramEnd"/>
    </w:p>
    <w:p w:rsidR="00DE7148" w:rsidRDefault="00110DA4" w:rsidP="00110DA4">
      <w:pPr>
        <w:pStyle w:val="Actions"/>
        <w:jc w:val="left"/>
      </w:pPr>
      <w:r w:rsidRPr="00597C9E">
        <w:rPr>
          <w:b/>
          <w:u w:val="single"/>
        </w:rPr>
        <w:t>Action</w:t>
      </w:r>
      <w:r w:rsidR="00DE7148">
        <w:rPr>
          <w:b/>
          <w:u w:val="single"/>
        </w:rPr>
        <w:t>s</w:t>
      </w:r>
      <w:r>
        <w:t xml:space="preserve">: </w:t>
      </w:r>
    </w:p>
    <w:p w:rsidR="00110DA4" w:rsidRDefault="00DE7148" w:rsidP="00EB44CD">
      <w:pPr>
        <w:pStyle w:val="Actions"/>
        <w:numPr>
          <w:ilvl w:val="0"/>
          <w:numId w:val="8"/>
        </w:numPr>
        <w:jc w:val="left"/>
      </w:pPr>
      <w:r>
        <w:t xml:space="preserve">For next call, </w:t>
      </w:r>
      <w:r w:rsidR="00726876" w:rsidRPr="00726876">
        <w:rPr>
          <w:u w:val="single"/>
        </w:rPr>
        <w:t>NMPGs</w:t>
      </w:r>
      <w:r w:rsidR="00110DA4">
        <w:t xml:space="preserve"> </w:t>
      </w:r>
      <w:r w:rsidR="00A6230D">
        <w:t xml:space="preserve">that has not yet responded </w:t>
      </w:r>
      <w:r w:rsidR="00110DA4">
        <w:t xml:space="preserve">to provide their feedback for each code with a status ‘Used’ / ‘Not used’ locally. Each participant is required to give only a national view and not a global custodian point of view (involved in several countries). </w:t>
      </w:r>
    </w:p>
    <w:p w:rsidR="00DE7148" w:rsidRDefault="00A6230D" w:rsidP="00EB44CD">
      <w:pPr>
        <w:pStyle w:val="Actions"/>
        <w:numPr>
          <w:ilvl w:val="0"/>
          <w:numId w:val="8"/>
        </w:numPr>
        <w:jc w:val="left"/>
      </w:pPr>
      <w:r>
        <w:t xml:space="preserve">Tax sub-group to clarify the request that </w:t>
      </w:r>
      <w:r w:rsidR="00DE7148">
        <w:t xml:space="preserve">Jacques </w:t>
      </w:r>
      <w:r>
        <w:t xml:space="preserve">will propose </w:t>
      </w:r>
      <w:r w:rsidR="00DE7148">
        <w:t xml:space="preserve">to ask if SWIFT is </w:t>
      </w:r>
      <w:r w:rsidR="0024755B">
        <w:t>planning again to collect traffic data on tax elements on a regular basis.</w:t>
      </w:r>
    </w:p>
    <w:p w:rsidR="00E60462" w:rsidRDefault="00E60462" w:rsidP="00B7661F">
      <w:pPr>
        <w:pStyle w:val="Heading1"/>
      </w:pPr>
      <w:bookmarkStart w:id="7" w:name="_Toc366498842"/>
      <w:r>
        <w:t>Tax processing flow / certification process</w:t>
      </w:r>
      <w:bookmarkEnd w:id="7"/>
    </w:p>
    <w:p w:rsidR="007A0BFD" w:rsidRPr="007A0BFD" w:rsidRDefault="007A0BFD" w:rsidP="007A0BFD">
      <w:pPr>
        <w:rPr>
          <w:lang w:eastAsia="en-GB"/>
        </w:rPr>
      </w:pPr>
      <w:r>
        <w:rPr>
          <w:lang w:eastAsia="en-GB"/>
        </w:rPr>
        <w:t>See updated flow chart attached below:</w:t>
      </w:r>
    </w:p>
    <w:p w:rsidR="00E60462" w:rsidRDefault="003519A2" w:rsidP="00F8542D">
      <w:pPr>
        <w:pStyle w:val="ListParagraph"/>
        <w:ind w:left="0"/>
        <w:rPr>
          <w:sz w:val="20"/>
        </w:rPr>
      </w:pPr>
      <w:r>
        <w:object w:dxaOrig="1531" w:dyaOrig="990">
          <v:shape id="_x0000_i1071" type="#_x0000_t75" style="width:76.5pt;height:49.5pt" o:ole="">
            <v:imagedata r:id="rId12" o:title=""/>
          </v:shape>
          <o:OLEObject Type="Embed" ProgID="PowerPoint.Show.8" ShapeID="_x0000_i1071" DrawAspect="Icon" ObjectID="_1440925233" r:id="rId13"/>
        </w:object>
      </w:r>
      <w:bookmarkStart w:id="8" w:name="_MON_1431939058"/>
      <w:bookmarkEnd w:id="8"/>
      <w:r w:rsidR="000215E8">
        <w:object w:dxaOrig="1551" w:dyaOrig="991">
          <v:shape id="_x0000_i1061" type="#_x0000_t75" style="width:77.25pt;height:49.5pt" o:ole="">
            <v:imagedata r:id="rId14" o:title=""/>
          </v:shape>
          <o:OLEObject Type="Embed" ProgID="Word.Document.12" ShapeID="_x0000_i1061" DrawAspect="Icon" ObjectID="_1440925234" r:id="rId15">
            <o:FieldCodes>\s</o:FieldCodes>
          </o:OLEObject>
        </w:object>
      </w:r>
    </w:p>
    <w:p w:rsidR="00D87972" w:rsidRDefault="003519A2" w:rsidP="00D87972">
      <w:r>
        <w:t xml:space="preserve">The group discussed </w:t>
      </w:r>
      <w:r w:rsidR="00871AC5">
        <w:t xml:space="preserve">the </w:t>
      </w:r>
      <w:r w:rsidR="009E0C0E">
        <w:t xml:space="preserve">4 following </w:t>
      </w:r>
      <w:r w:rsidR="007A0BFD" w:rsidRPr="007A0BFD">
        <w:rPr>
          <w:u w:val="single"/>
        </w:rPr>
        <w:t>priorities</w:t>
      </w:r>
      <w:r w:rsidR="009E0C0E">
        <w:t xml:space="preserve"> </w:t>
      </w:r>
      <w:r w:rsidR="007A0BFD">
        <w:t>on the</w:t>
      </w:r>
      <w:r w:rsidR="009E0C0E">
        <w:t xml:space="preserve"> flow</w:t>
      </w:r>
      <w:r w:rsidR="007A0BFD">
        <w:t xml:space="preserve"> (highlighted in yellow)</w:t>
      </w:r>
      <w:r w:rsidR="00307EA7">
        <w:t>:</w:t>
      </w:r>
    </w:p>
    <w:p w:rsidR="00307EA7" w:rsidRPr="00A63DF2" w:rsidRDefault="00A63DF2" w:rsidP="00EB44CD">
      <w:pPr>
        <w:pStyle w:val="ListParagraph"/>
        <w:numPr>
          <w:ilvl w:val="0"/>
          <w:numId w:val="12"/>
        </w:numPr>
        <w:rPr>
          <w:sz w:val="20"/>
        </w:rPr>
      </w:pPr>
      <w:r w:rsidRPr="00A63DF2">
        <w:rPr>
          <w:sz w:val="20"/>
        </w:rPr>
        <w:t>Account set-up</w:t>
      </w:r>
    </w:p>
    <w:p w:rsidR="00A63DF2" w:rsidRPr="00A63DF2" w:rsidRDefault="00A63DF2" w:rsidP="00EB44CD">
      <w:pPr>
        <w:pStyle w:val="ListParagraph"/>
        <w:numPr>
          <w:ilvl w:val="0"/>
          <w:numId w:val="12"/>
        </w:numPr>
        <w:rPr>
          <w:sz w:val="20"/>
        </w:rPr>
      </w:pPr>
      <w:r w:rsidRPr="00A63DF2">
        <w:rPr>
          <w:sz w:val="20"/>
        </w:rPr>
        <w:t>Certification and instruction</w:t>
      </w:r>
    </w:p>
    <w:p w:rsidR="00A63DF2" w:rsidRPr="009E0C0E" w:rsidRDefault="00A63DF2" w:rsidP="00EB44CD">
      <w:pPr>
        <w:pStyle w:val="ListParagraph"/>
        <w:numPr>
          <w:ilvl w:val="0"/>
          <w:numId w:val="12"/>
        </w:numPr>
        <w:rPr>
          <w:sz w:val="20"/>
          <w:lang w:val="en-US"/>
        </w:rPr>
      </w:pPr>
      <w:r w:rsidRPr="00A63DF2">
        <w:rPr>
          <w:sz w:val="20"/>
        </w:rPr>
        <w:t>Tax repayment / claim</w:t>
      </w:r>
    </w:p>
    <w:p w:rsidR="009E0C0E" w:rsidRPr="004A6917" w:rsidRDefault="009E0C0E" w:rsidP="00EB44CD">
      <w:pPr>
        <w:pStyle w:val="ListParagraph"/>
        <w:numPr>
          <w:ilvl w:val="0"/>
          <w:numId w:val="12"/>
        </w:numPr>
        <w:rPr>
          <w:sz w:val="20"/>
          <w:lang w:val="en-US"/>
        </w:rPr>
      </w:pPr>
      <w:r>
        <w:rPr>
          <w:sz w:val="20"/>
        </w:rPr>
        <w:t>Notification</w:t>
      </w:r>
    </w:p>
    <w:p w:rsidR="00871AC5" w:rsidRDefault="00871AC5" w:rsidP="004A6917"/>
    <w:p w:rsidR="003519A2" w:rsidRPr="003519A2" w:rsidRDefault="003519A2" w:rsidP="004A6917">
      <w:pPr>
        <w:rPr>
          <w:u w:val="single"/>
        </w:rPr>
      </w:pPr>
      <w:r w:rsidRPr="003519A2">
        <w:rPr>
          <w:u w:val="single"/>
        </w:rPr>
        <w:t>1. Account Set-up</w:t>
      </w:r>
    </w:p>
    <w:p w:rsidR="002C1463" w:rsidRPr="003519A2" w:rsidRDefault="00871AC5" w:rsidP="00C6354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 w:rsidRPr="00871AC5">
        <w:rPr>
          <w:sz w:val="20"/>
          <w:lang w:val="en-US"/>
        </w:rPr>
        <w:t xml:space="preserve">Account set-up </w:t>
      </w:r>
      <w:r w:rsidR="002C1463">
        <w:rPr>
          <w:sz w:val="20"/>
          <w:lang w:val="en-US"/>
        </w:rPr>
        <w:t>must be distinguished from</w:t>
      </w:r>
      <w:r w:rsidRPr="00871AC5">
        <w:rPr>
          <w:sz w:val="20"/>
          <w:lang w:val="en-US"/>
        </w:rPr>
        <w:t xml:space="preserve"> Account opening</w:t>
      </w:r>
      <w:r>
        <w:rPr>
          <w:sz w:val="20"/>
          <w:lang w:val="en-US"/>
        </w:rPr>
        <w:t>: account opening is only a part of the account set up.</w:t>
      </w:r>
      <w:r w:rsidR="002C1463">
        <w:rPr>
          <w:sz w:val="20"/>
          <w:lang w:val="en-US"/>
        </w:rPr>
        <w:t xml:space="preserve"> </w:t>
      </w:r>
      <w:r w:rsidR="00C6354C">
        <w:rPr>
          <w:sz w:val="20"/>
          <w:lang w:val="en-US"/>
        </w:rPr>
        <w:t xml:space="preserve">Automation for account set-up at global level should not be the objective as this step can be very different in different markets (eg. Input documents). However, it might be useful to make a structured set of information available for the account set-up and eventually create a specific CAEV event for this. </w:t>
      </w:r>
    </w:p>
    <w:p w:rsidR="003519A2" w:rsidRDefault="003519A2" w:rsidP="003519A2">
      <w:pPr>
        <w:spacing w:before="120"/>
        <w:rPr>
          <w:u w:val="single"/>
        </w:rPr>
      </w:pPr>
      <w:r w:rsidRPr="003519A2">
        <w:rPr>
          <w:u w:val="single"/>
        </w:rPr>
        <w:t>2. Certification</w:t>
      </w:r>
    </w:p>
    <w:p w:rsidR="00CE4974" w:rsidRPr="00CE4974" w:rsidRDefault="00CE4974" w:rsidP="00CE4974">
      <w:pPr>
        <w:pStyle w:val="ListParagraph"/>
        <w:numPr>
          <w:ilvl w:val="0"/>
          <w:numId w:val="13"/>
        </w:numPr>
        <w:spacing w:before="120"/>
        <w:rPr>
          <w:sz w:val="20"/>
        </w:rPr>
      </w:pPr>
      <w:r w:rsidRPr="00CE4974">
        <w:rPr>
          <w:sz w:val="20"/>
        </w:rPr>
        <w:t xml:space="preserve">Two types of certifications </w:t>
      </w:r>
      <w:r>
        <w:rPr>
          <w:sz w:val="20"/>
        </w:rPr>
        <w:t xml:space="preserve">information </w:t>
      </w:r>
      <w:r w:rsidRPr="00CE4974">
        <w:rPr>
          <w:sz w:val="20"/>
        </w:rPr>
        <w:t>can be distinguished</w:t>
      </w:r>
      <w:r>
        <w:rPr>
          <w:sz w:val="20"/>
        </w:rPr>
        <w:t>: a one-shot certification and a “per payment</w:t>
      </w:r>
      <w:proofErr w:type="gramStart"/>
      <w:r>
        <w:rPr>
          <w:sz w:val="20"/>
        </w:rPr>
        <w:t>”  certification</w:t>
      </w:r>
      <w:proofErr w:type="gramEnd"/>
      <w:r>
        <w:rPr>
          <w:sz w:val="20"/>
        </w:rPr>
        <w:t>. This second one is out of scope here.</w:t>
      </w:r>
    </w:p>
    <w:p w:rsidR="002C1463" w:rsidRDefault="00C6354C" w:rsidP="00C6354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Likewise, t</w:t>
      </w:r>
      <w:r w:rsidR="002C1463">
        <w:rPr>
          <w:sz w:val="20"/>
        </w:rPr>
        <w:t xml:space="preserve">here is already a qualifier for the Tax set </w:t>
      </w:r>
      <w:proofErr w:type="gramStart"/>
      <w:r w:rsidR="002C1463">
        <w:rPr>
          <w:sz w:val="20"/>
        </w:rPr>
        <w:t>up :</w:t>
      </w:r>
      <w:proofErr w:type="gramEnd"/>
      <w:r w:rsidR="002C1463">
        <w:rPr>
          <w:sz w:val="20"/>
        </w:rPr>
        <w:t xml:space="preserve"> WTRC </w:t>
      </w:r>
      <w:r w:rsidR="002C1463" w:rsidRPr="002C1463">
        <w:rPr>
          <w:sz w:val="20"/>
        </w:rPr>
        <w:sym w:font="Wingdings" w:char="F0E0"/>
      </w:r>
      <w:r w:rsidR="002C1463">
        <w:rPr>
          <w:sz w:val="20"/>
        </w:rPr>
        <w:t xml:space="preserve"> Withholding Tax R</w:t>
      </w:r>
      <w:r>
        <w:rPr>
          <w:sz w:val="20"/>
        </w:rPr>
        <w:t>elief Certification.</w:t>
      </w:r>
    </w:p>
    <w:p w:rsidR="002C1463" w:rsidRDefault="002C1463" w:rsidP="00CF162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 xml:space="preserve">Need to distinguish the markets where tax details are necessary before trading (eg IT, TR, JP, KR, </w:t>
      </w:r>
      <w:r w:rsidR="00C6354C">
        <w:rPr>
          <w:sz w:val="20"/>
        </w:rPr>
        <w:t>BE</w:t>
      </w:r>
      <w:r>
        <w:rPr>
          <w:sz w:val="20"/>
        </w:rPr>
        <w:t xml:space="preserve">…) and other countries where it is not </w:t>
      </w:r>
      <w:r w:rsidR="00C6354C">
        <w:rPr>
          <w:sz w:val="20"/>
        </w:rPr>
        <w:t>required</w:t>
      </w:r>
      <w:r>
        <w:rPr>
          <w:sz w:val="20"/>
        </w:rPr>
        <w:t xml:space="preserve">: for these </w:t>
      </w:r>
      <w:r w:rsidR="00C6354C">
        <w:rPr>
          <w:sz w:val="20"/>
        </w:rPr>
        <w:t>five</w:t>
      </w:r>
      <w:r w:rsidR="00C6354C">
        <w:rPr>
          <w:sz w:val="20"/>
        </w:rPr>
        <w:t xml:space="preserve"> </w:t>
      </w:r>
      <w:r>
        <w:rPr>
          <w:sz w:val="20"/>
        </w:rPr>
        <w:t xml:space="preserve">countries, Tax information is present in the Account opening form. </w:t>
      </w:r>
      <w:r w:rsidRPr="00CF162C">
        <w:rPr>
          <w:sz w:val="20"/>
        </w:rPr>
        <w:t>As a consequence, in some countries, taxation is linked to settlement, in some others, not. Paola explains also that</w:t>
      </w:r>
      <w:r w:rsidR="000215E8" w:rsidRPr="00CF162C">
        <w:rPr>
          <w:sz w:val="20"/>
        </w:rPr>
        <w:t>,</w:t>
      </w:r>
      <w:r w:rsidRPr="00CF162C">
        <w:rPr>
          <w:sz w:val="20"/>
        </w:rPr>
        <w:t xml:space="preserve"> for Italy, without this tax information, trading is allowed but the client will be considered as </w:t>
      </w:r>
      <w:r w:rsidR="000215E8" w:rsidRPr="00CF162C">
        <w:rPr>
          <w:sz w:val="20"/>
        </w:rPr>
        <w:t>non-exempt</w:t>
      </w:r>
      <w:r w:rsidRPr="00CF162C">
        <w:rPr>
          <w:sz w:val="20"/>
        </w:rPr>
        <w:t>.</w:t>
      </w:r>
      <w:r w:rsidR="003519A2">
        <w:rPr>
          <w:sz w:val="20"/>
        </w:rPr>
        <w:t xml:space="preserve"> This is the same situation in Japan.</w:t>
      </w:r>
    </w:p>
    <w:p w:rsidR="00CE4974" w:rsidRPr="00CF162C" w:rsidRDefault="00CE4974" w:rsidP="00CF162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 xml:space="preserve">Account opening forms usually contain </w:t>
      </w:r>
      <w:proofErr w:type="gramStart"/>
      <w:r>
        <w:rPr>
          <w:sz w:val="20"/>
        </w:rPr>
        <w:t>those</w:t>
      </w:r>
      <w:proofErr w:type="gramEnd"/>
      <w:r>
        <w:rPr>
          <w:sz w:val="20"/>
        </w:rPr>
        <w:t xml:space="preserve"> tax details information. </w:t>
      </w:r>
    </w:p>
    <w:p w:rsidR="00D97523" w:rsidRPr="00D97523" w:rsidRDefault="000215E8" w:rsidP="00D97523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It seems that tax related information and / or requirements are usually communicated via MT568</w:t>
      </w:r>
      <w:r w:rsidR="00CE4974">
        <w:rPr>
          <w:sz w:val="20"/>
        </w:rPr>
        <w:t xml:space="preserve"> </w:t>
      </w:r>
      <w:r w:rsidR="00932DFF">
        <w:rPr>
          <w:sz w:val="20"/>
        </w:rPr>
        <w:t>and that would eventually be an acceptable solution versus MT 599 which would not be routed correctly and MT564 in which the info cannot be provided.</w:t>
      </w:r>
    </w:p>
    <w:p w:rsidR="000215E8" w:rsidRDefault="000215E8" w:rsidP="00C6354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lastRenderedPageBreak/>
        <w:t xml:space="preserve">Account opening is not only a Tax </w:t>
      </w:r>
      <w:proofErr w:type="gramStart"/>
      <w:r>
        <w:rPr>
          <w:sz w:val="20"/>
        </w:rPr>
        <w:t>need :</w:t>
      </w:r>
      <w:proofErr w:type="gramEnd"/>
      <w:r>
        <w:rPr>
          <w:sz w:val="20"/>
        </w:rPr>
        <w:t xml:space="preserve"> KYC, etc are not related to Tax. A</w:t>
      </w:r>
      <w:r w:rsidR="00D97523">
        <w:rPr>
          <w:sz w:val="20"/>
        </w:rPr>
        <w:t xml:space="preserve">n account opening </w:t>
      </w:r>
      <w:r>
        <w:rPr>
          <w:sz w:val="20"/>
        </w:rPr>
        <w:t xml:space="preserve"> message exists in ISO 20022 for </w:t>
      </w:r>
      <w:r w:rsidR="00D97523">
        <w:rPr>
          <w:sz w:val="20"/>
        </w:rPr>
        <w:t xml:space="preserve">investment </w:t>
      </w:r>
      <w:r>
        <w:rPr>
          <w:sz w:val="20"/>
        </w:rPr>
        <w:t>funds but nothing on Taxes</w:t>
      </w:r>
    </w:p>
    <w:p w:rsidR="00D97523" w:rsidRDefault="00D97523" w:rsidP="00C6354C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 xml:space="preserve">In conclusion, the group agrees that the goal is not to create an account opening message but rather </w:t>
      </w:r>
      <w:r w:rsidR="00F64127">
        <w:rPr>
          <w:sz w:val="20"/>
        </w:rPr>
        <w:t xml:space="preserve">to focus on the information necessary for the account set-up. However we may recommend the usage of the MT 568 with the appropriate CAV code to carry the required </w:t>
      </w:r>
      <w:proofErr w:type="spellStart"/>
      <w:r w:rsidR="00F64127">
        <w:rPr>
          <w:sz w:val="20"/>
        </w:rPr>
        <w:t>infor</w:t>
      </w:r>
      <w:proofErr w:type="spellEnd"/>
      <w:r w:rsidR="00407B42">
        <w:rPr>
          <w:sz w:val="20"/>
        </w:rPr>
        <w:t xml:space="preserve"> </w:t>
      </w:r>
      <w:r w:rsidR="00F64127">
        <w:rPr>
          <w:sz w:val="20"/>
        </w:rPr>
        <w:t>for account set-up.</w:t>
      </w:r>
    </w:p>
    <w:p w:rsidR="00F64127" w:rsidRPr="00F64127" w:rsidRDefault="00F64127" w:rsidP="00F64127">
      <w:pPr>
        <w:pStyle w:val="Heading1"/>
        <w:numPr>
          <w:ilvl w:val="0"/>
          <w:numId w:val="0"/>
        </w:numPr>
        <w:ind w:left="360" w:hanging="360"/>
        <w:rPr>
          <w:b w:val="0"/>
          <w:sz w:val="20"/>
        </w:rPr>
      </w:pPr>
      <w:proofErr w:type="gramStart"/>
      <w:r w:rsidRPr="00F64127">
        <w:rPr>
          <w:b w:val="0"/>
          <w:sz w:val="20"/>
        </w:rPr>
        <w:t>3.Tax</w:t>
      </w:r>
      <w:proofErr w:type="gramEnd"/>
      <w:r>
        <w:rPr>
          <w:b w:val="0"/>
          <w:sz w:val="20"/>
        </w:rPr>
        <w:t xml:space="preserve"> Notification step</w:t>
      </w:r>
      <w:r w:rsidR="00CB0A6E">
        <w:rPr>
          <w:b w:val="0"/>
          <w:sz w:val="20"/>
        </w:rPr>
        <w:t xml:space="preserve"> / Disclosure</w:t>
      </w:r>
    </w:p>
    <w:p w:rsidR="006A48D6" w:rsidRDefault="00E73BDD" w:rsidP="006A48D6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 w:rsidRPr="00E73BDD">
        <w:rPr>
          <w:sz w:val="20"/>
        </w:rPr>
        <w:t>Certification per payment : there is a complexity to manage the end to end flow</w:t>
      </w:r>
    </w:p>
    <w:p w:rsidR="009072EB" w:rsidRDefault="009072EB" w:rsidP="009072EB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On the instruction side</w:t>
      </w:r>
      <w:r w:rsidRPr="006A48D6">
        <w:rPr>
          <w:sz w:val="20"/>
        </w:rPr>
        <w:t xml:space="preserve">: </w:t>
      </w:r>
      <w:r>
        <w:rPr>
          <w:sz w:val="20"/>
        </w:rPr>
        <w:t>For omnibus accounts, requests for BO list and tax breakdown can be handled in MT 565</w:t>
      </w:r>
      <w:r w:rsidR="00B960F9">
        <w:rPr>
          <w:sz w:val="20"/>
        </w:rPr>
        <w:t xml:space="preserve"> although </w:t>
      </w:r>
      <w:r w:rsidR="00B960F9" w:rsidRPr="00CD0605">
        <w:rPr>
          <w:sz w:val="20"/>
        </w:rPr>
        <w:t>an MT565 related to Tax requirements can be difficult to integrate automatically in a system</w:t>
      </w:r>
      <w:r w:rsidR="00B960F9">
        <w:rPr>
          <w:sz w:val="20"/>
        </w:rPr>
        <w:t>.</w:t>
      </w:r>
    </w:p>
    <w:p w:rsidR="009072EB" w:rsidRDefault="009072EB" w:rsidP="009072EB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In some countries, Paola mentions that files need to be sent to the ministry of finance via a web upload.</w:t>
      </w:r>
    </w:p>
    <w:p w:rsidR="009072EB" w:rsidRDefault="009072EB" w:rsidP="009072EB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Sonda notes that the challenge is also how to present the information in the MT564 regarding the disclosure (see SMPG open item CA226 on Disclosure).</w:t>
      </w:r>
    </w:p>
    <w:p w:rsidR="009072EB" w:rsidRDefault="009072EB" w:rsidP="009072EB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Also not all holders will need to provide the same t</w:t>
      </w:r>
      <w:r w:rsidR="00407B42">
        <w:rPr>
          <w:sz w:val="20"/>
        </w:rPr>
        <w:t>ax information because the info might al</w:t>
      </w:r>
      <w:r>
        <w:rPr>
          <w:sz w:val="20"/>
        </w:rPr>
        <w:t>ready be known by the account servicer.</w:t>
      </w:r>
    </w:p>
    <w:p w:rsidR="00C32C2C" w:rsidRDefault="00C32C2C" w:rsidP="009072EB">
      <w:pPr>
        <w:pStyle w:val="ListParagraph"/>
        <w:numPr>
          <w:ilvl w:val="0"/>
          <w:numId w:val="13"/>
        </w:numPr>
        <w:spacing w:before="120" w:after="120"/>
        <w:rPr>
          <w:sz w:val="20"/>
        </w:rPr>
      </w:pPr>
      <w:r>
        <w:rPr>
          <w:sz w:val="20"/>
        </w:rPr>
        <w:t>Structured approach:</w:t>
      </w:r>
    </w:p>
    <w:p w:rsidR="00C32C2C" w:rsidRDefault="00C32C2C" w:rsidP="00C32C2C">
      <w:pPr>
        <w:pStyle w:val="ListParagraph"/>
        <w:numPr>
          <w:ilvl w:val="1"/>
          <w:numId w:val="13"/>
        </w:numPr>
        <w:spacing w:before="120" w:after="120"/>
        <w:rPr>
          <w:sz w:val="20"/>
        </w:rPr>
      </w:pPr>
      <w:r>
        <w:rPr>
          <w:sz w:val="20"/>
        </w:rPr>
        <w:t>The provider need to request from the holder</w:t>
      </w:r>
      <w:r w:rsidRPr="00C32C2C">
        <w:rPr>
          <w:sz w:val="20"/>
        </w:rPr>
        <w:t xml:space="preserve"> </w:t>
      </w:r>
      <w:r>
        <w:rPr>
          <w:sz w:val="20"/>
        </w:rPr>
        <w:t xml:space="preserve">the following info: </w:t>
      </w:r>
    </w:p>
    <w:p w:rsidR="00DA62B4" w:rsidRDefault="00C32C2C" w:rsidP="00DA62B4">
      <w:pPr>
        <w:pStyle w:val="ListParagraph"/>
        <w:spacing w:before="120" w:after="120"/>
        <w:ind w:left="1440"/>
        <w:rPr>
          <w:sz w:val="20"/>
        </w:rPr>
      </w:pPr>
      <w:r>
        <w:rPr>
          <w:sz w:val="20"/>
        </w:rPr>
        <w:t>Tax Breakdown, BO List, Documents</w:t>
      </w:r>
    </w:p>
    <w:p w:rsidR="00DA62B4" w:rsidRDefault="00DA62B4" w:rsidP="00B960F9">
      <w:pPr>
        <w:pStyle w:val="ListParagraph"/>
        <w:numPr>
          <w:ilvl w:val="1"/>
          <w:numId w:val="13"/>
        </w:numPr>
        <w:spacing w:before="120" w:after="120"/>
        <w:rPr>
          <w:sz w:val="20"/>
        </w:rPr>
      </w:pPr>
      <w:r>
        <w:rPr>
          <w:sz w:val="20"/>
        </w:rPr>
        <w:t xml:space="preserve">To distinguish </w:t>
      </w:r>
      <w:r w:rsidR="00B960F9">
        <w:rPr>
          <w:sz w:val="20"/>
        </w:rPr>
        <w:t>between s</w:t>
      </w:r>
      <w:r>
        <w:rPr>
          <w:sz w:val="20"/>
        </w:rPr>
        <w:t xml:space="preserve">imple income events and CA Events with options with various taxation (see FR case for DVOP) </w:t>
      </w:r>
    </w:p>
    <w:p w:rsidR="00B960F9" w:rsidRDefault="00B960F9" w:rsidP="00B960F9">
      <w:pPr>
        <w:pStyle w:val="ListParagraph"/>
        <w:numPr>
          <w:ilvl w:val="1"/>
          <w:numId w:val="13"/>
        </w:numPr>
        <w:spacing w:before="120" w:after="120"/>
        <w:rPr>
          <w:sz w:val="20"/>
        </w:rPr>
      </w:pPr>
      <w:r>
        <w:rPr>
          <w:sz w:val="20"/>
        </w:rPr>
        <w:t xml:space="preserve">To distinguish between Reclaim Markets (eg: DE) and Certification markets (certification needed during the event). </w:t>
      </w:r>
    </w:p>
    <w:p w:rsidR="00DE32F4" w:rsidRDefault="00DE32F4" w:rsidP="004A6917"/>
    <w:p w:rsidR="004A6917" w:rsidRDefault="00E60462" w:rsidP="00F8542D">
      <w:pPr>
        <w:pStyle w:val="Actions"/>
        <w:rPr>
          <w:b/>
        </w:rPr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Pr="00F8542D">
        <w:rPr>
          <w:b/>
        </w:rPr>
        <w:t xml:space="preserve"> </w:t>
      </w:r>
    </w:p>
    <w:p w:rsidR="004A6917" w:rsidRPr="00886615" w:rsidRDefault="007A0BFD" w:rsidP="00EB44CD">
      <w:pPr>
        <w:pStyle w:val="Actions"/>
        <w:numPr>
          <w:ilvl w:val="0"/>
          <w:numId w:val="9"/>
        </w:numPr>
      </w:pPr>
      <w:r w:rsidRPr="00886615">
        <w:t>For next conference call, NMPGs</w:t>
      </w:r>
      <w:r w:rsidR="00DE32F4" w:rsidRPr="00886615">
        <w:t xml:space="preserve"> to p</w:t>
      </w:r>
      <w:r w:rsidR="00C13F54" w:rsidRPr="00886615">
        <w:t>rovide feedback</w:t>
      </w:r>
      <w:r w:rsidRPr="00886615">
        <w:t>/comments</w:t>
      </w:r>
      <w:r w:rsidR="00C13F54" w:rsidRPr="00886615">
        <w:t xml:space="preserve"> on</w:t>
      </w:r>
      <w:r w:rsidRPr="00886615">
        <w:t xml:space="preserve"> the 4 priorities defined above </w:t>
      </w:r>
    </w:p>
    <w:p w:rsidR="007A0BFD" w:rsidRPr="00886615" w:rsidRDefault="007A0BFD" w:rsidP="00EB44CD">
      <w:pPr>
        <w:pStyle w:val="Actions"/>
        <w:numPr>
          <w:ilvl w:val="0"/>
          <w:numId w:val="9"/>
        </w:numPr>
      </w:pPr>
      <w:r w:rsidRPr="00886615">
        <w:t>For next conference call, NMPGs to provide on the first step “Account Set-up”:</w:t>
      </w:r>
    </w:p>
    <w:p w:rsidR="00D15962" w:rsidRDefault="00D15962" w:rsidP="00EB44CD">
      <w:pPr>
        <w:pStyle w:val="Actions"/>
        <w:numPr>
          <w:ilvl w:val="1"/>
          <w:numId w:val="9"/>
        </w:numPr>
      </w:pPr>
      <w:r>
        <w:t xml:space="preserve">Tax related </w:t>
      </w:r>
      <w:r w:rsidR="007A0BFD" w:rsidRPr="00886615">
        <w:t xml:space="preserve">Information </w:t>
      </w:r>
      <w:r>
        <w:t xml:space="preserve">requested to holders for </w:t>
      </w:r>
    </w:p>
    <w:p w:rsidR="00D15962" w:rsidRDefault="00D15962" w:rsidP="00D15962">
      <w:pPr>
        <w:pStyle w:val="Actions"/>
        <w:numPr>
          <w:ilvl w:val="2"/>
          <w:numId w:val="9"/>
        </w:numPr>
      </w:pPr>
      <w:r>
        <w:t>Income / Simple event (INTR, DVCA, …)</w:t>
      </w:r>
    </w:p>
    <w:p w:rsidR="007A0BFD" w:rsidRPr="00886615" w:rsidRDefault="00D15962" w:rsidP="00D15962">
      <w:pPr>
        <w:pStyle w:val="Actions"/>
        <w:numPr>
          <w:ilvl w:val="2"/>
          <w:numId w:val="9"/>
        </w:numPr>
      </w:pPr>
      <w:r>
        <w:t xml:space="preserve">More complex CAEV events </w:t>
      </w:r>
      <w:r w:rsidR="007A0BFD" w:rsidRPr="00886615">
        <w:t>,</w:t>
      </w:r>
    </w:p>
    <w:p w:rsidR="007A0BFD" w:rsidRPr="00886615" w:rsidRDefault="007A0BFD" w:rsidP="00EB44CD">
      <w:pPr>
        <w:pStyle w:val="Actions"/>
        <w:numPr>
          <w:ilvl w:val="1"/>
          <w:numId w:val="9"/>
        </w:numPr>
      </w:pPr>
      <w:r w:rsidRPr="00886615">
        <w:t>Processes,</w:t>
      </w:r>
    </w:p>
    <w:p w:rsidR="007A0BFD" w:rsidRPr="00886615" w:rsidRDefault="007A0BFD" w:rsidP="00EB44CD">
      <w:pPr>
        <w:pStyle w:val="Actions"/>
        <w:numPr>
          <w:ilvl w:val="1"/>
          <w:numId w:val="9"/>
        </w:numPr>
      </w:pPr>
      <w:r w:rsidRPr="00886615">
        <w:t xml:space="preserve">Automation pain points and </w:t>
      </w:r>
      <w:proofErr w:type="gramStart"/>
      <w:r w:rsidRPr="00886615">
        <w:t>issues ?</w:t>
      </w:r>
      <w:proofErr w:type="gramEnd"/>
    </w:p>
    <w:p w:rsidR="00E60462" w:rsidRDefault="00AC3C0E" w:rsidP="00AC3C0E">
      <w:pPr>
        <w:pStyle w:val="Heading1"/>
      </w:pPr>
      <w:bookmarkStart w:id="9" w:name="_Toc366498843"/>
      <w:r>
        <w:t>Other Items</w:t>
      </w:r>
      <w:bookmarkEnd w:id="9"/>
    </w:p>
    <w:p w:rsidR="00EB44CD" w:rsidRPr="00D15962" w:rsidRDefault="00FB7D07" w:rsidP="00EB44CD">
      <w:pPr>
        <w:pStyle w:val="BlockText"/>
        <w:numPr>
          <w:ilvl w:val="0"/>
          <w:numId w:val="14"/>
        </w:numPr>
        <w:rPr>
          <w:sz w:val="20"/>
        </w:rPr>
      </w:pPr>
      <w:r w:rsidRPr="00D15962">
        <w:rPr>
          <w:sz w:val="20"/>
        </w:rPr>
        <w:t xml:space="preserve">FATCA </w:t>
      </w:r>
    </w:p>
    <w:p w:rsidR="00EB44CD" w:rsidRPr="00D15962" w:rsidRDefault="00FB7D07" w:rsidP="00D15962">
      <w:pPr>
        <w:pStyle w:val="BlockText"/>
        <w:rPr>
          <w:sz w:val="20"/>
        </w:rPr>
      </w:pPr>
      <w:r w:rsidRPr="00D15962">
        <w:rPr>
          <w:sz w:val="20"/>
        </w:rPr>
        <w:t xml:space="preserve">Sonda explained </w:t>
      </w:r>
      <w:r w:rsidR="00EB44CD" w:rsidRPr="00D15962">
        <w:rPr>
          <w:sz w:val="20"/>
        </w:rPr>
        <w:t>that several Change requests will be issued by the US Market for FATCA requirements.</w:t>
      </w:r>
    </w:p>
    <w:p w:rsidR="008D040C" w:rsidRPr="00D15962" w:rsidRDefault="00EB44CD" w:rsidP="002C748B">
      <w:pPr>
        <w:pStyle w:val="BlockText"/>
        <w:rPr>
          <w:sz w:val="20"/>
        </w:rPr>
      </w:pPr>
      <w:r w:rsidRPr="00D15962">
        <w:rPr>
          <w:sz w:val="20"/>
        </w:rPr>
        <w:t>Scope: Income events</w:t>
      </w:r>
      <w:r w:rsidR="00FB7D07" w:rsidRPr="00D15962">
        <w:rPr>
          <w:sz w:val="20"/>
        </w:rPr>
        <w:t xml:space="preserve"> </w:t>
      </w:r>
      <w:r w:rsidRPr="00D15962">
        <w:rPr>
          <w:sz w:val="20"/>
        </w:rPr>
        <w:t>and CA Events (optional Dividends) where Tax applied on the cash. Tax information is also related to the option chosen.</w:t>
      </w:r>
    </w:p>
    <w:p w:rsidR="00E60462" w:rsidRDefault="00E60462" w:rsidP="002C748B">
      <w:pPr>
        <w:pStyle w:val="Heading1"/>
      </w:pPr>
      <w:bookmarkStart w:id="10" w:name="_Toc366498844"/>
      <w:r>
        <w:lastRenderedPageBreak/>
        <w:t xml:space="preserve">Next </w:t>
      </w:r>
      <w:r w:rsidR="00AC3C0E">
        <w:t>Conference Calls</w:t>
      </w:r>
      <w:bookmarkEnd w:id="10"/>
    </w:p>
    <w:p w:rsidR="00E60462" w:rsidRDefault="00FB7D07" w:rsidP="00EB44CD">
      <w:pPr>
        <w:pStyle w:val="ListParagraph"/>
        <w:numPr>
          <w:ilvl w:val="0"/>
          <w:numId w:val="10"/>
        </w:numPr>
        <w:rPr>
          <w:bCs/>
          <w:iCs/>
          <w:sz w:val="20"/>
        </w:rPr>
      </w:pPr>
      <w:r>
        <w:rPr>
          <w:bCs/>
          <w:iCs/>
          <w:sz w:val="20"/>
        </w:rPr>
        <w:t>To be scheduled. Jyi-Chen and Jean-Pierre will send some proposals to complete the dates until end of 2013.</w:t>
      </w:r>
    </w:p>
    <w:p w:rsidR="00AC3C0E" w:rsidRPr="00AC3C0E" w:rsidRDefault="00AC3C0E" w:rsidP="00AC3C0E">
      <w:pPr>
        <w:ind w:left="360"/>
        <w:rPr>
          <w:bCs/>
          <w:iCs/>
        </w:rPr>
      </w:pPr>
    </w:p>
    <w:bookmarkEnd w:id="3"/>
    <w:bookmarkEnd w:id="4"/>
    <w:p w:rsidR="00E60462" w:rsidRPr="00927C3C" w:rsidRDefault="00E60462" w:rsidP="00AC3C0E">
      <w:pPr>
        <w:pStyle w:val="BlockText"/>
        <w:jc w:val="center"/>
        <w:rPr>
          <w:b/>
        </w:rPr>
      </w:pPr>
      <w:proofErr w:type="gramStart"/>
      <w:r>
        <w:rPr>
          <w:b/>
        </w:rPr>
        <w:t xml:space="preserve">------------------------  </w:t>
      </w:r>
      <w:r w:rsidRPr="003C599B">
        <w:rPr>
          <w:b/>
        </w:rPr>
        <w:t>End</w:t>
      </w:r>
      <w:proofErr w:type="gramEnd"/>
      <w:r w:rsidRPr="003C599B">
        <w:rPr>
          <w:b/>
        </w:rPr>
        <w:t xml:space="preserve"> of the </w:t>
      </w:r>
      <w:r>
        <w:rPr>
          <w:b/>
        </w:rPr>
        <w:t>Meeting Minutes  -----------------</w:t>
      </w:r>
    </w:p>
    <w:p w:rsidR="00E60462" w:rsidRPr="00927C3C" w:rsidRDefault="00E60462">
      <w:pPr>
        <w:pStyle w:val="BlockText"/>
        <w:jc w:val="center"/>
        <w:rPr>
          <w:b/>
        </w:rPr>
      </w:pPr>
    </w:p>
    <w:sectPr w:rsidR="00E60462" w:rsidRPr="00927C3C" w:rsidSect="002322DE">
      <w:headerReference w:type="default" r:id="rId16"/>
      <w:footerReference w:type="default" r:id="rId17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2" w:rsidRDefault="00E60462" w:rsidP="00592037">
      <w:r>
        <w:separator/>
      </w:r>
    </w:p>
    <w:p w:rsidR="00E60462" w:rsidRDefault="00E60462" w:rsidP="00592037"/>
  </w:endnote>
  <w:endnote w:type="continuationSeparator" w:id="0">
    <w:p w:rsidR="00E60462" w:rsidRDefault="00E60462" w:rsidP="00592037">
      <w:r>
        <w:continuationSeparator/>
      </w:r>
    </w:p>
    <w:p w:rsidR="00E60462" w:rsidRDefault="00E6046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72" w:rsidRDefault="00D87972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7B4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2" w:rsidRDefault="00E60462" w:rsidP="00592037">
      <w:r>
        <w:separator/>
      </w:r>
    </w:p>
    <w:p w:rsidR="00E60462" w:rsidRDefault="00E60462" w:rsidP="00592037"/>
  </w:footnote>
  <w:footnote w:type="continuationSeparator" w:id="0">
    <w:p w:rsidR="00E60462" w:rsidRDefault="00E60462" w:rsidP="00592037">
      <w:r>
        <w:continuationSeparator/>
      </w:r>
    </w:p>
    <w:p w:rsidR="00E60462" w:rsidRDefault="00E6046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Pr="00284B42" w:rsidRDefault="00407B42" w:rsidP="00922CCC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.8pt;margin-top:-29.5pt;width:171.6pt;height:116.4pt;z-index:251660288;visibility:visible;mso-wrap-edited:f" o:allowincell="f">
          <v:imagedata r:id="rId1" o:title=""/>
        </v:shape>
        <o:OLEObject Type="Embed" ProgID="Word.Picture.8" ShapeID="_x0000_s2049" DrawAspect="Content" ObjectID="_1440925235" r:id="rId2"/>
      </w:pict>
    </w:r>
    <w:r w:rsidR="00E60462" w:rsidRPr="00284B42">
      <w:rPr>
        <w:b/>
      </w:rPr>
      <w:t>SMPG</w:t>
    </w:r>
    <w:r w:rsidR="00E60462">
      <w:rPr>
        <w:b/>
      </w:rPr>
      <w:t xml:space="preserve"> TAX Sub-group –</w:t>
    </w:r>
    <w:r w:rsidR="00344965">
      <w:rPr>
        <w:b/>
      </w:rPr>
      <w:t xml:space="preserve"> </w:t>
    </w:r>
    <w:r w:rsidR="00E60462">
      <w:rPr>
        <w:b/>
      </w:rPr>
      <w:t>Conference Call Minutes</w:t>
    </w:r>
    <w:r w:rsidR="00344965" w:rsidRPr="00344965">
      <w:rPr>
        <w:b/>
      </w:rPr>
      <w:t xml:space="preserve"> </w:t>
    </w:r>
    <w:r w:rsidR="0023625E">
      <w:rPr>
        <w:b/>
      </w:rPr>
      <w:t>June</w:t>
    </w:r>
    <w:r w:rsidR="00344965">
      <w:rPr>
        <w:b/>
      </w:rPr>
      <w:t xml:space="preserve"> </w:t>
    </w:r>
    <w:r w:rsidR="0023625E">
      <w:rPr>
        <w:b/>
      </w:rPr>
      <w:t>20</w:t>
    </w:r>
    <w:r w:rsidR="00344965">
      <w:rPr>
        <w:b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170"/>
    <w:multiLevelType w:val="hybridMultilevel"/>
    <w:tmpl w:val="01F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F3B18"/>
    <w:multiLevelType w:val="multilevel"/>
    <w:tmpl w:val="2826C680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cs="Times New Roman"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cs="Times New Roman" w:hint="default"/>
      </w:rPr>
    </w:lvl>
  </w:abstractNum>
  <w:abstractNum w:abstractNumId="2">
    <w:nsid w:val="21E33A17"/>
    <w:multiLevelType w:val="multilevel"/>
    <w:tmpl w:val="7C2C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F0121"/>
    <w:multiLevelType w:val="hybridMultilevel"/>
    <w:tmpl w:val="19949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162CE"/>
    <w:multiLevelType w:val="hybridMultilevel"/>
    <w:tmpl w:val="76E215E0"/>
    <w:lvl w:ilvl="0" w:tplc="7216290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D90"/>
    <w:multiLevelType w:val="singleLevel"/>
    <w:tmpl w:val="B3B2643C"/>
    <w:lvl w:ilvl="0">
      <w:start w:val="1"/>
      <w:numFmt w:val="bullet"/>
      <w:pStyle w:val="Liste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86650B"/>
    <w:multiLevelType w:val="hybridMultilevel"/>
    <w:tmpl w:val="5D4C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548B0"/>
    <w:multiLevelType w:val="multilevel"/>
    <w:tmpl w:val="2800D31E"/>
    <w:lvl w:ilvl="0">
      <w:start w:val="1"/>
      <w:numFmt w:val="upperRoman"/>
      <w:pStyle w:val="ListBullet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445FD"/>
    <w:multiLevelType w:val="hybridMultilevel"/>
    <w:tmpl w:val="842CFEC0"/>
    <w:lvl w:ilvl="0" w:tplc="2EF615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72D6B"/>
    <w:multiLevelType w:val="hybridMultilevel"/>
    <w:tmpl w:val="54C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F6B08"/>
    <w:multiLevelType w:val="hybridMultilevel"/>
    <w:tmpl w:val="9E70D1C8"/>
    <w:lvl w:ilvl="0" w:tplc="568EF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1971"/>
    <w:rsid w:val="0000241A"/>
    <w:rsid w:val="00002D65"/>
    <w:rsid w:val="000051B3"/>
    <w:rsid w:val="00005A1F"/>
    <w:rsid w:val="00005B96"/>
    <w:rsid w:val="0001004E"/>
    <w:rsid w:val="00010813"/>
    <w:rsid w:val="000152DC"/>
    <w:rsid w:val="000157C2"/>
    <w:rsid w:val="00015AA5"/>
    <w:rsid w:val="00015F15"/>
    <w:rsid w:val="00015F31"/>
    <w:rsid w:val="00015FFC"/>
    <w:rsid w:val="00017532"/>
    <w:rsid w:val="0001783E"/>
    <w:rsid w:val="000215E8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57FF"/>
    <w:rsid w:val="00037351"/>
    <w:rsid w:val="000415FC"/>
    <w:rsid w:val="00043D75"/>
    <w:rsid w:val="00044AD0"/>
    <w:rsid w:val="00046B58"/>
    <w:rsid w:val="00046D6B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87CC8"/>
    <w:rsid w:val="0009050D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1F2F"/>
    <w:rsid w:val="000A2DA8"/>
    <w:rsid w:val="000A3489"/>
    <w:rsid w:val="000A4E72"/>
    <w:rsid w:val="000A4F55"/>
    <w:rsid w:val="000A641E"/>
    <w:rsid w:val="000A7561"/>
    <w:rsid w:val="000A785A"/>
    <w:rsid w:val="000A7B3B"/>
    <w:rsid w:val="000B1811"/>
    <w:rsid w:val="000B1929"/>
    <w:rsid w:val="000B4025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442B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A30"/>
    <w:rsid w:val="000F07A5"/>
    <w:rsid w:val="000F3614"/>
    <w:rsid w:val="000F4705"/>
    <w:rsid w:val="001006E9"/>
    <w:rsid w:val="0010148B"/>
    <w:rsid w:val="001021B7"/>
    <w:rsid w:val="00104342"/>
    <w:rsid w:val="00104E0B"/>
    <w:rsid w:val="00106021"/>
    <w:rsid w:val="00107248"/>
    <w:rsid w:val="00110DA4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506F"/>
    <w:rsid w:val="001470EA"/>
    <w:rsid w:val="00147C1D"/>
    <w:rsid w:val="00152168"/>
    <w:rsid w:val="00152AFF"/>
    <w:rsid w:val="00155A05"/>
    <w:rsid w:val="00155B4B"/>
    <w:rsid w:val="00156EF0"/>
    <w:rsid w:val="0015716F"/>
    <w:rsid w:val="00157457"/>
    <w:rsid w:val="001577B5"/>
    <w:rsid w:val="00160901"/>
    <w:rsid w:val="001614CA"/>
    <w:rsid w:val="001661A6"/>
    <w:rsid w:val="001676C8"/>
    <w:rsid w:val="00167719"/>
    <w:rsid w:val="00167ADC"/>
    <w:rsid w:val="001712B1"/>
    <w:rsid w:val="0017306F"/>
    <w:rsid w:val="00174310"/>
    <w:rsid w:val="001753F9"/>
    <w:rsid w:val="001803DE"/>
    <w:rsid w:val="0018324D"/>
    <w:rsid w:val="001865D5"/>
    <w:rsid w:val="001867B1"/>
    <w:rsid w:val="001868D6"/>
    <w:rsid w:val="001869F3"/>
    <w:rsid w:val="00187EB0"/>
    <w:rsid w:val="00190D5F"/>
    <w:rsid w:val="00191E31"/>
    <w:rsid w:val="001930FA"/>
    <w:rsid w:val="00193B1C"/>
    <w:rsid w:val="00193C6C"/>
    <w:rsid w:val="00196DC2"/>
    <w:rsid w:val="001A0FFD"/>
    <w:rsid w:val="001A13AA"/>
    <w:rsid w:val="001A2F9A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5BDD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F34"/>
    <w:rsid w:val="001E0FF9"/>
    <w:rsid w:val="001E3E8E"/>
    <w:rsid w:val="001E44C0"/>
    <w:rsid w:val="001E4BC9"/>
    <w:rsid w:val="001E5AAA"/>
    <w:rsid w:val="001E774B"/>
    <w:rsid w:val="001E78CC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4354"/>
    <w:rsid w:val="00206DF5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51B0"/>
    <w:rsid w:val="00226A54"/>
    <w:rsid w:val="0022784C"/>
    <w:rsid w:val="00230996"/>
    <w:rsid w:val="00230BC8"/>
    <w:rsid w:val="0023157A"/>
    <w:rsid w:val="002321F8"/>
    <w:rsid w:val="002322DE"/>
    <w:rsid w:val="00232E54"/>
    <w:rsid w:val="0023625E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4755B"/>
    <w:rsid w:val="002508BC"/>
    <w:rsid w:val="00251E0B"/>
    <w:rsid w:val="0025223A"/>
    <w:rsid w:val="002533BB"/>
    <w:rsid w:val="002549AE"/>
    <w:rsid w:val="00254E98"/>
    <w:rsid w:val="00257190"/>
    <w:rsid w:val="0025798E"/>
    <w:rsid w:val="00260B07"/>
    <w:rsid w:val="00262E44"/>
    <w:rsid w:val="00262F75"/>
    <w:rsid w:val="00265B60"/>
    <w:rsid w:val="00266341"/>
    <w:rsid w:val="00266950"/>
    <w:rsid w:val="00270080"/>
    <w:rsid w:val="00272B37"/>
    <w:rsid w:val="00273B43"/>
    <w:rsid w:val="00273F18"/>
    <w:rsid w:val="00275165"/>
    <w:rsid w:val="00276C1F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907A7"/>
    <w:rsid w:val="0029301A"/>
    <w:rsid w:val="00293BD3"/>
    <w:rsid w:val="0029519D"/>
    <w:rsid w:val="00297415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1463"/>
    <w:rsid w:val="002C401C"/>
    <w:rsid w:val="002C5FB6"/>
    <w:rsid w:val="002C666D"/>
    <w:rsid w:val="002C748B"/>
    <w:rsid w:val="002D0AA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E08BB"/>
    <w:rsid w:val="002E1A29"/>
    <w:rsid w:val="002E39DA"/>
    <w:rsid w:val="002F0EA9"/>
    <w:rsid w:val="002F1879"/>
    <w:rsid w:val="002F18DE"/>
    <w:rsid w:val="002F3775"/>
    <w:rsid w:val="002F378F"/>
    <w:rsid w:val="002F434C"/>
    <w:rsid w:val="002F7332"/>
    <w:rsid w:val="002F79AF"/>
    <w:rsid w:val="0030375D"/>
    <w:rsid w:val="00304516"/>
    <w:rsid w:val="00305B81"/>
    <w:rsid w:val="00305BD1"/>
    <w:rsid w:val="00307EA7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7C15"/>
    <w:rsid w:val="00330A55"/>
    <w:rsid w:val="00330C7E"/>
    <w:rsid w:val="00332F91"/>
    <w:rsid w:val="00333A87"/>
    <w:rsid w:val="003360F9"/>
    <w:rsid w:val="00340788"/>
    <w:rsid w:val="003429B6"/>
    <w:rsid w:val="003439BE"/>
    <w:rsid w:val="00344965"/>
    <w:rsid w:val="00345586"/>
    <w:rsid w:val="00346733"/>
    <w:rsid w:val="00346AA9"/>
    <w:rsid w:val="00346AE5"/>
    <w:rsid w:val="003519A2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66FEC"/>
    <w:rsid w:val="0037101D"/>
    <w:rsid w:val="00371B50"/>
    <w:rsid w:val="00371C87"/>
    <w:rsid w:val="00371D8F"/>
    <w:rsid w:val="003750EA"/>
    <w:rsid w:val="00375D17"/>
    <w:rsid w:val="00376698"/>
    <w:rsid w:val="0037670C"/>
    <w:rsid w:val="00376A6D"/>
    <w:rsid w:val="00377295"/>
    <w:rsid w:val="003815C4"/>
    <w:rsid w:val="00381A23"/>
    <w:rsid w:val="00382B23"/>
    <w:rsid w:val="00383BD5"/>
    <w:rsid w:val="00384B04"/>
    <w:rsid w:val="00385DD6"/>
    <w:rsid w:val="00385E1E"/>
    <w:rsid w:val="0039065D"/>
    <w:rsid w:val="0039109C"/>
    <w:rsid w:val="00392112"/>
    <w:rsid w:val="00393230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0D91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292A"/>
    <w:rsid w:val="003C3076"/>
    <w:rsid w:val="003C3419"/>
    <w:rsid w:val="003C44DF"/>
    <w:rsid w:val="003C4F1E"/>
    <w:rsid w:val="003C599B"/>
    <w:rsid w:val="003C762F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217"/>
    <w:rsid w:val="004059D7"/>
    <w:rsid w:val="00406E74"/>
    <w:rsid w:val="0040717B"/>
    <w:rsid w:val="0040750A"/>
    <w:rsid w:val="004078BD"/>
    <w:rsid w:val="00407B42"/>
    <w:rsid w:val="00410935"/>
    <w:rsid w:val="00410D38"/>
    <w:rsid w:val="0041103C"/>
    <w:rsid w:val="00411761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C00"/>
    <w:rsid w:val="00450EBE"/>
    <w:rsid w:val="00451AAA"/>
    <w:rsid w:val="00454A63"/>
    <w:rsid w:val="00455291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917"/>
    <w:rsid w:val="004A76A2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0CDD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E0357"/>
    <w:rsid w:val="004E0F76"/>
    <w:rsid w:val="004E1DAE"/>
    <w:rsid w:val="004E210B"/>
    <w:rsid w:val="004E4BA3"/>
    <w:rsid w:val="004E62F4"/>
    <w:rsid w:val="004E646D"/>
    <w:rsid w:val="004E7310"/>
    <w:rsid w:val="004E7C83"/>
    <w:rsid w:val="004F0F26"/>
    <w:rsid w:val="004F1F1E"/>
    <w:rsid w:val="004F21AC"/>
    <w:rsid w:val="004F24A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1438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413A"/>
    <w:rsid w:val="0052689B"/>
    <w:rsid w:val="0052715F"/>
    <w:rsid w:val="00530D88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423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7A1B"/>
    <w:rsid w:val="00577DA2"/>
    <w:rsid w:val="00581D77"/>
    <w:rsid w:val="00583B21"/>
    <w:rsid w:val="005850FF"/>
    <w:rsid w:val="00585DE9"/>
    <w:rsid w:val="005900B9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C033A"/>
    <w:rsid w:val="005C066C"/>
    <w:rsid w:val="005C0760"/>
    <w:rsid w:val="005C1423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0C08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A99"/>
    <w:rsid w:val="00601B63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654D"/>
    <w:rsid w:val="0061750F"/>
    <w:rsid w:val="00622B75"/>
    <w:rsid w:val="00625958"/>
    <w:rsid w:val="00631595"/>
    <w:rsid w:val="006341E8"/>
    <w:rsid w:val="00634CFC"/>
    <w:rsid w:val="0063519F"/>
    <w:rsid w:val="00635ECA"/>
    <w:rsid w:val="006366E2"/>
    <w:rsid w:val="00636A0D"/>
    <w:rsid w:val="0064140F"/>
    <w:rsid w:val="00645061"/>
    <w:rsid w:val="00645735"/>
    <w:rsid w:val="006477E1"/>
    <w:rsid w:val="00650969"/>
    <w:rsid w:val="00650C44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5D03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442B"/>
    <w:rsid w:val="006A4887"/>
    <w:rsid w:val="006A48D6"/>
    <w:rsid w:val="006A73DE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ADA"/>
    <w:rsid w:val="006C4331"/>
    <w:rsid w:val="006C5C86"/>
    <w:rsid w:val="006C7749"/>
    <w:rsid w:val="006D1C81"/>
    <w:rsid w:val="006D1DD6"/>
    <w:rsid w:val="006D1DE0"/>
    <w:rsid w:val="006D290F"/>
    <w:rsid w:val="006D2D08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B70"/>
    <w:rsid w:val="006F41C4"/>
    <w:rsid w:val="006F5EB8"/>
    <w:rsid w:val="006F680E"/>
    <w:rsid w:val="006F7DC5"/>
    <w:rsid w:val="00700C7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876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47F8"/>
    <w:rsid w:val="00764C15"/>
    <w:rsid w:val="0076568D"/>
    <w:rsid w:val="00766046"/>
    <w:rsid w:val="0076639E"/>
    <w:rsid w:val="00766510"/>
    <w:rsid w:val="0077339B"/>
    <w:rsid w:val="007736C0"/>
    <w:rsid w:val="00774BF3"/>
    <w:rsid w:val="00775A74"/>
    <w:rsid w:val="00776E2D"/>
    <w:rsid w:val="007779B6"/>
    <w:rsid w:val="0078177E"/>
    <w:rsid w:val="007817DB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0BFD"/>
    <w:rsid w:val="007A1CF9"/>
    <w:rsid w:val="007A26AC"/>
    <w:rsid w:val="007A3D8D"/>
    <w:rsid w:val="007A3E2D"/>
    <w:rsid w:val="007A507A"/>
    <w:rsid w:val="007A509A"/>
    <w:rsid w:val="007A53C5"/>
    <w:rsid w:val="007A558E"/>
    <w:rsid w:val="007A69C8"/>
    <w:rsid w:val="007A7D84"/>
    <w:rsid w:val="007B01F8"/>
    <w:rsid w:val="007B02CB"/>
    <w:rsid w:val="007B090B"/>
    <w:rsid w:val="007B162C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328A"/>
    <w:rsid w:val="007F669E"/>
    <w:rsid w:val="007F73FB"/>
    <w:rsid w:val="007F7D7A"/>
    <w:rsid w:val="008000C6"/>
    <w:rsid w:val="00800138"/>
    <w:rsid w:val="00802AD1"/>
    <w:rsid w:val="0080314A"/>
    <w:rsid w:val="008045BD"/>
    <w:rsid w:val="00804D45"/>
    <w:rsid w:val="008052DA"/>
    <w:rsid w:val="00805EC4"/>
    <w:rsid w:val="008067B2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2F5E"/>
    <w:rsid w:val="00853B0A"/>
    <w:rsid w:val="008545D1"/>
    <w:rsid w:val="0085557C"/>
    <w:rsid w:val="00856069"/>
    <w:rsid w:val="008568A0"/>
    <w:rsid w:val="00857B69"/>
    <w:rsid w:val="008604BA"/>
    <w:rsid w:val="0086126F"/>
    <w:rsid w:val="008646C4"/>
    <w:rsid w:val="0086538F"/>
    <w:rsid w:val="0086577B"/>
    <w:rsid w:val="00866279"/>
    <w:rsid w:val="008666D8"/>
    <w:rsid w:val="008676D0"/>
    <w:rsid w:val="008708D6"/>
    <w:rsid w:val="00870ACC"/>
    <w:rsid w:val="00870D88"/>
    <w:rsid w:val="00871AC5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15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526C"/>
    <w:rsid w:val="008B566B"/>
    <w:rsid w:val="008B5B2B"/>
    <w:rsid w:val="008B656D"/>
    <w:rsid w:val="008B7113"/>
    <w:rsid w:val="008C25D8"/>
    <w:rsid w:val="008C30B6"/>
    <w:rsid w:val="008C3632"/>
    <w:rsid w:val="008C5CD0"/>
    <w:rsid w:val="008C69F4"/>
    <w:rsid w:val="008C6AA1"/>
    <w:rsid w:val="008C6AEA"/>
    <w:rsid w:val="008C7D05"/>
    <w:rsid w:val="008D040C"/>
    <w:rsid w:val="008D0E2B"/>
    <w:rsid w:val="008D2310"/>
    <w:rsid w:val="008D2E16"/>
    <w:rsid w:val="008D3B3E"/>
    <w:rsid w:val="008D3D9E"/>
    <w:rsid w:val="008D4920"/>
    <w:rsid w:val="008D53D2"/>
    <w:rsid w:val="008D573A"/>
    <w:rsid w:val="008D5D5C"/>
    <w:rsid w:val="008D6973"/>
    <w:rsid w:val="008D778F"/>
    <w:rsid w:val="008D7983"/>
    <w:rsid w:val="008E0464"/>
    <w:rsid w:val="008E171A"/>
    <w:rsid w:val="008E19E4"/>
    <w:rsid w:val="008E1CBD"/>
    <w:rsid w:val="008E28E4"/>
    <w:rsid w:val="008E56BD"/>
    <w:rsid w:val="008E75F5"/>
    <w:rsid w:val="008E7B70"/>
    <w:rsid w:val="008F140A"/>
    <w:rsid w:val="008F2189"/>
    <w:rsid w:val="008F290C"/>
    <w:rsid w:val="008F36BC"/>
    <w:rsid w:val="008F3C1E"/>
    <w:rsid w:val="008F41D6"/>
    <w:rsid w:val="008F5AA8"/>
    <w:rsid w:val="008F5ACE"/>
    <w:rsid w:val="008F5B0A"/>
    <w:rsid w:val="008F62F4"/>
    <w:rsid w:val="008F66A7"/>
    <w:rsid w:val="008F6B18"/>
    <w:rsid w:val="008F70DE"/>
    <w:rsid w:val="00900196"/>
    <w:rsid w:val="0090062B"/>
    <w:rsid w:val="00900D25"/>
    <w:rsid w:val="00901438"/>
    <w:rsid w:val="009041CF"/>
    <w:rsid w:val="009064AF"/>
    <w:rsid w:val="009072EB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2DFF"/>
    <w:rsid w:val="0093345E"/>
    <w:rsid w:val="009370FE"/>
    <w:rsid w:val="00937498"/>
    <w:rsid w:val="00941E29"/>
    <w:rsid w:val="009427AE"/>
    <w:rsid w:val="00943AF9"/>
    <w:rsid w:val="009441F5"/>
    <w:rsid w:val="00945F80"/>
    <w:rsid w:val="009471C6"/>
    <w:rsid w:val="009504FC"/>
    <w:rsid w:val="00951975"/>
    <w:rsid w:val="00951AE1"/>
    <w:rsid w:val="0095244B"/>
    <w:rsid w:val="00953943"/>
    <w:rsid w:val="0095397C"/>
    <w:rsid w:val="009552B5"/>
    <w:rsid w:val="00956E2E"/>
    <w:rsid w:val="00956FC1"/>
    <w:rsid w:val="00957449"/>
    <w:rsid w:val="00960675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5E55"/>
    <w:rsid w:val="00976C40"/>
    <w:rsid w:val="009809A7"/>
    <w:rsid w:val="00980BD1"/>
    <w:rsid w:val="0098101C"/>
    <w:rsid w:val="009817E9"/>
    <w:rsid w:val="009834C7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3A28"/>
    <w:rsid w:val="00997182"/>
    <w:rsid w:val="0099768F"/>
    <w:rsid w:val="009A03A5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697A"/>
    <w:rsid w:val="009B05F4"/>
    <w:rsid w:val="009B34B5"/>
    <w:rsid w:val="009B38E8"/>
    <w:rsid w:val="009B54E3"/>
    <w:rsid w:val="009B552C"/>
    <w:rsid w:val="009B5C45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0213"/>
    <w:rsid w:val="009D14D0"/>
    <w:rsid w:val="009D3AA0"/>
    <w:rsid w:val="009D3B68"/>
    <w:rsid w:val="009D4249"/>
    <w:rsid w:val="009D4BFD"/>
    <w:rsid w:val="009D55F5"/>
    <w:rsid w:val="009D5D20"/>
    <w:rsid w:val="009E074F"/>
    <w:rsid w:val="009E0C0E"/>
    <w:rsid w:val="009E1F2B"/>
    <w:rsid w:val="009E3F4E"/>
    <w:rsid w:val="009E4332"/>
    <w:rsid w:val="009E464C"/>
    <w:rsid w:val="009E7051"/>
    <w:rsid w:val="009E73E7"/>
    <w:rsid w:val="009E76A5"/>
    <w:rsid w:val="009E7703"/>
    <w:rsid w:val="009E786F"/>
    <w:rsid w:val="009E7B6E"/>
    <w:rsid w:val="009F156D"/>
    <w:rsid w:val="009F26B9"/>
    <w:rsid w:val="009F2BEE"/>
    <w:rsid w:val="009F3B02"/>
    <w:rsid w:val="009F415C"/>
    <w:rsid w:val="009F5040"/>
    <w:rsid w:val="009F533D"/>
    <w:rsid w:val="009F68F2"/>
    <w:rsid w:val="009F6E7E"/>
    <w:rsid w:val="00A00A07"/>
    <w:rsid w:val="00A0635A"/>
    <w:rsid w:val="00A06939"/>
    <w:rsid w:val="00A06EE5"/>
    <w:rsid w:val="00A07B34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DE2"/>
    <w:rsid w:val="00A37CFE"/>
    <w:rsid w:val="00A4048E"/>
    <w:rsid w:val="00A40575"/>
    <w:rsid w:val="00A42D4E"/>
    <w:rsid w:val="00A43511"/>
    <w:rsid w:val="00A444B1"/>
    <w:rsid w:val="00A44A41"/>
    <w:rsid w:val="00A46158"/>
    <w:rsid w:val="00A50D47"/>
    <w:rsid w:val="00A51A7F"/>
    <w:rsid w:val="00A54ED5"/>
    <w:rsid w:val="00A55A24"/>
    <w:rsid w:val="00A57665"/>
    <w:rsid w:val="00A6230D"/>
    <w:rsid w:val="00A6271E"/>
    <w:rsid w:val="00A62AFB"/>
    <w:rsid w:val="00A6356E"/>
    <w:rsid w:val="00A63DF2"/>
    <w:rsid w:val="00A646EE"/>
    <w:rsid w:val="00A66A0F"/>
    <w:rsid w:val="00A66B44"/>
    <w:rsid w:val="00A710AA"/>
    <w:rsid w:val="00A718E5"/>
    <w:rsid w:val="00A71F9F"/>
    <w:rsid w:val="00A726EC"/>
    <w:rsid w:val="00A7316C"/>
    <w:rsid w:val="00A73404"/>
    <w:rsid w:val="00A738EA"/>
    <w:rsid w:val="00A74410"/>
    <w:rsid w:val="00A75DBF"/>
    <w:rsid w:val="00A76B2B"/>
    <w:rsid w:val="00A84A31"/>
    <w:rsid w:val="00A861D2"/>
    <w:rsid w:val="00A876AD"/>
    <w:rsid w:val="00A90BE6"/>
    <w:rsid w:val="00A91CE4"/>
    <w:rsid w:val="00A91F68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A7731"/>
    <w:rsid w:val="00AB0264"/>
    <w:rsid w:val="00AB2464"/>
    <w:rsid w:val="00AB3C29"/>
    <w:rsid w:val="00AB5229"/>
    <w:rsid w:val="00AB525C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3B87"/>
    <w:rsid w:val="00AC3C0E"/>
    <w:rsid w:val="00AC4586"/>
    <w:rsid w:val="00AC51B8"/>
    <w:rsid w:val="00AC564B"/>
    <w:rsid w:val="00AC639A"/>
    <w:rsid w:val="00AC74CF"/>
    <w:rsid w:val="00AD0A2E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2227"/>
    <w:rsid w:val="00AF4BD8"/>
    <w:rsid w:val="00AF4C0B"/>
    <w:rsid w:val="00AF5E71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281"/>
    <w:rsid w:val="00B31430"/>
    <w:rsid w:val="00B322DA"/>
    <w:rsid w:val="00B3301A"/>
    <w:rsid w:val="00B3425D"/>
    <w:rsid w:val="00B34719"/>
    <w:rsid w:val="00B3578C"/>
    <w:rsid w:val="00B35901"/>
    <w:rsid w:val="00B40C8B"/>
    <w:rsid w:val="00B41238"/>
    <w:rsid w:val="00B416F4"/>
    <w:rsid w:val="00B417B4"/>
    <w:rsid w:val="00B4281A"/>
    <w:rsid w:val="00B443EF"/>
    <w:rsid w:val="00B44667"/>
    <w:rsid w:val="00B45637"/>
    <w:rsid w:val="00B4667C"/>
    <w:rsid w:val="00B47358"/>
    <w:rsid w:val="00B50E51"/>
    <w:rsid w:val="00B50EF8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3CC5"/>
    <w:rsid w:val="00B64798"/>
    <w:rsid w:val="00B674D6"/>
    <w:rsid w:val="00B67AAF"/>
    <w:rsid w:val="00B7066F"/>
    <w:rsid w:val="00B70C91"/>
    <w:rsid w:val="00B71EB2"/>
    <w:rsid w:val="00B72DBD"/>
    <w:rsid w:val="00B72FEB"/>
    <w:rsid w:val="00B73257"/>
    <w:rsid w:val="00B7493D"/>
    <w:rsid w:val="00B7498F"/>
    <w:rsid w:val="00B74A77"/>
    <w:rsid w:val="00B74BFA"/>
    <w:rsid w:val="00B7661F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308F"/>
    <w:rsid w:val="00B9329E"/>
    <w:rsid w:val="00B9345E"/>
    <w:rsid w:val="00B9361F"/>
    <w:rsid w:val="00B93A7E"/>
    <w:rsid w:val="00B94457"/>
    <w:rsid w:val="00B960F9"/>
    <w:rsid w:val="00BA1E3E"/>
    <w:rsid w:val="00BA2779"/>
    <w:rsid w:val="00BA4818"/>
    <w:rsid w:val="00BB09F0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199C"/>
    <w:rsid w:val="00BE28FF"/>
    <w:rsid w:val="00BE412F"/>
    <w:rsid w:val="00BE62CC"/>
    <w:rsid w:val="00BE6B8A"/>
    <w:rsid w:val="00BF0462"/>
    <w:rsid w:val="00BF0D72"/>
    <w:rsid w:val="00BF3939"/>
    <w:rsid w:val="00BF5872"/>
    <w:rsid w:val="00BF6C43"/>
    <w:rsid w:val="00C0057E"/>
    <w:rsid w:val="00C01FCF"/>
    <w:rsid w:val="00C02036"/>
    <w:rsid w:val="00C032FD"/>
    <w:rsid w:val="00C050EC"/>
    <w:rsid w:val="00C06B13"/>
    <w:rsid w:val="00C06EFA"/>
    <w:rsid w:val="00C10F02"/>
    <w:rsid w:val="00C11047"/>
    <w:rsid w:val="00C11FA9"/>
    <w:rsid w:val="00C13F54"/>
    <w:rsid w:val="00C17ED7"/>
    <w:rsid w:val="00C2132B"/>
    <w:rsid w:val="00C21F32"/>
    <w:rsid w:val="00C230F9"/>
    <w:rsid w:val="00C252BD"/>
    <w:rsid w:val="00C26716"/>
    <w:rsid w:val="00C26857"/>
    <w:rsid w:val="00C26B35"/>
    <w:rsid w:val="00C3024F"/>
    <w:rsid w:val="00C323B6"/>
    <w:rsid w:val="00C32C2C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4808"/>
    <w:rsid w:val="00C46006"/>
    <w:rsid w:val="00C46973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57AA7"/>
    <w:rsid w:val="00C61167"/>
    <w:rsid w:val="00C615ED"/>
    <w:rsid w:val="00C62B35"/>
    <w:rsid w:val="00C6354C"/>
    <w:rsid w:val="00C667DC"/>
    <w:rsid w:val="00C6697D"/>
    <w:rsid w:val="00C675A5"/>
    <w:rsid w:val="00C67D2C"/>
    <w:rsid w:val="00C70CF3"/>
    <w:rsid w:val="00C72082"/>
    <w:rsid w:val="00C7276D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662D"/>
    <w:rsid w:val="00C92B71"/>
    <w:rsid w:val="00C956D5"/>
    <w:rsid w:val="00C958E1"/>
    <w:rsid w:val="00C961CB"/>
    <w:rsid w:val="00CA002C"/>
    <w:rsid w:val="00CA01D6"/>
    <w:rsid w:val="00CA0C4D"/>
    <w:rsid w:val="00CA182B"/>
    <w:rsid w:val="00CA1917"/>
    <w:rsid w:val="00CA1CF7"/>
    <w:rsid w:val="00CA3AD6"/>
    <w:rsid w:val="00CA43E2"/>
    <w:rsid w:val="00CA58A2"/>
    <w:rsid w:val="00CA58E8"/>
    <w:rsid w:val="00CA7E4F"/>
    <w:rsid w:val="00CB0A6E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0605"/>
    <w:rsid w:val="00CD1AFF"/>
    <w:rsid w:val="00CD4CAD"/>
    <w:rsid w:val="00CD5021"/>
    <w:rsid w:val="00CD6DF1"/>
    <w:rsid w:val="00CE078B"/>
    <w:rsid w:val="00CE2177"/>
    <w:rsid w:val="00CE2B3D"/>
    <w:rsid w:val="00CE3C8B"/>
    <w:rsid w:val="00CE4500"/>
    <w:rsid w:val="00CE4974"/>
    <w:rsid w:val="00CE7EFD"/>
    <w:rsid w:val="00CF08B4"/>
    <w:rsid w:val="00CF0A4F"/>
    <w:rsid w:val="00CF162C"/>
    <w:rsid w:val="00CF1B8D"/>
    <w:rsid w:val="00CF3D5E"/>
    <w:rsid w:val="00CF758D"/>
    <w:rsid w:val="00CF76EF"/>
    <w:rsid w:val="00D0031E"/>
    <w:rsid w:val="00D021DA"/>
    <w:rsid w:val="00D02CE4"/>
    <w:rsid w:val="00D051DE"/>
    <w:rsid w:val="00D056D6"/>
    <w:rsid w:val="00D06046"/>
    <w:rsid w:val="00D07072"/>
    <w:rsid w:val="00D075AB"/>
    <w:rsid w:val="00D10871"/>
    <w:rsid w:val="00D10EC8"/>
    <w:rsid w:val="00D130A4"/>
    <w:rsid w:val="00D1455A"/>
    <w:rsid w:val="00D14680"/>
    <w:rsid w:val="00D14AB7"/>
    <w:rsid w:val="00D15962"/>
    <w:rsid w:val="00D21B7D"/>
    <w:rsid w:val="00D223C8"/>
    <w:rsid w:val="00D225BD"/>
    <w:rsid w:val="00D25104"/>
    <w:rsid w:val="00D25E7E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3D31"/>
    <w:rsid w:val="00D847E5"/>
    <w:rsid w:val="00D86196"/>
    <w:rsid w:val="00D86B65"/>
    <w:rsid w:val="00D8725F"/>
    <w:rsid w:val="00D87972"/>
    <w:rsid w:val="00D87979"/>
    <w:rsid w:val="00D87F0D"/>
    <w:rsid w:val="00D91336"/>
    <w:rsid w:val="00D938FC"/>
    <w:rsid w:val="00D9409A"/>
    <w:rsid w:val="00D940B0"/>
    <w:rsid w:val="00D94FAA"/>
    <w:rsid w:val="00D96FA6"/>
    <w:rsid w:val="00D97523"/>
    <w:rsid w:val="00DA059A"/>
    <w:rsid w:val="00DA06B7"/>
    <w:rsid w:val="00DA1312"/>
    <w:rsid w:val="00DA1629"/>
    <w:rsid w:val="00DA206B"/>
    <w:rsid w:val="00DA3F50"/>
    <w:rsid w:val="00DA62B4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2211"/>
    <w:rsid w:val="00DD36DE"/>
    <w:rsid w:val="00DD3DB9"/>
    <w:rsid w:val="00DD6244"/>
    <w:rsid w:val="00DE040F"/>
    <w:rsid w:val="00DE1BB6"/>
    <w:rsid w:val="00DE32F4"/>
    <w:rsid w:val="00DE631F"/>
    <w:rsid w:val="00DE706A"/>
    <w:rsid w:val="00DE7148"/>
    <w:rsid w:val="00DF0644"/>
    <w:rsid w:val="00DF2E30"/>
    <w:rsid w:val="00DF3878"/>
    <w:rsid w:val="00DF3E97"/>
    <w:rsid w:val="00DF5C4F"/>
    <w:rsid w:val="00DF6D3F"/>
    <w:rsid w:val="00DF7A95"/>
    <w:rsid w:val="00E00C01"/>
    <w:rsid w:val="00E01386"/>
    <w:rsid w:val="00E01E13"/>
    <w:rsid w:val="00E01F24"/>
    <w:rsid w:val="00E047A1"/>
    <w:rsid w:val="00E05479"/>
    <w:rsid w:val="00E0582B"/>
    <w:rsid w:val="00E07780"/>
    <w:rsid w:val="00E07A86"/>
    <w:rsid w:val="00E07E9C"/>
    <w:rsid w:val="00E104E0"/>
    <w:rsid w:val="00E109D2"/>
    <w:rsid w:val="00E12934"/>
    <w:rsid w:val="00E14015"/>
    <w:rsid w:val="00E14873"/>
    <w:rsid w:val="00E148D8"/>
    <w:rsid w:val="00E14BD4"/>
    <w:rsid w:val="00E16EA5"/>
    <w:rsid w:val="00E1730E"/>
    <w:rsid w:val="00E235E2"/>
    <w:rsid w:val="00E241BE"/>
    <w:rsid w:val="00E2633D"/>
    <w:rsid w:val="00E26F96"/>
    <w:rsid w:val="00E30F1F"/>
    <w:rsid w:val="00E32023"/>
    <w:rsid w:val="00E33DAB"/>
    <w:rsid w:val="00E342D1"/>
    <w:rsid w:val="00E3672C"/>
    <w:rsid w:val="00E36E7C"/>
    <w:rsid w:val="00E4042B"/>
    <w:rsid w:val="00E40BBA"/>
    <w:rsid w:val="00E43EE6"/>
    <w:rsid w:val="00E4455A"/>
    <w:rsid w:val="00E472D9"/>
    <w:rsid w:val="00E478C3"/>
    <w:rsid w:val="00E47BFA"/>
    <w:rsid w:val="00E47EAE"/>
    <w:rsid w:val="00E5069D"/>
    <w:rsid w:val="00E51CF6"/>
    <w:rsid w:val="00E53F33"/>
    <w:rsid w:val="00E561B8"/>
    <w:rsid w:val="00E60462"/>
    <w:rsid w:val="00E606F9"/>
    <w:rsid w:val="00E60A85"/>
    <w:rsid w:val="00E62F12"/>
    <w:rsid w:val="00E63496"/>
    <w:rsid w:val="00E6740D"/>
    <w:rsid w:val="00E73BDD"/>
    <w:rsid w:val="00E80485"/>
    <w:rsid w:val="00E81D81"/>
    <w:rsid w:val="00E82007"/>
    <w:rsid w:val="00E82056"/>
    <w:rsid w:val="00E82181"/>
    <w:rsid w:val="00E83286"/>
    <w:rsid w:val="00E8461C"/>
    <w:rsid w:val="00E85094"/>
    <w:rsid w:val="00E85593"/>
    <w:rsid w:val="00E86347"/>
    <w:rsid w:val="00E86556"/>
    <w:rsid w:val="00E878D9"/>
    <w:rsid w:val="00E901D4"/>
    <w:rsid w:val="00E91225"/>
    <w:rsid w:val="00E9136D"/>
    <w:rsid w:val="00E92AA9"/>
    <w:rsid w:val="00E92CC6"/>
    <w:rsid w:val="00E92F26"/>
    <w:rsid w:val="00E935C4"/>
    <w:rsid w:val="00E93ABC"/>
    <w:rsid w:val="00E962E1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CD"/>
    <w:rsid w:val="00EB44E7"/>
    <w:rsid w:val="00EB4797"/>
    <w:rsid w:val="00EB51C4"/>
    <w:rsid w:val="00EB63D3"/>
    <w:rsid w:val="00EB6DEC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4B0"/>
    <w:rsid w:val="00EF7F4C"/>
    <w:rsid w:val="00F00515"/>
    <w:rsid w:val="00F01E63"/>
    <w:rsid w:val="00F042EE"/>
    <w:rsid w:val="00F048F8"/>
    <w:rsid w:val="00F04B95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4F8D"/>
    <w:rsid w:val="00F46651"/>
    <w:rsid w:val="00F4793F"/>
    <w:rsid w:val="00F47BEC"/>
    <w:rsid w:val="00F47E59"/>
    <w:rsid w:val="00F50375"/>
    <w:rsid w:val="00F5056F"/>
    <w:rsid w:val="00F51E15"/>
    <w:rsid w:val="00F5219B"/>
    <w:rsid w:val="00F5301F"/>
    <w:rsid w:val="00F53971"/>
    <w:rsid w:val="00F5445D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127"/>
    <w:rsid w:val="00F66436"/>
    <w:rsid w:val="00F671DF"/>
    <w:rsid w:val="00F678E9"/>
    <w:rsid w:val="00F733D4"/>
    <w:rsid w:val="00F76537"/>
    <w:rsid w:val="00F76A92"/>
    <w:rsid w:val="00F76DC5"/>
    <w:rsid w:val="00F80AA8"/>
    <w:rsid w:val="00F80FDA"/>
    <w:rsid w:val="00F80FF6"/>
    <w:rsid w:val="00F81DB3"/>
    <w:rsid w:val="00F81EA1"/>
    <w:rsid w:val="00F822C3"/>
    <w:rsid w:val="00F84714"/>
    <w:rsid w:val="00F8542D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3D0E"/>
    <w:rsid w:val="00FB5506"/>
    <w:rsid w:val="00FB7D07"/>
    <w:rsid w:val="00FC03DC"/>
    <w:rsid w:val="00FC07A8"/>
    <w:rsid w:val="00FC1070"/>
    <w:rsid w:val="00FC2078"/>
    <w:rsid w:val="00FC31CB"/>
    <w:rsid w:val="00FC3358"/>
    <w:rsid w:val="00FC3B33"/>
    <w:rsid w:val="00FC5AFB"/>
    <w:rsid w:val="00FC6E03"/>
    <w:rsid w:val="00FC7695"/>
    <w:rsid w:val="00FD0083"/>
    <w:rsid w:val="00FD00B4"/>
    <w:rsid w:val="00FD01D5"/>
    <w:rsid w:val="00FD04B9"/>
    <w:rsid w:val="00FD06EE"/>
    <w:rsid w:val="00FD08AC"/>
    <w:rsid w:val="00FD0943"/>
    <w:rsid w:val="00FD1599"/>
    <w:rsid w:val="00FD2972"/>
    <w:rsid w:val="00FD2A87"/>
    <w:rsid w:val="00FD415B"/>
    <w:rsid w:val="00FD4673"/>
    <w:rsid w:val="00FD577A"/>
    <w:rsid w:val="00FE0ED0"/>
    <w:rsid w:val="00FE14AF"/>
    <w:rsid w:val="00FE2A44"/>
    <w:rsid w:val="00FE2CBE"/>
    <w:rsid w:val="00FE38F6"/>
    <w:rsid w:val="00FE3AB7"/>
    <w:rsid w:val="00FE55CF"/>
    <w:rsid w:val="00FE5F32"/>
    <w:rsid w:val="00FE7BF6"/>
    <w:rsid w:val="00FF0069"/>
    <w:rsid w:val="00FF0B77"/>
    <w:rsid w:val="00FF1B6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DA4"/>
    <w:pPr>
      <w:keepNext/>
      <w:numPr>
        <w:numId w:val="4"/>
      </w:numPr>
      <w:spacing w:before="360" w:after="240"/>
      <w:ind w:left="360"/>
      <w:outlineLvl w:val="0"/>
    </w:pPr>
    <w:rPr>
      <w:b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5040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5040"/>
    <w:rPr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504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9F504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F5040"/>
    <w:pPr>
      <w:ind w:left="72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F5040"/>
    <w:pPr>
      <w:jc w:val="both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F50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F5040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F504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9F5040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DefaultParagraphFon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Bullet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DefaultParagraphFon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F504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DefaultParagraphFon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DefaultParagraphFont"/>
    <w:uiPriority w:val="99"/>
    <w:rsid w:val="000D4C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0"/>
    <w:rPr>
      <w:rFonts w:cs="Arial"/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rsid w:val="00C67D2C"/>
    <w:rPr>
      <w:rFonts w:ascii="Consolas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BlockTextCh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TOCHeading">
    <w:name w:val="TOC Heading"/>
    <w:basedOn w:val="Heading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DA4"/>
    <w:pPr>
      <w:keepNext/>
      <w:numPr>
        <w:numId w:val="4"/>
      </w:numPr>
      <w:spacing w:before="360" w:after="240"/>
      <w:ind w:left="360"/>
      <w:outlineLvl w:val="0"/>
    </w:pPr>
    <w:rPr>
      <w:b/>
      <w:kern w:val="28"/>
      <w:sz w:val="24"/>
      <w:u w:val="single"/>
      <w:lang w:eastAsia="en-GB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F5040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5040"/>
    <w:rPr>
      <w:color w:val="FF0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F5040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9F504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F5040"/>
    <w:pPr>
      <w:ind w:left="72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F5040"/>
    <w:pPr>
      <w:jc w:val="both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F50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F5040"/>
    <w:rPr>
      <w:rFonts w:cs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F504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9F5040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DefaultParagraphFon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Bullet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DefaultParagraphFon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F5040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DefaultParagraphFon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DefaultParagraphFont"/>
    <w:uiPriority w:val="99"/>
    <w:rsid w:val="000D4C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0"/>
    <w:rPr>
      <w:rFonts w:cs="Arial"/>
      <w:sz w:val="0"/>
      <w:szCs w:val="0"/>
    </w:rPr>
  </w:style>
  <w:style w:type="paragraph" w:styleId="Caption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rsid w:val="00C67D2C"/>
    <w:rPr>
      <w:rFonts w:ascii="Consolas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BlockTextCh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TOCHeading">
    <w:name w:val="TOC Heading"/>
    <w:basedOn w:val="Heading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7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1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PowerPoint_97-2003_Presentation1.ppt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A0CD-8428-4F10-991D-96003A56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Frankfurt_2009_CA_Draft_Minutes_v1</vt:lpstr>
      <vt:lpstr>Frankfurt_2009_CA_Draft_Minutes_v1</vt:lpstr>
    </vt:vector>
  </TitlesOfParts>
  <Company>SWIFT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4</cp:revision>
  <cp:lastPrinted>2012-05-10T13:07:00Z</cp:lastPrinted>
  <dcterms:created xsi:type="dcterms:W3CDTF">2013-09-17T10:11:00Z</dcterms:created>
  <dcterms:modified xsi:type="dcterms:W3CDTF">2013-09-17T10:13:00Z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