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ppt" ContentType="application/vnd.ms-powerpoi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7B162C" w:rsidP="00592037">
      <w:pPr>
        <w:rPr>
          <w:lang w:val="en-GB"/>
        </w:rPr>
      </w:pPr>
      <w:r>
        <w:rPr>
          <w:noProof/>
          <w:lang w:val="fr-FR" w:eastAsia="fr-FR"/>
        </w:rPr>
        <w:drawing>
          <wp:anchor distT="0" distB="0" distL="114300" distR="114300" simplePos="0" relativeHeight="251658240" behindDoc="0" locked="0" layoutInCell="1" allowOverlap="1" wp14:anchorId="094E1663" wp14:editId="13BD99BA">
            <wp:simplePos x="0" y="0"/>
            <wp:positionH relativeFrom="column">
              <wp:posOffset>2546350</wp:posOffset>
            </wp:positionH>
            <wp:positionV relativeFrom="paragraph">
              <wp:posOffset>-152400</wp:posOffset>
            </wp:positionV>
            <wp:extent cx="3759200" cy="2819400"/>
            <wp:effectExtent l="0" t="0" r="0" b="0"/>
            <wp:wrapTopAndBottom/>
            <wp:docPr id="3"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E60462">
        <w:rPr>
          <w:lang w:val="en-GB"/>
        </w:rPr>
        <w:tab/>
      </w: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A738EA">
      <w:pPr>
        <w:pStyle w:val="En-tte"/>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En-tte"/>
        <w:rPr>
          <w:lang w:val="en-GB"/>
        </w:rPr>
      </w:pPr>
      <w:r>
        <w:rPr>
          <w:lang w:val="en-GB"/>
        </w:rPr>
        <w:t>Telephone Conference Minutes</w:t>
      </w:r>
    </w:p>
    <w:p w:rsidR="00E60462" w:rsidRPr="007A69C8" w:rsidRDefault="004D548E" w:rsidP="00A738EA">
      <w:pPr>
        <w:pStyle w:val="En-tte"/>
        <w:rPr>
          <w:lang w:val="en-GB"/>
        </w:rPr>
      </w:pPr>
      <w:r>
        <w:rPr>
          <w:lang w:val="en-GB"/>
        </w:rPr>
        <w:t>13</w:t>
      </w:r>
      <w:r w:rsidR="00B95317">
        <w:rPr>
          <w:lang w:val="en-GB"/>
        </w:rPr>
        <w:t>th</w:t>
      </w:r>
      <w:r w:rsidR="00E60462">
        <w:rPr>
          <w:lang w:val="en-GB"/>
        </w:rPr>
        <w:t xml:space="preserve"> </w:t>
      </w:r>
      <w:r w:rsidR="00A40868">
        <w:rPr>
          <w:lang w:val="en-GB"/>
        </w:rPr>
        <w:t>February</w:t>
      </w:r>
      <w:r w:rsidR="00E60462">
        <w:rPr>
          <w:lang w:val="en-GB"/>
        </w:rPr>
        <w:t xml:space="preserve"> 201</w:t>
      </w:r>
      <w:r>
        <w:rPr>
          <w:lang w:val="en-GB"/>
        </w:rPr>
        <w:t>4</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Pr="00C10F02" w:rsidRDefault="001C5BDD" w:rsidP="00592037">
      <w:pPr>
        <w:rPr>
          <w:lang w:val="en-GB"/>
        </w:rPr>
      </w:pPr>
      <w:r>
        <w:rPr>
          <w:lang w:val="en-GB"/>
        </w:rPr>
        <w:t xml:space="preserve">Publication: </w:t>
      </w:r>
      <w:r w:rsidR="00A40868">
        <w:rPr>
          <w:lang w:val="en-GB"/>
        </w:rPr>
        <w:t>March 17th</w:t>
      </w:r>
      <w:r w:rsidR="002246A4">
        <w:rPr>
          <w:lang w:val="en-GB"/>
        </w:rPr>
        <w:t>,</w:t>
      </w:r>
      <w:r w:rsidR="008F68C2">
        <w:rPr>
          <w:lang w:val="en-GB"/>
        </w:rPr>
        <w:t xml:space="preserve"> 2</w:t>
      </w:r>
      <w:r w:rsidR="00F678E9">
        <w:rPr>
          <w:lang w:val="en-GB"/>
        </w:rPr>
        <w:t>0</w:t>
      </w:r>
      <w:r w:rsidR="008F68C2">
        <w:rPr>
          <w:lang w:val="en-GB"/>
        </w:rPr>
        <w:t>1</w:t>
      </w:r>
      <w:r w:rsidR="009F76BC">
        <w:rPr>
          <w:lang w:val="en-GB"/>
        </w:rPr>
        <w:t>4</w:t>
      </w:r>
    </w:p>
    <w:p w:rsidR="00E60462" w:rsidRDefault="00E60462" w:rsidP="00592037">
      <w:pPr>
        <w:pStyle w:val="Title1"/>
      </w:pPr>
      <w:bookmarkStart w:id="0" w:name="_Toc54501830"/>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r>
        <w:lastRenderedPageBreak/>
        <w:t>Table of Contents</w:t>
      </w:r>
    </w:p>
    <w:p w:rsidR="00E01913" w:rsidRDefault="00E60462">
      <w:pPr>
        <w:pStyle w:val="TM1"/>
        <w:rPr>
          <w:rFonts w:asciiTheme="minorHAnsi" w:eastAsiaTheme="minorEastAsia" w:hAnsiTheme="minorHAnsi" w:cstheme="minorBidi"/>
          <w:b w:val="0"/>
          <w:bCs w:val="0"/>
          <w:sz w:val="22"/>
          <w:szCs w:val="22"/>
          <w:lang w:val="fr-FR" w:eastAsia="fr-FR"/>
        </w:rPr>
      </w:pPr>
      <w:r>
        <w:fldChar w:fldCharType="begin"/>
      </w:r>
      <w:r>
        <w:instrText xml:space="preserve"> TOC \o "1-3" \h \z \u </w:instrText>
      </w:r>
      <w:r>
        <w:fldChar w:fldCharType="separate"/>
      </w:r>
      <w:hyperlink w:anchor="_Toc382921829" w:history="1">
        <w:r w:rsidR="00E01913" w:rsidRPr="007567E8">
          <w:rPr>
            <w:rStyle w:val="Lienhypertexte"/>
            <w:lang w:val="en-GB"/>
          </w:rPr>
          <w:t>1.</w:t>
        </w:r>
        <w:r w:rsidR="00E01913">
          <w:rPr>
            <w:rFonts w:asciiTheme="minorHAnsi" w:eastAsiaTheme="minorEastAsia" w:hAnsiTheme="minorHAnsi" w:cstheme="minorBidi"/>
            <w:b w:val="0"/>
            <w:bCs w:val="0"/>
            <w:sz w:val="22"/>
            <w:szCs w:val="22"/>
            <w:lang w:val="fr-FR" w:eastAsia="fr-FR"/>
          </w:rPr>
          <w:tab/>
        </w:r>
        <w:r w:rsidR="00E01913" w:rsidRPr="007567E8">
          <w:rPr>
            <w:rStyle w:val="Lienhypertexte"/>
          </w:rPr>
          <w:t>Approval / comments of December 19th call minutes</w:t>
        </w:r>
        <w:r w:rsidR="00E01913">
          <w:rPr>
            <w:webHidden/>
          </w:rPr>
          <w:tab/>
        </w:r>
        <w:r w:rsidR="00E01913">
          <w:rPr>
            <w:webHidden/>
          </w:rPr>
          <w:fldChar w:fldCharType="begin"/>
        </w:r>
        <w:r w:rsidR="00E01913">
          <w:rPr>
            <w:webHidden/>
          </w:rPr>
          <w:instrText xml:space="preserve"> PAGEREF _Toc382921829 \h </w:instrText>
        </w:r>
        <w:r w:rsidR="00E01913">
          <w:rPr>
            <w:webHidden/>
          </w:rPr>
        </w:r>
        <w:r w:rsidR="00E01913">
          <w:rPr>
            <w:webHidden/>
          </w:rPr>
          <w:fldChar w:fldCharType="separate"/>
        </w:r>
        <w:r w:rsidR="00E01913">
          <w:rPr>
            <w:webHidden/>
          </w:rPr>
          <w:t>2</w:t>
        </w:r>
        <w:r w:rsidR="00E01913">
          <w:rPr>
            <w:webHidden/>
          </w:rPr>
          <w:fldChar w:fldCharType="end"/>
        </w:r>
      </w:hyperlink>
    </w:p>
    <w:p w:rsidR="00E01913" w:rsidRDefault="00E01913">
      <w:pPr>
        <w:pStyle w:val="TM1"/>
        <w:rPr>
          <w:rFonts w:asciiTheme="minorHAnsi" w:eastAsiaTheme="minorEastAsia" w:hAnsiTheme="minorHAnsi" w:cstheme="minorBidi"/>
          <w:b w:val="0"/>
          <w:bCs w:val="0"/>
          <w:sz w:val="22"/>
          <w:szCs w:val="22"/>
          <w:lang w:val="fr-FR" w:eastAsia="fr-FR"/>
        </w:rPr>
      </w:pPr>
      <w:hyperlink w:anchor="_Toc382921830" w:history="1">
        <w:r w:rsidRPr="007567E8">
          <w:rPr>
            <w:rStyle w:val="Lienhypertexte"/>
            <w:lang w:val="en-GB"/>
          </w:rPr>
          <w:t>2.</w:t>
        </w:r>
        <w:r>
          <w:rPr>
            <w:rFonts w:asciiTheme="minorHAnsi" w:eastAsiaTheme="minorEastAsia" w:hAnsiTheme="minorHAnsi" w:cstheme="minorBidi"/>
            <w:b w:val="0"/>
            <w:bCs w:val="0"/>
            <w:sz w:val="22"/>
            <w:szCs w:val="22"/>
            <w:lang w:val="fr-FR" w:eastAsia="fr-FR"/>
          </w:rPr>
          <w:tab/>
        </w:r>
        <w:r w:rsidRPr="007567E8">
          <w:rPr>
            <w:rStyle w:val="Lienhypertexte"/>
          </w:rPr>
          <w:t>Tax Table</w:t>
        </w:r>
        <w:r>
          <w:rPr>
            <w:webHidden/>
          </w:rPr>
          <w:tab/>
        </w:r>
        <w:r>
          <w:rPr>
            <w:webHidden/>
          </w:rPr>
          <w:fldChar w:fldCharType="begin"/>
        </w:r>
        <w:r>
          <w:rPr>
            <w:webHidden/>
          </w:rPr>
          <w:instrText xml:space="preserve"> PAGEREF _Toc382921830 \h </w:instrText>
        </w:r>
        <w:r>
          <w:rPr>
            <w:webHidden/>
          </w:rPr>
        </w:r>
        <w:r>
          <w:rPr>
            <w:webHidden/>
          </w:rPr>
          <w:fldChar w:fldCharType="separate"/>
        </w:r>
        <w:r>
          <w:rPr>
            <w:webHidden/>
          </w:rPr>
          <w:t>3</w:t>
        </w:r>
        <w:r>
          <w:rPr>
            <w:webHidden/>
          </w:rPr>
          <w:fldChar w:fldCharType="end"/>
        </w:r>
      </w:hyperlink>
    </w:p>
    <w:p w:rsidR="00E01913" w:rsidRDefault="00E01913">
      <w:pPr>
        <w:pStyle w:val="TM1"/>
        <w:rPr>
          <w:rFonts w:asciiTheme="minorHAnsi" w:eastAsiaTheme="minorEastAsia" w:hAnsiTheme="minorHAnsi" w:cstheme="minorBidi"/>
          <w:b w:val="0"/>
          <w:bCs w:val="0"/>
          <w:sz w:val="22"/>
          <w:szCs w:val="22"/>
          <w:lang w:val="fr-FR" w:eastAsia="fr-FR"/>
        </w:rPr>
      </w:pPr>
      <w:hyperlink w:anchor="_Toc382921831" w:history="1">
        <w:r w:rsidRPr="007567E8">
          <w:rPr>
            <w:rStyle w:val="Lienhypertexte"/>
            <w:lang w:val="en-GB"/>
          </w:rPr>
          <w:t>3.</w:t>
        </w:r>
        <w:r>
          <w:rPr>
            <w:rFonts w:asciiTheme="minorHAnsi" w:eastAsiaTheme="minorEastAsia" w:hAnsiTheme="minorHAnsi" w:cstheme="minorBidi"/>
            <w:b w:val="0"/>
            <w:bCs w:val="0"/>
            <w:sz w:val="22"/>
            <w:szCs w:val="22"/>
            <w:lang w:val="fr-FR" w:eastAsia="fr-FR"/>
          </w:rPr>
          <w:tab/>
        </w:r>
        <w:r w:rsidRPr="007567E8">
          <w:rPr>
            <w:rStyle w:val="Lienhypertexte"/>
          </w:rPr>
          <w:t>WITF/WITL/TAXR MP</w:t>
        </w:r>
        <w:r>
          <w:rPr>
            <w:webHidden/>
          </w:rPr>
          <w:tab/>
        </w:r>
        <w:r>
          <w:rPr>
            <w:webHidden/>
          </w:rPr>
          <w:fldChar w:fldCharType="begin"/>
        </w:r>
        <w:r>
          <w:rPr>
            <w:webHidden/>
          </w:rPr>
          <w:instrText xml:space="preserve"> PAGEREF _Toc382921831 \h </w:instrText>
        </w:r>
        <w:r>
          <w:rPr>
            <w:webHidden/>
          </w:rPr>
        </w:r>
        <w:r>
          <w:rPr>
            <w:webHidden/>
          </w:rPr>
          <w:fldChar w:fldCharType="separate"/>
        </w:r>
        <w:r>
          <w:rPr>
            <w:webHidden/>
          </w:rPr>
          <w:t>3</w:t>
        </w:r>
        <w:r>
          <w:rPr>
            <w:webHidden/>
          </w:rPr>
          <w:fldChar w:fldCharType="end"/>
        </w:r>
      </w:hyperlink>
    </w:p>
    <w:p w:rsidR="00E01913" w:rsidRDefault="00E01913">
      <w:pPr>
        <w:pStyle w:val="TM1"/>
        <w:rPr>
          <w:rFonts w:asciiTheme="minorHAnsi" w:eastAsiaTheme="minorEastAsia" w:hAnsiTheme="minorHAnsi" w:cstheme="minorBidi"/>
          <w:b w:val="0"/>
          <w:bCs w:val="0"/>
          <w:sz w:val="22"/>
          <w:szCs w:val="22"/>
          <w:lang w:val="fr-FR" w:eastAsia="fr-FR"/>
        </w:rPr>
      </w:pPr>
      <w:hyperlink w:anchor="_Toc382921832" w:history="1">
        <w:r w:rsidRPr="007567E8">
          <w:rPr>
            <w:rStyle w:val="Lienhypertexte"/>
            <w:lang w:val="en-GB"/>
          </w:rPr>
          <w:t>4.</w:t>
        </w:r>
        <w:r>
          <w:rPr>
            <w:rFonts w:asciiTheme="minorHAnsi" w:eastAsiaTheme="minorEastAsia" w:hAnsiTheme="minorHAnsi" w:cstheme="minorBidi"/>
            <w:b w:val="0"/>
            <w:bCs w:val="0"/>
            <w:sz w:val="22"/>
            <w:szCs w:val="22"/>
            <w:lang w:val="fr-FR" w:eastAsia="fr-FR"/>
          </w:rPr>
          <w:tab/>
        </w:r>
        <w:r w:rsidRPr="007567E8">
          <w:rPr>
            <w:rStyle w:val="Lienhypertexte"/>
          </w:rPr>
          <w:t>Tax processing flow / certification process</w:t>
        </w:r>
        <w:r>
          <w:rPr>
            <w:webHidden/>
          </w:rPr>
          <w:tab/>
        </w:r>
        <w:r>
          <w:rPr>
            <w:webHidden/>
          </w:rPr>
          <w:fldChar w:fldCharType="begin"/>
        </w:r>
        <w:r>
          <w:rPr>
            <w:webHidden/>
          </w:rPr>
          <w:instrText xml:space="preserve"> PAGEREF _Toc382921832 \h </w:instrText>
        </w:r>
        <w:r>
          <w:rPr>
            <w:webHidden/>
          </w:rPr>
        </w:r>
        <w:r>
          <w:rPr>
            <w:webHidden/>
          </w:rPr>
          <w:fldChar w:fldCharType="separate"/>
        </w:r>
        <w:r>
          <w:rPr>
            <w:webHidden/>
          </w:rPr>
          <w:t>5</w:t>
        </w:r>
        <w:r>
          <w:rPr>
            <w:webHidden/>
          </w:rPr>
          <w:fldChar w:fldCharType="end"/>
        </w:r>
      </w:hyperlink>
    </w:p>
    <w:p w:rsidR="00E01913" w:rsidRDefault="00E01913">
      <w:pPr>
        <w:pStyle w:val="TM1"/>
        <w:rPr>
          <w:rFonts w:asciiTheme="minorHAnsi" w:eastAsiaTheme="minorEastAsia" w:hAnsiTheme="minorHAnsi" w:cstheme="minorBidi"/>
          <w:b w:val="0"/>
          <w:bCs w:val="0"/>
          <w:sz w:val="22"/>
          <w:szCs w:val="22"/>
          <w:lang w:val="fr-FR" w:eastAsia="fr-FR"/>
        </w:rPr>
      </w:pPr>
      <w:hyperlink w:anchor="_Toc382921833" w:history="1">
        <w:r w:rsidRPr="007567E8">
          <w:rPr>
            <w:rStyle w:val="Lienhypertexte"/>
            <w:lang w:val="en-GB"/>
          </w:rPr>
          <w:t>5.</w:t>
        </w:r>
        <w:r>
          <w:rPr>
            <w:rFonts w:asciiTheme="minorHAnsi" w:eastAsiaTheme="minorEastAsia" w:hAnsiTheme="minorHAnsi" w:cstheme="minorBidi"/>
            <w:b w:val="0"/>
            <w:bCs w:val="0"/>
            <w:sz w:val="22"/>
            <w:szCs w:val="22"/>
            <w:lang w:val="fr-FR" w:eastAsia="fr-FR"/>
          </w:rPr>
          <w:tab/>
        </w:r>
        <w:r w:rsidRPr="007567E8">
          <w:rPr>
            <w:rStyle w:val="Lienhypertexte"/>
          </w:rPr>
          <w:t>FATCA</w:t>
        </w:r>
        <w:r>
          <w:rPr>
            <w:webHidden/>
          </w:rPr>
          <w:tab/>
        </w:r>
        <w:r>
          <w:rPr>
            <w:webHidden/>
          </w:rPr>
          <w:fldChar w:fldCharType="begin"/>
        </w:r>
        <w:r>
          <w:rPr>
            <w:webHidden/>
          </w:rPr>
          <w:instrText xml:space="preserve"> PAGEREF _Toc382921833 \h </w:instrText>
        </w:r>
        <w:r>
          <w:rPr>
            <w:webHidden/>
          </w:rPr>
        </w:r>
        <w:r>
          <w:rPr>
            <w:webHidden/>
          </w:rPr>
          <w:fldChar w:fldCharType="separate"/>
        </w:r>
        <w:r>
          <w:rPr>
            <w:webHidden/>
          </w:rPr>
          <w:t>5</w:t>
        </w:r>
        <w:r>
          <w:rPr>
            <w:webHidden/>
          </w:rPr>
          <w:fldChar w:fldCharType="end"/>
        </w:r>
      </w:hyperlink>
    </w:p>
    <w:p w:rsidR="00E01913" w:rsidRDefault="00E01913">
      <w:pPr>
        <w:pStyle w:val="TM1"/>
        <w:rPr>
          <w:rFonts w:asciiTheme="minorHAnsi" w:eastAsiaTheme="minorEastAsia" w:hAnsiTheme="minorHAnsi" w:cstheme="minorBidi"/>
          <w:b w:val="0"/>
          <w:bCs w:val="0"/>
          <w:sz w:val="22"/>
          <w:szCs w:val="22"/>
          <w:lang w:val="fr-FR" w:eastAsia="fr-FR"/>
        </w:rPr>
      </w:pPr>
      <w:hyperlink w:anchor="_Toc382921834" w:history="1">
        <w:r w:rsidRPr="007567E8">
          <w:rPr>
            <w:rStyle w:val="Lienhypertexte"/>
            <w:lang w:val="en-GB"/>
          </w:rPr>
          <w:t>6.</w:t>
        </w:r>
        <w:r>
          <w:rPr>
            <w:rFonts w:asciiTheme="minorHAnsi" w:eastAsiaTheme="minorEastAsia" w:hAnsiTheme="minorHAnsi" w:cstheme="minorBidi"/>
            <w:b w:val="0"/>
            <w:bCs w:val="0"/>
            <w:sz w:val="22"/>
            <w:szCs w:val="22"/>
            <w:lang w:val="fr-FR" w:eastAsia="fr-FR"/>
          </w:rPr>
          <w:tab/>
        </w:r>
        <w:r w:rsidRPr="007567E8">
          <w:rPr>
            <w:rStyle w:val="Lienhypertexte"/>
          </w:rPr>
          <w:t>CA 200.2 – Options for Tax Treatment</w:t>
        </w:r>
        <w:r>
          <w:rPr>
            <w:webHidden/>
          </w:rPr>
          <w:tab/>
        </w:r>
        <w:r>
          <w:rPr>
            <w:webHidden/>
          </w:rPr>
          <w:fldChar w:fldCharType="begin"/>
        </w:r>
        <w:r>
          <w:rPr>
            <w:webHidden/>
          </w:rPr>
          <w:instrText xml:space="preserve"> PAGEREF _Toc382921834 \h </w:instrText>
        </w:r>
        <w:r>
          <w:rPr>
            <w:webHidden/>
          </w:rPr>
        </w:r>
        <w:r>
          <w:rPr>
            <w:webHidden/>
          </w:rPr>
          <w:fldChar w:fldCharType="separate"/>
        </w:r>
        <w:r>
          <w:rPr>
            <w:webHidden/>
          </w:rPr>
          <w:t>5</w:t>
        </w:r>
        <w:r>
          <w:rPr>
            <w:webHidden/>
          </w:rPr>
          <w:fldChar w:fldCharType="end"/>
        </w:r>
      </w:hyperlink>
    </w:p>
    <w:p w:rsidR="00E01913" w:rsidRDefault="00E01913">
      <w:pPr>
        <w:pStyle w:val="TM1"/>
        <w:rPr>
          <w:rFonts w:asciiTheme="minorHAnsi" w:eastAsiaTheme="minorEastAsia" w:hAnsiTheme="minorHAnsi" w:cstheme="minorBidi"/>
          <w:b w:val="0"/>
          <w:bCs w:val="0"/>
          <w:sz w:val="22"/>
          <w:szCs w:val="22"/>
          <w:lang w:val="fr-FR" w:eastAsia="fr-FR"/>
        </w:rPr>
      </w:pPr>
      <w:hyperlink w:anchor="_Toc382921835" w:history="1">
        <w:r w:rsidRPr="007567E8">
          <w:rPr>
            <w:rStyle w:val="Lienhypertexte"/>
            <w:lang w:val="en-GB"/>
          </w:rPr>
          <w:t>7.</w:t>
        </w:r>
        <w:r>
          <w:rPr>
            <w:rFonts w:asciiTheme="minorHAnsi" w:eastAsiaTheme="minorEastAsia" w:hAnsiTheme="minorHAnsi" w:cstheme="minorBidi"/>
            <w:b w:val="0"/>
            <w:bCs w:val="0"/>
            <w:sz w:val="22"/>
            <w:szCs w:val="22"/>
            <w:lang w:val="fr-FR" w:eastAsia="fr-FR"/>
          </w:rPr>
          <w:tab/>
        </w:r>
        <w:r w:rsidRPr="007567E8">
          <w:rPr>
            <w:rStyle w:val="Lienhypertexte"/>
          </w:rPr>
          <w:t>Other topics</w:t>
        </w:r>
        <w:r>
          <w:rPr>
            <w:webHidden/>
          </w:rPr>
          <w:tab/>
        </w:r>
        <w:r>
          <w:rPr>
            <w:webHidden/>
          </w:rPr>
          <w:fldChar w:fldCharType="begin"/>
        </w:r>
        <w:r>
          <w:rPr>
            <w:webHidden/>
          </w:rPr>
          <w:instrText xml:space="preserve"> PAGEREF _Toc382921835 \h </w:instrText>
        </w:r>
        <w:r>
          <w:rPr>
            <w:webHidden/>
          </w:rPr>
        </w:r>
        <w:r>
          <w:rPr>
            <w:webHidden/>
          </w:rPr>
          <w:fldChar w:fldCharType="separate"/>
        </w:r>
        <w:r>
          <w:rPr>
            <w:webHidden/>
          </w:rPr>
          <w:t>6</w:t>
        </w:r>
        <w:r>
          <w:rPr>
            <w:webHidden/>
          </w:rPr>
          <w:fldChar w:fldCharType="end"/>
        </w:r>
      </w:hyperlink>
    </w:p>
    <w:p w:rsidR="00E01913" w:rsidRDefault="00E01913">
      <w:pPr>
        <w:pStyle w:val="TM1"/>
        <w:rPr>
          <w:rFonts w:asciiTheme="minorHAnsi" w:eastAsiaTheme="minorEastAsia" w:hAnsiTheme="minorHAnsi" w:cstheme="minorBidi"/>
          <w:b w:val="0"/>
          <w:bCs w:val="0"/>
          <w:sz w:val="22"/>
          <w:szCs w:val="22"/>
          <w:lang w:val="fr-FR" w:eastAsia="fr-FR"/>
        </w:rPr>
      </w:pPr>
      <w:hyperlink w:anchor="_Toc382921836" w:history="1">
        <w:r w:rsidRPr="007567E8">
          <w:rPr>
            <w:rStyle w:val="Lienhypertexte"/>
            <w:lang w:val="en-GB"/>
          </w:rPr>
          <w:t>8.</w:t>
        </w:r>
        <w:r>
          <w:rPr>
            <w:rFonts w:asciiTheme="minorHAnsi" w:eastAsiaTheme="minorEastAsia" w:hAnsiTheme="minorHAnsi" w:cstheme="minorBidi"/>
            <w:b w:val="0"/>
            <w:bCs w:val="0"/>
            <w:sz w:val="22"/>
            <w:szCs w:val="22"/>
            <w:lang w:val="fr-FR" w:eastAsia="fr-FR"/>
          </w:rPr>
          <w:tab/>
        </w:r>
        <w:r w:rsidRPr="007567E8">
          <w:rPr>
            <w:rStyle w:val="Lienhypertexte"/>
          </w:rPr>
          <w:t>Next Conference Calls</w:t>
        </w:r>
        <w:r>
          <w:rPr>
            <w:webHidden/>
          </w:rPr>
          <w:tab/>
        </w:r>
        <w:r>
          <w:rPr>
            <w:webHidden/>
          </w:rPr>
          <w:fldChar w:fldCharType="begin"/>
        </w:r>
        <w:r>
          <w:rPr>
            <w:webHidden/>
          </w:rPr>
          <w:instrText xml:space="preserve"> PAGEREF _Toc382921836 \h </w:instrText>
        </w:r>
        <w:r>
          <w:rPr>
            <w:webHidden/>
          </w:rPr>
        </w:r>
        <w:r>
          <w:rPr>
            <w:webHidden/>
          </w:rPr>
          <w:fldChar w:fldCharType="separate"/>
        </w:r>
        <w:r>
          <w:rPr>
            <w:webHidden/>
          </w:rPr>
          <w:t>6</w:t>
        </w:r>
        <w:r>
          <w:rPr>
            <w:webHidden/>
          </w:rPr>
          <w:fldChar w:fldCharType="end"/>
        </w:r>
      </w:hyperlink>
    </w:p>
    <w:p w:rsidR="00E60462" w:rsidRDefault="00E60462">
      <w:r>
        <w:fldChar w:fldCharType="end"/>
      </w:r>
    </w:p>
    <w:p w:rsidR="00E60462" w:rsidRDefault="00E60462" w:rsidP="00F80FDA">
      <w:pPr>
        <w:rPr>
          <w:b/>
          <w:sz w:val="24"/>
          <w:szCs w:val="24"/>
          <w:u w:val="single"/>
          <w:lang w:eastAsia="en-GB"/>
        </w:rPr>
      </w:pPr>
      <w:bookmarkStart w:id="1" w:name="OLE_LINK1"/>
      <w:bookmarkStart w:id="2" w:name="OLE_LINK2"/>
      <w:r w:rsidRPr="00F80FDA">
        <w:rPr>
          <w:b/>
          <w:sz w:val="24"/>
          <w:szCs w:val="24"/>
          <w:u w:val="single"/>
          <w:lang w:eastAsia="en-GB"/>
        </w:rPr>
        <w:t>Attendees</w:t>
      </w:r>
      <w:bookmarkEnd w:id="0"/>
    </w:p>
    <w:p w:rsidR="00A40868" w:rsidRDefault="00A40868" w:rsidP="006F6267">
      <w:pPr>
        <w:pStyle w:val="Actions"/>
        <w:jc w:val="left"/>
        <w:rPr>
          <w:b/>
          <w:u w:val="single"/>
        </w:rPr>
      </w:pPr>
    </w:p>
    <w:tbl>
      <w:tblPr>
        <w:tblW w:w="8720" w:type="dxa"/>
        <w:tblInd w:w="55" w:type="dxa"/>
        <w:tblCellMar>
          <w:left w:w="70" w:type="dxa"/>
          <w:right w:w="70" w:type="dxa"/>
        </w:tblCellMar>
        <w:tblLook w:val="04A0" w:firstRow="1" w:lastRow="0" w:firstColumn="1" w:lastColumn="0" w:noHBand="0" w:noVBand="1"/>
      </w:tblPr>
      <w:tblGrid>
        <w:gridCol w:w="1037"/>
        <w:gridCol w:w="920"/>
        <w:gridCol w:w="560"/>
        <w:gridCol w:w="1343"/>
        <w:gridCol w:w="1480"/>
        <w:gridCol w:w="2028"/>
        <w:gridCol w:w="1352"/>
      </w:tblGrid>
      <w:tr w:rsidR="00A40868" w:rsidRPr="00A40868" w:rsidTr="00A40868">
        <w:trPr>
          <w:trHeight w:val="315"/>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b/>
                <w:bCs/>
                <w:color w:val="000000"/>
                <w:lang w:val="fr-FR" w:eastAsia="fr-FR"/>
              </w:rPr>
            </w:pPr>
            <w:r w:rsidRPr="00A40868">
              <w:rPr>
                <w:b/>
                <w:bCs/>
                <w:color w:val="000000"/>
                <w:lang w:val="fr-FR" w:eastAsia="fr-FR"/>
              </w:rPr>
              <w:t>Country</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b/>
                <w:bCs/>
                <w:color w:val="000000"/>
                <w:lang w:val="fr-FR" w:eastAsia="fr-FR"/>
              </w:rPr>
            </w:pPr>
            <w:r w:rsidRPr="00A40868">
              <w:rPr>
                <w:b/>
                <w:bCs/>
                <w:color w:val="000000"/>
                <w:lang w:val="fr-FR" w:eastAsia="fr-FR"/>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b/>
                <w:bCs/>
                <w:color w:val="000000"/>
                <w:lang w:val="fr-FR" w:eastAsia="fr-FR"/>
              </w:rPr>
            </w:pPr>
            <w:r w:rsidRPr="00A40868">
              <w:rPr>
                <w:b/>
                <w:bCs/>
                <w:color w:val="000000"/>
                <w:lang w:val="fr-FR" w:eastAsia="fr-FR"/>
              </w:rPr>
              <w:t>First Name</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b/>
                <w:bCs/>
                <w:color w:val="000000"/>
                <w:lang w:val="fr-FR" w:eastAsia="fr-FR"/>
              </w:rPr>
            </w:pPr>
            <w:r w:rsidRPr="00A40868">
              <w:rPr>
                <w:b/>
                <w:bCs/>
                <w:color w:val="000000"/>
                <w:lang w:val="fr-FR" w:eastAsia="fr-FR"/>
              </w:rPr>
              <w:t>Last Name</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b/>
                <w:bCs/>
                <w:color w:val="000000"/>
                <w:lang w:val="fr-FR" w:eastAsia="fr-FR"/>
              </w:rPr>
            </w:pPr>
            <w:r w:rsidRPr="00A40868">
              <w:rPr>
                <w:b/>
                <w:bCs/>
                <w:color w:val="000000"/>
                <w:lang w:val="fr-FR" w:eastAsia="fr-FR"/>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b/>
                <w:bCs/>
                <w:color w:val="000000"/>
                <w:lang w:val="fr-FR" w:eastAsia="fr-FR"/>
              </w:rPr>
            </w:pPr>
            <w:r w:rsidRPr="00A40868">
              <w:rPr>
                <w:b/>
                <w:bCs/>
                <w:color w:val="000000"/>
                <w:lang w:val="fr-FR" w:eastAsia="fr-FR"/>
              </w:rPr>
              <w:t>Participation</w:t>
            </w:r>
          </w:p>
        </w:tc>
      </w:tr>
      <w:tr w:rsidR="00A40868" w:rsidRPr="00A40868" w:rsidTr="00A40868">
        <w:trPr>
          <w:trHeight w:val="315"/>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rFonts w:ascii="Calibri" w:hAnsi="Calibri" w:cs="Calibri"/>
                <w:sz w:val="22"/>
                <w:szCs w:val="22"/>
                <w:lang w:val="fr-FR" w:eastAsia="fr-FR"/>
              </w:rPr>
            </w:pPr>
            <w:r w:rsidRPr="00A40868">
              <w:rPr>
                <w:rFonts w:ascii="Calibri" w:hAnsi="Calibri" w:cs="Calibri"/>
                <w:sz w:val="22"/>
                <w:szCs w:val="22"/>
                <w:lang w:val="fr-FR" w:eastAsia="fr-FR"/>
              </w:rPr>
              <w:t>BE</w:t>
            </w:r>
          </w:p>
        </w:tc>
        <w:tc>
          <w:tcPr>
            <w:tcW w:w="56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rFonts w:ascii="Calibri" w:hAnsi="Calibri" w:cs="Calibri"/>
                <w:sz w:val="22"/>
                <w:szCs w:val="22"/>
                <w:lang w:val="fr-FR" w:eastAsia="fr-FR"/>
              </w:rPr>
            </w:pPr>
            <w:r w:rsidRPr="00A40868">
              <w:rPr>
                <w:rFonts w:ascii="Calibri" w:hAnsi="Calibri" w:cs="Calibri"/>
                <w:sz w:val="22"/>
                <w:szCs w:val="22"/>
                <w:lang w:val="fr-FR" w:eastAsia="fr-FR"/>
              </w:rPr>
              <w:t>Ms.</w:t>
            </w:r>
          </w:p>
        </w:tc>
        <w:tc>
          <w:tcPr>
            <w:tcW w:w="136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sz w:val="22"/>
                <w:szCs w:val="22"/>
                <w:lang w:val="fr-FR" w:eastAsia="fr-FR"/>
              </w:rPr>
            </w:pPr>
            <w:r w:rsidRPr="00A40868">
              <w:rPr>
                <w:rFonts w:ascii="Calibri" w:hAnsi="Calibri" w:cs="Calibri"/>
                <w:sz w:val="22"/>
                <w:szCs w:val="22"/>
                <w:lang w:val="fr-FR" w:eastAsia="fr-FR"/>
              </w:rPr>
              <w:t>Véronique</w:t>
            </w:r>
          </w:p>
        </w:tc>
        <w:tc>
          <w:tcPr>
            <w:tcW w:w="148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sz w:val="22"/>
                <w:szCs w:val="22"/>
                <w:lang w:val="fr-FR" w:eastAsia="fr-FR"/>
              </w:rPr>
            </w:pPr>
            <w:r w:rsidRPr="00A40868">
              <w:rPr>
                <w:rFonts w:ascii="Calibri" w:hAnsi="Calibri" w:cs="Calibri"/>
                <w:sz w:val="22"/>
                <w:szCs w:val="22"/>
                <w:lang w:val="fr-FR" w:eastAsia="fr-FR"/>
              </w:rPr>
              <w:t>Peeters</w:t>
            </w:r>
          </w:p>
        </w:tc>
        <w:tc>
          <w:tcPr>
            <w:tcW w:w="208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sz w:val="22"/>
                <w:szCs w:val="22"/>
                <w:lang w:val="fr-FR" w:eastAsia="fr-FR"/>
              </w:rPr>
            </w:pPr>
            <w:r w:rsidRPr="00A40868">
              <w:rPr>
                <w:rFonts w:ascii="Calibri" w:hAnsi="Calibri" w:cs="Calibri"/>
                <w:sz w:val="22"/>
                <w:szCs w:val="22"/>
                <w:lang w:val="fr-FR" w:eastAsia="fr-FR"/>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Excused</w:t>
            </w:r>
          </w:p>
        </w:tc>
      </w:tr>
      <w:tr w:rsidR="00A40868" w:rsidRPr="00A40868" w:rsidTr="00A40868">
        <w:trPr>
          <w:trHeight w:val="330"/>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Facilitator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N / A</w:t>
            </w:r>
          </w:p>
        </w:tc>
        <w:tc>
          <w:tcPr>
            <w:tcW w:w="5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Jacques</w:t>
            </w:r>
          </w:p>
        </w:tc>
        <w:tc>
          <w:tcPr>
            <w:tcW w:w="14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Littré</w:t>
            </w:r>
          </w:p>
        </w:tc>
        <w:tc>
          <w:tcPr>
            <w:tcW w:w="20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SWIFT</w:t>
            </w:r>
          </w:p>
        </w:tc>
        <w:tc>
          <w:tcPr>
            <w:tcW w:w="132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Webdings" w:hAnsi="Webdings" w:cs="Calibri"/>
                <w:color w:val="000000"/>
                <w:sz w:val="22"/>
                <w:szCs w:val="22"/>
                <w:lang w:val="fr-FR" w:eastAsia="fr-FR"/>
              </w:rPr>
            </w:pPr>
            <w:r w:rsidRPr="00A40868">
              <w:rPr>
                <w:rFonts w:ascii="Webdings" w:hAnsi="Webdings" w:cs="Calibri"/>
                <w:color w:val="000000"/>
                <w:sz w:val="22"/>
                <w:szCs w:val="22"/>
                <w:lang w:val="fr-FR" w:eastAsia="fr-FR"/>
              </w:rPr>
              <w:t></w:t>
            </w:r>
          </w:p>
        </w:tc>
      </w:tr>
      <w:tr w:rsidR="00A40868" w:rsidRPr="00A40868" w:rsidTr="007003B1">
        <w:trPr>
          <w:trHeight w:val="330"/>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CH</w:t>
            </w:r>
          </w:p>
        </w:tc>
        <w:tc>
          <w:tcPr>
            <w:tcW w:w="5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Reto</w:t>
            </w:r>
          </w:p>
        </w:tc>
        <w:tc>
          <w:tcPr>
            <w:tcW w:w="14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Baumgartner</w:t>
            </w:r>
          </w:p>
        </w:tc>
        <w:tc>
          <w:tcPr>
            <w:tcW w:w="20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Credit Suisse</w:t>
            </w:r>
          </w:p>
        </w:tc>
        <w:tc>
          <w:tcPr>
            <w:tcW w:w="1320" w:type="dxa"/>
            <w:tcBorders>
              <w:top w:val="nil"/>
              <w:left w:val="nil"/>
              <w:bottom w:val="single" w:sz="8" w:space="0" w:color="auto"/>
              <w:right w:val="single" w:sz="8" w:space="0" w:color="auto"/>
            </w:tcBorders>
            <w:shd w:val="clear" w:color="auto" w:fill="01FF74"/>
            <w:vAlign w:val="center"/>
            <w:hideMark/>
          </w:tcPr>
          <w:p w:rsidR="00A40868" w:rsidRPr="00A40868" w:rsidRDefault="00A40868" w:rsidP="00A40868">
            <w:pPr>
              <w:spacing w:after="0"/>
              <w:jc w:val="center"/>
              <w:rPr>
                <w:rFonts w:ascii="Webdings" w:hAnsi="Webdings" w:cs="Calibri"/>
                <w:color w:val="000000"/>
                <w:sz w:val="22"/>
                <w:szCs w:val="22"/>
                <w:lang w:val="fr-FR" w:eastAsia="fr-FR"/>
              </w:rPr>
            </w:pPr>
            <w:r w:rsidRPr="00A40868">
              <w:rPr>
                <w:rFonts w:ascii="Webdings" w:hAnsi="Webdings" w:cs="Calibri"/>
                <w:color w:val="000000"/>
                <w:sz w:val="22"/>
                <w:szCs w:val="22"/>
                <w:lang w:val="fr-FR" w:eastAsia="fr-FR"/>
              </w:rPr>
              <w:t></w:t>
            </w:r>
          </w:p>
        </w:tc>
      </w:tr>
      <w:tr w:rsidR="00A40868" w:rsidRPr="00A40868" w:rsidTr="007003B1">
        <w:trPr>
          <w:trHeight w:val="315"/>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shd w:val="clear" w:color="auto"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Daniel</w:t>
            </w:r>
          </w:p>
        </w:tc>
        <w:tc>
          <w:tcPr>
            <w:tcW w:w="1480" w:type="dxa"/>
            <w:tcBorders>
              <w:top w:val="nil"/>
              <w:left w:val="nil"/>
              <w:bottom w:val="single" w:sz="8" w:space="0" w:color="auto"/>
              <w:right w:val="single" w:sz="8" w:space="0" w:color="auto"/>
            </w:tcBorders>
            <w:shd w:val="clear" w:color="auto"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Schaefer</w:t>
            </w:r>
          </w:p>
        </w:tc>
        <w:tc>
          <w:tcPr>
            <w:tcW w:w="2080" w:type="dxa"/>
            <w:tcBorders>
              <w:top w:val="nil"/>
              <w:left w:val="nil"/>
              <w:bottom w:val="single" w:sz="8" w:space="0" w:color="auto"/>
              <w:right w:val="single" w:sz="8" w:space="0" w:color="auto"/>
            </w:tcBorders>
            <w:shd w:val="clear" w:color="auto"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HSBC</w:t>
            </w:r>
          </w:p>
        </w:tc>
        <w:tc>
          <w:tcPr>
            <w:tcW w:w="1320" w:type="dxa"/>
            <w:tcBorders>
              <w:top w:val="nil"/>
              <w:left w:val="nil"/>
              <w:bottom w:val="single" w:sz="8" w:space="0" w:color="auto"/>
              <w:right w:val="single" w:sz="8" w:space="0" w:color="auto"/>
            </w:tcBorders>
            <w:shd w:val="clear" w:color="auto" w:fill="01FF74"/>
            <w:noWrap/>
            <w:vAlign w:val="bottom"/>
            <w:hideMark/>
          </w:tcPr>
          <w:p w:rsidR="00A40868" w:rsidRPr="00A40868" w:rsidRDefault="007003B1" w:rsidP="00A40868">
            <w:pPr>
              <w:spacing w:after="0"/>
              <w:jc w:val="center"/>
              <w:rPr>
                <w:rFonts w:ascii="Calibri" w:hAnsi="Calibri" w:cs="Calibri"/>
                <w:color w:val="000000"/>
                <w:sz w:val="22"/>
                <w:szCs w:val="22"/>
                <w:lang w:val="fr-FR" w:eastAsia="fr-FR"/>
              </w:rPr>
            </w:pPr>
            <w:r w:rsidRPr="00A40868">
              <w:rPr>
                <w:rFonts w:ascii="Webdings" w:hAnsi="Webdings" w:cs="Calibri"/>
                <w:color w:val="000000"/>
                <w:sz w:val="22"/>
                <w:szCs w:val="22"/>
                <w:lang w:val="fr-FR" w:eastAsia="fr-FR"/>
              </w:rPr>
              <w:t></w:t>
            </w:r>
          </w:p>
        </w:tc>
      </w:tr>
      <w:tr w:rsidR="00A40868" w:rsidRPr="00A40868" w:rsidTr="00A40868">
        <w:trPr>
          <w:trHeight w:val="315"/>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Andreana</w:t>
            </w:r>
          </w:p>
        </w:tc>
        <w:tc>
          <w:tcPr>
            <w:tcW w:w="148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Pileri</w:t>
            </w:r>
          </w:p>
        </w:tc>
        <w:tc>
          <w:tcPr>
            <w:tcW w:w="208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Commerzbank</w:t>
            </w:r>
          </w:p>
        </w:tc>
        <w:tc>
          <w:tcPr>
            <w:tcW w:w="1320" w:type="dxa"/>
            <w:tcBorders>
              <w:top w:val="nil"/>
              <w:left w:val="nil"/>
              <w:bottom w:val="single" w:sz="8" w:space="0" w:color="auto"/>
              <w:right w:val="single" w:sz="8" w:space="0" w:color="auto"/>
            </w:tcBorders>
            <w:shd w:val="clear" w:color="auto" w:fill="auto"/>
            <w:noWrap/>
            <w:vAlign w:val="bottom"/>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Excused</w:t>
            </w:r>
          </w:p>
        </w:tc>
      </w:tr>
      <w:tr w:rsidR="00A40868" w:rsidRPr="00A40868" w:rsidTr="00A40868">
        <w:trPr>
          <w:trHeight w:val="315"/>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 xml:space="preserve">Mrs. </w:t>
            </w:r>
          </w:p>
        </w:tc>
        <w:tc>
          <w:tcPr>
            <w:tcW w:w="136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Kimchi</w:t>
            </w:r>
          </w:p>
        </w:tc>
        <w:tc>
          <w:tcPr>
            <w:tcW w:w="148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Phungtran</w:t>
            </w:r>
          </w:p>
        </w:tc>
        <w:tc>
          <w:tcPr>
            <w:tcW w:w="208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Excused</w:t>
            </w:r>
          </w:p>
        </w:tc>
      </w:tr>
      <w:tr w:rsidR="00A40868" w:rsidRPr="00A40868" w:rsidTr="00A40868">
        <w:trPr>
          <w:trHeight w:val="330"/>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Jean-Pierre</w:t>
            </w:r>
          </w:p>
        </w:tc>
        <w:tc>
          <w:tcPr>
            <w:tcW w:w="14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Klak</w:t>
            </w:r>
          </w:p>
        </w:tc>
        <w:tc>
          <w:tcPr>
            <w:tcW w:w="20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Webdings" w:hAnsi="Webdings" w:cs="Calibri"/>
                <w:color w:val="000000"/>
                <w:sz w:val="22"/>
                <w:szCs w:val="22"/>
                <w:lang w:val="fr-FR" w:eastAsia="fr-FR"/>
              </w:rPr>
            </w:pPr>
            <w:r w:rsidRPr="00A40868">
              <w:rPr>
                <w:rFonts w:ascii="Webdings" w:hAnsi="Webdings" w:cs="Calibri"/>
                <w:color w:val="000000"/>
                <w:sz w:val="22"/>
                <w:szCs w:val="22"/>
                <w:lang w:val="fr-FR" w:eastAsia="fr-FR"/>
              </w:rPr>
              <w:t></w:t>
            </w:r>
          </w:p>
        </w:tc>
      </w:tr>
      <w:tr w:rsidR="00A40868" w:rsidRPr="00A40868" w:rsidTr="00A40868">
        <w:trPr>
          <w:trHeight w:val="315"/>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IT</w:t>
            </w:r>
          </w:p>
        </w:tc>
        <w:tc>
          <w:tcPr>
            <w:tcW w:w="56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Paola</w:t>
            </w:r>
          </w:p>
        </w:tc>
        <w:tc>
          <w:tcPr>
            <w:tcW w:w="148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Deantoni</w:t>
            </w:r>
          </w:p>
        </w:tc>
        <w:tc>
          <w:tcPr>
            <w:tcW w:w="208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Societe Generale</w:t>
            </w:r>
          </w:p>
        </w:tc>
        <w:tc>
          <w:tcPr>
            <w:tcW w:w="1320" w:type="dxa"/>
            <w:tcBorders>
              <w:top w:val="nil"/>
              <w:left w:val="nil"/>
              <w:bottom w:val="single" w:sz="8" w:space="0" w:color="auto"/>
              <w:right w:val="single" w:sz="8" w:space="0" w:color="auto"/>
            </w:tcBorders>
            <w:shd w:val="clear" w:color="auto" w:fill="auto"/>
            <w:noWrap/>
            <w:vAlign w:val="bottom"/>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Excused</w:t>
            </w:r>
          </w:p>
        </w:tc>
      </w:tr>
      <w:tr w:rsidR="00A40868" w:rsidRPr="00A40868" w:rsidTr="00A40868">
        <w:trPr>
          <w:trHeight w:val="330"/>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Bernard</w:t>
            </w:r>
          </w:p>
        </w:tc>
        <w:tc>
          <w:tcPr>
            <w:tcW w:w="14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Lenelle</w:t>
            </w:r>
          </w:p>
        </w:tc>
        <w:tc>
          <w:tcPr>
            <w:tcW w:w="20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Webdings" w:hAnsi="Webdings" w:cs="Calibri"/>
                <w:color w:val="000000"/>
                <w:sz w:val="22"/>
                <w:szCs w:val="22"/>
                <w:lang w:val="fr-FR" w:eastAsia="fr-FR"/>
              </w:rPr>
            </w:pPr>
            <w:r w:rsidRPr="00A40868">
              <w:rPr>
                <w:rFonts w:ascii="Webdings" w:hAnsi="Webdings" w:cs="Calibri"/>
                <w:color w:val="000000"/>
                <w:sz w:val="22"/>
                <w:szCs w:val="22"/>
                <w:lang w:val="fr-FR" w:eastAsia="fr-FR"/>
              </w:rPr>
              <w:t></w:t>
            </w:r>
          </w:p>
        </w:tc>
      </w:tr>
      <w:tr w:rsidR="00A40868" w:rsidRPr="00A40868" w:rsidTr="00A40868">
        <w:trPr>
          <w:trHeight w:val="315"/>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Ludovic</w:t>
            </w:r>
          </w:p>
        </w:tc>
        <w:tc>
          <w:tcPr>
            <w:tcW w:w="148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Schwindt</w:t>
            </w:r>
          </w:p>
        </w:tc>
        <w:tc>
          <w:tcPr>
            <w:tcW w:w="208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Excused</w:t>
            </w:r>
          </w:p>
        </w:tc>
      </w:tr>
      <w:tr w:rsidR="00A40868" w:rsidRPr="00A40868" w:rsidTr="00A40868">
        <w:trPr>
          <w:trHeight w:val="315"/>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Charles</w:t>
            </w:r>
          </w:p>
        </w:tc>
        <w:tc>
          <w:tcPr>
            <w:tcW w:w="148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Boniver</w:t>
            </w:r>
          </w:p>
        </w:tc>
        <w:tc>
          <w:tcPr>
            <w:tcW w:w="208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Excused</w:t>
            </w:r>
          </w:p>
        </w:tc>
      </w:tr>
      <w:tr w:rsidR="00A40868" w:rsidRPr="00A40868" w:rsidTr="00A40868">
        <w:trPr>
          <w:trHeight w:val="330"/>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SG</w:t>
            </w:r>
          </w:p>
        </w:tc>
        <w:tc>
          <w:tcPr>
            <w:tcW w:w="5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Jyi-Chen</w:t>
            </w:r>
          </w:p>
        </w:tc>
        <w:tc>
          <w:tcPr>
            <w:tcW w:w="14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Chueh</w:t>
            </w:r>
          </w:p>
        </w:tc>
        <w:tc>
          <w:tcPr>
            <w:tcW w:w="20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Standard Chartered</w:t>
            </w:r>
          </w:p>
        </w:tc>
        <w:tc>
          <w:tcPr>
            <w:tcW w:w="132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Webdings" w:hAnsi="Webdings" w:cs="Calibri"/>
                <w:color w:val="000000"/>
                <w:sz w:val="22"/>
                <w:szCs w:val="22"/>
                <w:lang w:val="fr-FR" w:eastAsia="fr-FR"/>
              </w:rPr>
            </w:pPr>
            <w:r w:rsidRPr="00A40868">
              <w:rPr>
                <w:rFonts w:ascii="Webdings" w:hAnsi="Webdings" w:cs="Calibri"/>
                <w:color w:val="000000"/>
                <w:sz w:val="22"/>
                <w:szCs w:val="22"/>
                <w:lang w:val="fr-FR" w:eastAsia="fr-FR"/>
              </w:rPr>
              <w:t></w:t>
            </w:r>
          </w:p>
        </w:tc>
      </w:tr>
      <w:tr w:rsidR="00A40868" w:rsidRPr="00A40868" w:rsidTr="00A40868">
        <w:trPr>
          <w:trHeight w:val="330"/>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UK &amp; IE</w:t>
            </w:r>
          </w:p>
        </w:tc>
        <w:tc>
          <w:tcPr>
            <w:tcW w:w="5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Mariangela</w:t>
            </w:r>
          </w:p>
        </w:tc>
        <w:tc>
          <w:tcPr>
            <w:tcW w:w="14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Fumagalli</w:t>
            </w:r>
          </w:p>
        </w:tc>
        <w:tc>
          <w:tcPr>
            <w:tcW w:w="20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Webdings" w:hAnsi="Webdings" w:cs="Calibri"/>
                <w:color w:val="000000"/>
                <w:sz w:val="22"/>
                <w:szCs w:val="22"/>
                <w:lang w:val="fr-FR" w:eastAsia="fr-FR"/>
              </w:rPr>
            </w:pPr>
            <w:r w:rsidRPr="00A40868">
              <w:rPr>
                <w:rFonts w:ascii="Webdings" w:hAnsi="Webdings" w:cs="Calibri"/>
                <w:color w:val="000000"/>
                <w:sz w:val="22"/>
                <w:szCs w:val="22"/>
                <w:lang w:val="fr-FR" w:eastAsia="fr-FR"/>
              </w:rPr>
              <w:t></w:t>
            </w:r>
          </w:p>
        </w:tc>
      </w:tr>
      <w:tr w:rsidR="00A40868" w:rsidRPr="00A40868" w:rsidTr="00A40868">
        <w:trPr>
          <w:trHeight w:val="330"/>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US</w:t>
            </w:r>
          </w:p>
        </w:tc>
        <w:tc>
          <w:tcPr>
            <w:tcW w:w="5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Sonda</w:t>
            </w:r>
          </w:p>
        </w:tc>
        <w:tc>
          <w:tcPr>
            <w:tcW w:w="14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Pimental</w:t>
            </w:r>
          </w:p>
        </w:tc>
        <w:tc>
          <w:tcPr>
            <w:tcW w:w="20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BBH</w:t>
            </w:r>
          </w:p>
        </w:tc>
        <w:tc>
          <w:tcPr>
            <w:tcW w:w="132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Webdings" w:hAnsi="Webdings" w:cs="Calibri"/>
                <w:color w:val="000000"/>
                <w:sz w:val="22"/>
                <w:szCs w:val="22"/>
                <w:lang w:val="fr-FR" w:eastAsia="fr-FR"/>
              </w:rPr>
            </w:pPr>
            <w:r w:rsidRPr="00A40868">
              <w:rPr>
                <w:rFonts w:ascii="Webdings" w:hAnsi="Webdings" w:cs="Calibri"/>
                <w:color w:val="000000"/>
                <w:sz w:val="22"/>
                <w:szCs w:val="22"/>
                <w:lang w:val="fr-FR" w:eastAsia="fr-FR"/>
              </w:rPr>
              <w:t></w:t>
            </w:r>
          </w:p>
        </w:tc>
      </w:tr>
      <w:tr w:rsidR="00A40868" w:rsidRPr="00A40868" w:rsidTr="00A40868">
        <w:trPr>
          <w:trHeight w:val="330"/>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Delphine</w:t>
            </w:r>
          </w:p>
        </w:tc>
        <w:tc>
          <w:tcPr>
            <w:tcW w:w="14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Haillez</w:t>
            </w:r>
          </w:p>
        </w:tc>
        <w:tc>
          <w:tcPr>
            <w:tcW w:w="20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Webdings" w:hAnsi="Webdings" w:cs="Calibri"/>
                <w:color w:val="000000"/>
                <w:sz w:val="22"/>
                <w:szCs w:val="22"/>
                <w:lang w:val="fr-FR" w:eastAsia="fr-FR"/>
              </w:rPr>
            </w:pPr>
            <w:r w:rsidRPr="00A40868">
              <w:rPr>
                <w:rFonts w:ascii="Webdings" w:hAnsi="Webdings" w:cs="Calibri"/>
                <w:color w:val="000000"/>
                <w:sz w:val="22"/>
                <w:szCs w:val="22"/>
                <w:lang w:val="fr-FR" w:eastAsia="fr-FR"/>
              </w:rPr>
              <w:t></w:t>
            </w:r>
          </w:p>
        </w:tc>
      </w:tr>
      <w:tr w:rsidR="00A40868" w:rsidRPr="00A40868" w:rsidTr="007003B1">
        <w:trPr>
          <w:trHeight w:val="315"/>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01FF74"/>
            <w:noWrap/>
            <w:vAlign w:val="bottom"/>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auto" w:fill="01FF74"/>
            <w:noWrap/>
            <w:vAlign w:val="bottom"/>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Marina</w:t>
            </w:r>
          </w:p>
        </w:tc>
        <w:tc>
          <w:tcPr>
            <w:tcW w:w="1480" w:type="dxa"/>
            <w:tcBorders>
              <w:top w:val="nil"/>
              <w:left w:val="nil"/>
              <w:bottom w:val="single" w:sz="8" w:space="0" w:color="auto"/>
              <w:right w:val="single" w:sz="8" w:space="0" w:color="auto"/>
            </w:tcBorders>
            <w:shd w:val="clear" w:color="auto" w:fill="01FF74"/>
            <w:noWrap/>
            <w:vAlign w:val="bottom"/>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Kotti</w:t>
            </w:r>
          </w:p>
        </w:tc>
        <w:tc>
          <w:tcPr>
            <w:tcW w:w="2080" w:type="dxa"/>
            <w:tcBorders>
              <w:top w:val="nil"/>
              <w:left w:val="nil"/>
              <w:bottom w:val="single" w:sz="8" w:space="0" w:color="auto"/>
              <w:right w:val="single" w:sz="8" w:space="0" w:color="auto"/>
            </w:tcBorders>
            <w:shd w:val="clear" w:color="auto"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auto" w:fill="01FF74"/>
            <w:noWrap/>
            <w:vAlign w:val="bottom"/>
            <w:hideMark/>
          </w:tcPr>
          <w:p w:rsidR="00A40868" w:rsidRPr="00A40868" w:rsidRDefault="007003B1" w:rsidP="00A40868">
            <w:pPr>
              <w:spacing w:after="0"/>
              <w:jc w:val="center"/>
              <w:rPr>
                <w:rFonts w:ascii="Calibri" w:hAnsi="Calibri" w:cs="Calibri"/>
                <w:color w:val="000000"/>
                <w:sz w:val="22"/>
                <w:szCs w:val="22"/>
                <w:lang w:val="fr-FR" w:eastAsia="fr-FR"/>
              </w:rPr>
            </w:pPr>
            <w:r w:rsidRPr="00A40868">
              <w:rPr>
                <w:rFonts w:ascii="Webdings" w:hAnsi="Webdings" w:cs="Calibri"/>
                <w:color w:val="000000"/>
                <w:sz w:val="22"/>
                <w:szCs w:val="22"/>
                <w:lang w:val="fr-FR" w:eastAsia="fr-FR"/>
              </w:rPr>
              <w:t></w:t>
            </w:r>
          </w:p>
        </w:tc>
      </w:tr>
      <w:tr w:rsidR="00A40868" w:rsidRPr="00A40868" w:rsidTr="00A40868">
        <w:trPr>
          <w:trHeight w:val="315"/>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Sanjeev</w:t>
            </w:r>
          </w:p>
        </w:tc>
        <w:tc>
          <w:tcPr>
            <w:tcW w:w="148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Jayram</w:t>
            </w:r>
          </w:p>
        </w:tc>
        <w:tc>
          <w:tcPr>
            <w:tcW w:w="2080" w:type="dxa"/>
            <w:tcBorders>
              <w:top w:val="nil"/>
              <w:left w:val="nil"/>
              <w:bottom w:val="single" w:sz="8" w:space="0" w:color="auto"/>
              <w:right w:val="single" w:sz="8" w:space="0" w:color="auto"/>
            </w:tcBorders>
            <w:shd w:val="clear" w:color="auto" w:fill="auto"/>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Excused</w:t>
            </w:r>
          </w:p>
        </w:tc>
      </w:tr>
      <w:tr w:rsidR="00A40868" w:rsidRPr="00A40868" w:rsidTr="00A40868">
        <w:trPr>
          <w:trHeight w:val="330"/>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Dale</w:t>
            </w:r>
          </w:p>
        </w:tc>
        <w:tc>
          <w:tcPr>
            <w:tcW w:w="14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Van Rayne</w:t>
            </w:r>
          </w:p>
        </w:tc>
        <w:tc>
          <w:tcPr>
            <w:tcW w:w="20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Webdings" w:hAnsi="Webdings" w:cs="Calibri"/>
                <w:color w:val="000000"/>
                <w:sz w:val="22"/>
                <w:szCs w:val="22"/>
                <w:lang w:val="fr-FR" w:eastAsia="fr-FR"/>
              </w:rPr>
            </w:pPr>
            <w:r w:rsidRPr="00A40868">
              <w:rPr>
                <w:rFonts w:ascii="Webdings" w:hAnsi="Webdings" w:cs="Calibri"/>
                <w:color w:val="000000"/>
                <w:sz w:val="22"/>
                <w:szCs w:val="22"/>
                <w:lang w:val="fr-FR" w:eastAsia="fr-FR"/>
              </w:rPr>
              <w:t></w:t>
            </w:r>
          </w:p>
        </w:tc>
      </w:tr>
      <w:tr w:rsidR="00A40868" w:rsidRPr="00A40868" w:rsidTr="00A40868">
        <w:trPr>
          <w:trHeight w:val="330"/>
        </w:trPr>
        <w:tc>
          <w:tcPr>
            <w:tcW w:w="1000" w:type="dxa"/>
            <w:tcBorders>
              <w:top w:val="nil"/>
              <w:left w:val="nil"/>
              <w:bottom w:val="nil"/>
              <w:right w:val="nil"/>
            </w:tcBorders>
            <w:shd w:val="clear" w:color="auto" w:fill="auto"/>
            <w:noWrap/>
            <w:vAlign w:val="bottom"/>
            <w:hideMark/>
          </w:tcPr>
          <w:p w:rsidR="00A40868" w:rsidRPr="00A40868" w:rsidRDefault="00A40868" w:rsidP="00A40868">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Yusuf</w:t>
            </w:r>
          </w:p>
        </w:tc>
        <w:tc>
          <w:tcPr>
            <w:tcW w:w="14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Basha</w:t>
            </w:r>
          </w:p>
        </w:tc>
        <w:tc>
          <w:tcPr>
            <w:tcW w:w="208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rPr>
                <w:rFonts w:ascii="Calibri" w:hAnsi="Calibri" w:cs="Calibri"/>
                <w:color w:val="000000"/>
                <w:sz w:val="22"/>
                <w:szCs w:val="22"/>
                <w:lang w:val="fr-FR" w:eastAsia="fr-FR"/>
              </w:rPr>
            </w:pPr>
            <w:r w:rsidRPr="00A40868">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A40868" w:rsidRPr="00A40868" w:rsidRDefault="00A40868" w:rsidP="00A40868">
            <w:pPr>
              <w:spacing w:after="0"/>
              <w:jc w:val="center"/>
              <w:rPr>
                <w:rFonts w:ascii="Webdings" w:hAnsi="Webdings" w:cs="Calibri"/>
                <w:color w:val="000000"/>
                <w:sz w:val="22"/>
                <w:szCs w:val="22"/>
                <w:lang w:val="fr-FR" w:eastAsia="fr-FR"/>
              </w:rPr>
            </w:pPr>
            <w:r w:rsidRPr="00A40868">
              <w:rPr>
                <w:rFonts w:ascii="Webdings" w:hAnsi="Webdings" w:cs="Calibri"/>
                <w:color w:val="000000"/>
                <w:sz w:val="22"/>
                <w:szCs w:val="22"/>
                <w:lang w:val="fr-FR" w:eastAsia="fr-FR"/>
              </w:rPr>
              <w:t></w:t>
            </w:r>
          </w:p>
        </w:tc>
      </w:tr>
    </w:tbl>
    <w:p w:rsidR="00A40868" w:rsidRDefault="00A40868" w:rsidP="006F6267">
      <w:pPr>
        <w:pStyle w:val="Actions"/>
        <w:jc w:val="left"/>
        <w:rPr>
          <w:b/>
          <w:u w:val="single"/>
        </w:rPr>
      </w:pPr>
    </w:p>
    <w:p w:rsidR="00AD0A2F" w:rsidRDefault="00AD0A2F" w:rsidP="006F6267">
      <w:pPr>
        <w:pStyle w:val="Actions"/>
        <w:jc w:val="left"/>
      </w:pPr>
      <w:r w:rsidRPr="00597C9E">
        <w:rPr>
          <w:b/>
          <w:u w:val="single"/>
        </w:rPr>
        <w:t>Action</w:t>
      </w:r>
      <w:r>
        <w:t xml:space="preserve">: </w:t>
      </w:r>
      <w:r w:rsidRPr="006C7E3B">
        <w:t>NMPGs</w:t>
      </w:r>
      <w:r>
        <w:t xml:space="preserve"> to</w:t>
      </w:r>
      <w:r w:rsidR="006F6267">
        <w:t xml:space="preserve"> eventually </w:t>
      </w:r>
      <w:r>
        <w:t xml:space="preserve">look for </w:t>
      </w:r>
      <w:r w:rsidR="006F6267">
        <w:t xml:space="preserve">tax experts </w:t>
      </w:r>
      <w:r>
        <w:t>candidates in their local Markets.</w:t>
      </w:r>
      <w:r>
        <w:br/>
      </w:r>
    </w:p>
    <w:p w:rsidR="001545BC" w:rsidRDefault="001545BC" w:rsidP="006364A8">
      <w:pPr>
        <w:pStyle w:val="Titre1"/>
        <w:ind w:left="360"/>
      </w:pPr>
      <w:bookmarkStart w:id="3" w:name="OLE_LINK5"/>
      <w:bookmarkStart w:id="4" w:name="OLE_LINK8"/>
      <w:bookmarkStart w:id="5" w:name="_Toc382921829"/>
      <w:bookmarkEnd w:id="1"/>
      <w:bookmarkEnd w:id="2"/>
      <w:r>
        <w:t xml:space="preserve">Approval / comments of </w:t>
      </w:r>
      <w:r w:rsidR="00CA5FA0">
        <w:t>December</w:t>
      </w:r>
      <w:r w:rsidR="004D548E">
        <w:t xml:space="preserve"> 19th</w:t>
      </w:r>
      <w:r>
        <w:t xml:space="preserve"> call minutes</w:t>
      </w:r>
      <w:bookmarkEnd w:id="5"/>
    </w:p>
    <w:p w:rsidR="00E70E7D" w:rsidRDefault="005C7623" w:rsidP="001545BC">
      <w:pPr>
        <w:rPr>
          <w:lang w:eastAsia="en-GB"/>
        </w:rPr>
      </w:pPr>
      <w:r>
        <w:rPr>
          <w:lang w:eastAsia="en-GB"/>
        </w:rPr>
        <w:t>No comments.</w:t>
      </w:r>
    </w:p>
    <w:p w:rsidR="00961B64" w:rsidRDefault="004D548E" w:rsidP="001545BC">
      <w:pPr>
        <w:rPr>
          <w:lang w:eastAsia="en-GB"/>
        </w:rPr>
      </w:pPr>
      <w:r>
        <w:rPr>
          <w:lang w:eastAsia="en-GB"/>
        </w:rPr>
        <w:t>T</w:t>
      </w:r>
      <w:r w:rsidR="00E71632">
        <w:rPr>
          <w:lang w:eastAsia="en-GB"/>
        </w:rPr>
        <w:t>he minutes are approved.</w:t>
      </w:r>
    </w:p>
    <w:p w:rsidR="00110DA4" w:rsidRDefault="00110DA4" w:rsidP="006364A8">
      <w:pPr>
        <w:pStyle w:val="Titre1"/>
        <w:ind w:left="360"/>
      </w:pPr>
      <w:bookmarkStart w:id="6" w:name="_Toc382921830"/>
      <w:r>
        <w:lastRenderedPageBreak/>
        <w:t>Tax Table</w:t>
      </w:r>
      <w:bookmarkEnd w:id="6"/>
      <w:r w:rsidR="001545BC">
        <w:t xml:space="preserve"> </w:t>
      </w:r>
    </w:p>
    <w:p w:rsidR="00CA0D45" w:rsidRPr="00CA0D45" w:rsidRDefault="00861B7B" w:rsidP="006364A8">
      <w:pPr>
        <w:pStyle w:val="NormalWeb"/>
        <w:ind w:left="180"/>
        <w:rPr>
          <w:lang w:eastAsia="en-GB"/>
        </w:rPr>
      </w:pPr>
      <w:r>
        <w:rPr>
          <w:lang w:eastAsia="en-GB"/>
        </w:rPr>
        <w:t>No update</w:t>
      </w:r>
      <w:r w:rsidR="00861A10">
        <w:rPr>
          <w:lang w:eastAsia="en-GB"/>
        </w:rPr>
        <w:t xml:space="preserve"> </w:t>
      </w:r>
      <w:r w:rsidR="006364A8">
        <w:rPr>
          <w:lang w:eastAsia="en-GB"/>
        </w:rPr>
        <w:t xml:space="preserve">received </w:t>
      </w:r>
      <w:r w:rsidR="00861A10">
        <w:rPr>
          <w:lang w:eastAsia="en-GB"/>
        </w:rPr>
        <w:t>on the table</w:t>
      </w:r>
      <w:r w:rsidR="006364A8">
        <w:rPr>
          <w:lang w:eastAsia="en-GB"/>
        </w:rPr>
        <w:t>.</w:t>
      </w:r>
    </w:p>
    <w:bookmarkStart w:id="7" w:name="_MON_1443445297"/>
    <w:bookmarkEnd w:id="7"/>
    <w:p w:rsidR="008067B2" w:rsidRDefault="002F44D7" w:rsidP="00110DA4">
      <w:pPr>
        <w:rPr>
          <w:vertAlign w:val="superscript"/>
        </w:rPr>
      </w:pPr>
      <w:r>
        <w:rPr>
          <w:vertAlign w:val="superscript"/>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456666048" r:id="rId11"/>
        </w:object>
      </w:r>
    </w:p>
    <w:p w:rsidR="006364A8" w:rsidRPr="006364A8" w:rsidRDefault="006364A8" w:rsidP="006364A8">
      <w:pPr>
        <w:pStyle w:val="Titre1"/>
        <w:ind w:left="360"/>
      </w:pPr>
      <w:bookmarkStart w:id="8" w:name="_Toc382921831"/>
      <w:r>
        <w:t>WITF/WITL/TAXR MP</w:t>
      </w:r>
      <w:bookmarkEnd w:id="8"/>
    </w:p>
    <w:p w:rsidR="002254CA" w:rsidRDefault="00E70E7D" w:rsidP="002254CA">
      <w:pPr>
        <w:pStyle w:val="NormalWeb"/>
        <w:rPr>
          <w:b/>
          <w:u w:val="single"/>
          <w:lang w:eastAsia="en-GB"/>
        </w:rPr>
      </w:pPr>
      <w:r>
        <w:rPr>
          <w:b/>
          <w:u w:val="single"/>
          <w:lang w:eastAsia="en-GB"/>
        </w:rPr>
        <w:t xml:space="preserve">Presentation of </w:t>
      </w:r>
      <w:r w:rsidR="004D548E">
        <w:rPr>
          <w:b/>
          <w:u w:val="single"/>
          <w:lang w:eastAsia="en-GB"/>
        </w:rPr>
        <w:t xml:space="preserve">updated </w:t>
      </w:r>
      <w:r>
        <w:rPr>
          <w:b/>
          <w:u w:val="single"/>
          <w:lang w:eastAsia="en-GB"/>
        </w:rPr>
        <w:t>Jyi Chen’s document</w:t>
      </w:r>
      <w:r w:rsidR="008B6FC3">
        <w:rPr>
          <w:b/>
          <w:u w:val="single"/>
          <w:lang w:eastAsia="en-GB"/>
        </w:rPr>
        <w:t xml:space="preserve"> (version 2.1 of Feb. 14)</w:t>
      </w:r>
    </w:p>
    <w:bookmarkStart w:id="9" w:name="_MON_1456245927"/>
    <w:bookmarkEnd w:id="9"/>
    <w:p w:rsidR="00287431" w:rsidRDefault="00CA5FA0" w:rsidP="002254CA">
      <w:pPr>
        <w:pStyle w:val="NormalWeb"/>
      </w:pPr>
      <w:r>
        <w:object w:dxaOrig="1539" w:dyaOrig="996">
          <v:shape id="_x0000_i1026" type="#_x0000_t75" style="width:77.25pt;height:49.5pt" o:ole="">
            <v:imagedata r:id="rId12" o:title=""/>
          </v:shape>
          <o:OLEObject Type="Embed" ProgID="Word.Document.12" ShapeID="_x0000_i1026" DrawAspect="Icon" ObjectID="_1456666049" r:id="rId13">
            <o:FieldCodes>\s</o:FieldCodes>
          </o:OLEObject>
        </w:object>
      </w:r>
    </w:p>
    <w:p w:rsidR="0018274F" w:rsidRDefault="0018274F" w:rsidP="002254CA">
      <w:pPr>
        <w:pStyle w:val="NormalWeb"/>
      </w:pPr>
      <w:r>
        <w:t>The group discussed on the different recommendations proposed in the document.</w:t>
      </w:r>
    </w:p>
    <w:p w:rsidR="008B6FC3" w:rsidRDefault="00ED4E81" w:rsidP="002254CA">
      <w:pPr>
        <w:pStyle w:val="NormalWeb"/>
      </w:pPr>
      <w:r w:rsidRPr="00ED4E81">
        <w:t>The main change</w:t>
      </w:r>
      <w:r w:rsidR="008B6FC3">
        <w:t>s</w:t>
      </w:r>
      <w:r w:rsidRPr="00ED4E81">
        <w:t xml:space="preserve"> </w:t>
      </w:r>
      <w:r>
        <w:t xml:space="preserve">regarding the previous version </w:t>
      </w:r>
      <w:r w:rsidR="005864F6">
        <w:t>are</w:t>
      </w:r>
      <w:r w:rsidR="008B6FC3">
        <w:t>:</w:t>
      </w:r>
    </w:p>
    <w:p w:rsidR="00E71632" w:rsidRDefault="005864F6" w:rsidP="008B6FC3">
      <w:pPr>
        <w:pStyle w:val="NormalWeb"/>
        <w:numPr>
          <w:ilvl w:val="0"/>
          <w:numId w:val="31"/>
        </w:numPr>
      </w:pPr>
      <w:r>
        <w:t>T</w:t>
      </w:r>
      <w:r w:rsidR="00ED4E81">
        <w:t xml:space="preserve">o announce that TAXR is the major and unique qualifier </w:t>
      </w:r>
      <w:r w:rsidR="008B6FC3">
        <w:t>and is used in the context of primary market</w:t>
      </w:r>
    </w:p>
    <w:p w:rsidR="001976AC" w:rsidRDefault="001976AC" w:rsidP="001976AC">
      <w:pPr>
        <w:pStyle w:val="NormalWeb"/>
        <w:numPr>
          <w:ilvl w:val="0"/>
          <w:numId w:val="31"/>
        </w:numPr>
      </w:pPr>
      <w:r>
        <w:t>t</w:t>
      </w:r>
      <w:r w:rsidR="008B6FC3">
        <w:t xml:space="preserve">o swap the proposal between </w:t>
      </w:r>
      <w:r w:rsidR="00ED4E81">
        <w:t>WIT</w:t>
      </w:r>
      <w:r w:rsidR="008B6FC3">
        <w:t>F</w:t>
      </w:r>
      <w:r w:rsidR="00ED4E81">
        <w:t xml:space="preserve"> vs</w:t>
      </w:r>
      <w:r w:rsidR="008B6FC3">
        <w:t>.</w:t>
      </w:r>
      <w:r w:rsidR="00ED4E81">
        <w:t xml:space="preserve"> </w:t>
      </w:r>
      <w:r w:rsidR="00ED4E81" w:rsidRPr="00970FA0">
        <w:t>WITL</w:t>
      </w:r>
      <w:r w:rsidR="00970FA0">
        <w:t xml:space="preserve"> </w:t>
      </w:r>
      <w:r w:rsidR="003F0D0A" w:rsidRPr="00970FA0">
        <w:t>compare</w:t>
      </w:r>
      <w:r w:rsidR="008B6FC3" w:rsidRPr="00970FA0">
        <w:t>d</w:t>
      </w:r>
      <w:r w:rsidR="003F0D0A">
        <w:t xml:space="preserve"> to the original </w:t>
      </w:r>
      <w:r w:rsidR="008B6FC3">
        <w:t xml:space="preserve">version of the </w:t>
      </w:r>
      <w:r w:rsidR="003F0D0A">
        <w:t>document</w:t>
      </w:r>
      <w:r w:rsidRPr="001976AC">
        <w:t xml:space="preserve"> </w:t>
      </w:r>
      <w:r>
        <w:t>in recommendations 2 &amp; 3</w:t>
      </w:r>
    </w:p>
    <w:p w:rsidR="001976AC" w:rsidRDefault="001976AC" w:rsidP="001976AC">
      <w:pPr>
        <w:pStyle w:val="NormalWeb"/>
      </w:pPr>
      <w:r>
        <w:t>Review of proposed recommendations</w:t>
      </w:r>
    </w:p>
    <w:p w:rsidR="00ED4E81" w:rsidRDefault="00ED4E81" w:rsidP="0018274F">
      <w:pPr>
        <w:pStyle w:val="NormalWeb"/>
        <w:numPr>
          <w:ilvl w:val="0"/>
          <w:numId w:val="30"/>
        </w:numPr>
      </w:pPr>
      <w:r w:rsidRPr="008B6FC3">
        <w:rPr>
          <w:u w:val="single"/>
        </w:rPr>
        <w:t>Recommendation 1</w:t>
      </w:r>
      <w:r>
        <w:t xml:space="preserve"> : accepted by the group</w:t>
      </w:r>
      <w:r w:rsidR="00C16D1F">
        <w:t xml:space="preserve"> with the following definition change</w:t>
      </w:r>
      <w:r w:rsidR="00633D1E">
        <w:t>:</w:t>
      </w:r>
    </w:p>
    <w:p w:rsidR="00C16D1F" w:rsidRDefault="00C16D1F" w:rsidP="00C16D1F">
      <w:pPr>
        <w:ind w:left="720"/>
        <w:rPr>
          <w:b/>
          <w:i/>
          <w:color w:val="548DD4" w:themeColor="text2" w:themeTint="99"/>
          <w:u w:val="single"/>
          <w:lang w:val="en-GB" w:eastAsia="en-GB"/>
        </w:rPr>
      </w:pPr>
      <w:r>
        <w:t xml:space="preserve">TAXR : </w:t>
      </w:r>
      <w:r>
        <w:rPr>
          <w:i/>
          <w:color w:val="595959" w:themeColor="text1" w:themeTint="A6"/>
          <w:lang w:val="en-GB" w:eastAsia="en-GB"/>
        </w:rPr>
        <w:t>“</w:t>
      </w:r>
      <w:r w:rsidRPr="00AB14B2">
        <w:rPr>
          <w:i/>
          <w:color w:val="595959" w:themeColor="text1" w:themeTint="A6"/>
          <w:lang w:val="en-GB" w:eastAsia="en-GB"/>
        </w:rPr>
        <w:t xml:space="preserve">Percentage of a cash distribution that will be withheld by </w:t>
      </w:r>
      <w:r w:rsidRPr="003D48A5">
        <w:rPr>
          <w:i/>
          <w:strike/>
          <w:color w:val="595959" w:themeColor="text1" w:themeTint="A6"/>
          <w:lang w:val="en-GB" w:eastAsia="en-GB"/>
        </w:rPr>
        <w:t>a tax authority</w:t>
      </w:r>
      <w:r>
        <w:rPr>
          <w:i/>
          <w:color w:val="7F7F7F" w:themeColor="text1" w:themeTint="80"/>
          <w:lang w:val="en-GB" w:eastAsia="en-GB"/>
        </w:rPr>
        <w:t xml:space="preserve"> </w:t>
      </w:r>
      <w:r w:rsidRPr="003D48A5">
        <w:rPr>
          <w:b/>
          <w:i/>
          <w:color w:val="548DD4" w:themeColor="text2" w:themeTint="99"/>
          <w:u w:val="single"/>
          <w:lang w:val="en-GB" w:eastAsia="en-GB"/>
        </w:rPr>
        <w:t>the tax authorities of the jurisdiction of the issuer,</w:t>
      </w:r>
      <w:r w:rsidRPr="003D48A5">
        <w:rPr>
          <w:i/>
          <w:color w:val="548DD4" w:themeColor="text2" w:themeTint="99"/>
          <w:lang w:val="en-GB" w:eastAsia="en-GB"/>
        </w:rPr>
        <w:t xml:space="preserve"> </w:t>
      </w:r>
      <w:r w:rsidRPr="003D48A5">
        <w:rPr>
          <w:b/>
          <w:i/>
          <w:color w:val="548DD4" w:themeColor="text2" w:themeTint="99"/>
          <w:u w:val="single"/>
          <w:lang w:val="en-GB" w:eastAsia="en-GB"/>
        </w:rPr>
        <w:t>for which a relief at source and/or reclaim may be possible.</w:t>
      </w:r>
      <w:r>
        <w:rPr>
          <w:b/>
          <w:i/>
          <w:color w:val="548DD4" w:themeColor="text2" w:themeTint="99"/>
          <w:u w:val="single"/>
          <w:lang w:val="en-GB" w:eastAsia="en-GB"/>
        </w:rPr>
        <w:t>”</w:t>
      </w:r>
    </w:p>
    <w:p w:rsidR="00633D1E" w:rsidRPr="00C854EC" w:rsidRDefault="00633D1E" w:rsidP="00C16D1F">
      <w:pPr>
        <w:ind w:left="720"/>
        <w:rPr>
          <w:b/>
          <w:color w:val="548DD4" w:themeColor="text2" w:themeTint="99"/>
          <w:u w:val="single"/>
        </w:rPr>
      </w:pPr>
      <w:r>
        <w:t>Daniel mentions that in Germany the tax is levied by the agent bank and not by the tax authorities directly. Nevertheless this happens also in many other countries and the tax ends up anyway with the tax authorities at the end.</w:t>
      </w:r>
    </w:p>
    <w:p w:rsidR="00FE4F86" w:rsidRDefault="00FE4F86" w:rsidP="002254CA">
      <w:pPr>
        <w:pStyle w:val="NormalWeb"/>
      </w:pPr>
      <w:r>
        <w:t>With the limit of a review of the definition if recommendation</w:t>
      </w:r>
      <w:r w:rsidR="0018274F">
        <w:t xml:space="preserve"> </w:t>
      </w:r>
      <w:r>
        <w:t>2 option B is accepted which could have an impact on the agreed definition.</w:t>
      </w:r>
    </w:p>
    <w:p w:rsidR="00ED4E81" w:rsidRDefault="00ED4E81" w:rsidP="0018274F">
      <w:pPr>
        <w:pStyle w:val="NormalWeb"/>
        <w:numPr>
          <w:ilvl w:val="0"/>
          <w:numId w:val="30"/>
        </w:numPr>
      </w:pPr>
      <w:r w:rsidRPr="00586219">
        <w:rPr>
          <w:u w:val="single"/>
        </w:rPr>
        <w:t xml:space="preserve">Recommendation 2 </w:t>
      </w:r>
      <w:r w:rsidR="004D09E8" w:rsidRPr="00586219">
        <w:rPr>
          <w:u w:val="single"/>
        </w:rPr>
        <w:t>– Option A</w:t>
      </w:r>
      <w:r>
        <w:t>:</w:t>
      </w:r>
      <w:r w:rsidR="003F0D0A">
        <w:t xml:space="preserve"> the proposal is to keep qualifier WITL amending / updating the usage and definition</w:t>
      </w:r>
    </w:p>
    <w:p w:rsidR="00ED4E81" w:rsidRDefault="00160BE5" w:rsidP="002254CA">
      <w:pPr>
        <w:pStyle w:val="NormalWeb"/>
      </w:pPr>
      <w:r>
        <w:t>A d</w:t>
      </w:r>
      <w:r w:rsidR="00287431">
        <w:t xml:space="preserve">iscussion </w:t>
      </w:r>
      <w:r>
        <w:t xml:space="preserve">takes place </w:t>
      </w:r>
      <w:r w:rsidR="00287431">
        <w:t>about the terms ‘primary’ and ‘secondary</w:t>
      </w:r>
      <w:r w:rsidR="004D09E8">
        <w:t xml:space="preserve"> listing</w:t>
      </w:r>
      <w:r w:rsidR="00287431">
        <w:t>’ market.</w:t>
      </w:r>
      <w:r w:rsidR="004D09E8">
        <w:t xml:space="preserve"> It comes out of the discussion that t</w:t>
      </w:r>
      <w:r w:rsidR="00266FB5">
        <w:t xml:space="preserve">he </w:t>
      </w:r>
      <w:r w:rsidR="004D09E8">
        <w:t xml:space="preserve">term </w:t>
      </w:r>
      <w:r w:rsidR="0087449A">
        <w:t xml:space="preserve">‘primary’ and </w:t>
      </w:r>
      <w:r w:rsidR="00266FB5">
        <w:t xml:space="preserve">‘secondary </w:t>
      </w:r>
      <w:r w:rsidR="004D09E8">
        <w:t xml:space="preserve">listing </w:t>
      </w:r>
      <w:r w:rsidR="00266FB5">
        <w:t>market ’ seems to be</w:t>
      </w:r>
      <w:r w:rsidR="004D09E8">
        <w:t xml:space="preserve"> a lot</w:t>
      </w:r>
      <w:r w:rsidR="00266FB5">
        <w:t xml:space="preserve"> confusing</w:t>
      </w:r>
      <w:r w:rsidR="004D09E8">
        <w:t xml:space="preserve"> </w:t>
      </w:r>
      <w:r w:rsidR="0087449A">
        <w:t xml:space="preserve">since a financial instrument might not be actually listed but just held in the jurisdiction and it might not have necessarily a primary listing either. Also </w:t>
      </w:r>
      <w:r w:rsidR="004D09E8">
        <w:t>the term “local” in the third § on page 3 of the document</w:t>
      </w:r>
      <w:r w:rsidR="0087449A">
        <w:t xml:space="preserve"> is deemed confusing too</w:t>
      </w:r>
      <w:r w:rsidR="00266FB5">
        <w:t>.</w:t>
      </w:r>
    </w:p>
    <w:p w:rsidR="007D2A5C" w:rsidRDefault="00DB1D4E" w:rsidP="002254CA">
      <w:pPr>
        <w:pStyle w:val="NormalWeb"/>
      </w:pPr>
      <w:r>
        <w:t xml:space="preserve">Sonda comments that this should also be </w:t>
      </w:r>
      <w:r w:rsidR="00266FB5">
        <w:t xml:space="preserve"> check</w:t>
      </w:r>
      <w:r>
        <w:t>ed</w:t>
      </w:r>
      <w:r w:rsidR="00266FB5">
        <w:t xml:space="preserve"> with some examples from Canada or Japan</w:t>
      </w:r>
      <w:r>
        <w:t xml:space="preserve"> in the context of the</w:t>
      </w:r>
      <w:r w:rsidR="00160BE5">
        <w:t xml:space="preserve"> </w:t>
      </w:r>
      <w:r w:rsidR="00266FB5">
        <w:t>(Double Taxation Treaty</w:t>
      </w:r>
      <w:r>
        <w:t xml:space="preserve"> (DTT). </w:t>
      </w:r>
    </w:p>
    <w:p w:rsidR="00266FB5" w:rsidRDefault="00266FB5" w:rsidP="002254CA">
      <w:pPr>
        <w:pStyle w:val="NormalWeb"/>
      </w:pPr>
      <w:r>
        <w:lastRenderedPageBreak/>
        <w:t xml:space="preserve">The goal of the DTT is to avoid a double taxation for a client but </w:t>
      </w:r>
      <w:r w:rsidR="00DB1D4E">
        <w:t xml:space="preserve">it is </w:t>
      </w:r>
      <w:r>
        <w:t xml:space="preserve">not necessarily an issue between Local or Foreign </w:t>
      </w:r>
      <w:r w:rsidR="00DB1D4E">
        <w:t xml:space="preserve">as only </w:t>
      </w:r>
      <w:r>
        <w:t>one tax rate  will be applied.</w:t>
      </w:r>
    </w:p>
    <w:p w:rsidR="00C16D1F" w:rsidRDefault="00C16D1F" w:rsidP="00C16D1F">
      <w:r>
        <w:t>Also</w:t>
      </w:r>
      <w:r w:rsidR="00A233BB">
        <w:t xml:space="preserve"> Jacques </w:t>
      </w:r>
      <w:r w:rsidR="0052051F">
        <w:t>recommends to</w:t>
      </w:r>
      <w:r w:rsidR="00A233BB">
        <w:t xml:space="preserve"> </w:t>
      </w:r>
      <w:r>
        <w:t xml:space="preserve">update the </w:t>
      </w:r>
      <w:r w:rsidR="0052051F">
        <w:t xml:space="preserve">WITL </w:t>
      </w:r>
      <w:r>
        <w:t xml:space="preserve">definition to show clearly </w:t>
      </w:r>
      <w:r w:rsidR="00A233BB">
        <w:t>that WITL</w:t>
      </w:r>
      <w:r w:rsidR="0052051F">
        <w:t xml:space="preserve"> should </w:t>
      </w:r>
      <w:r w:rsidR="00A233BB">
        <w:t xml:space="preserve">be viewed </w:t>
      </w:r>
      <w:r w:rsidR="0052051F">
        <w:t xml:space="preserve">in </w:t>
      </w:r>
      <w:r>
        <w:t>‘complement’</w:t>
      </w:r>
      <w:r w:rsidR="0052051F">
        <w:t xml:space="preserve"> or offset</w:t>
      </w:r>
      <w:r>
        <w:t xml:space="preserve"> </w:t>
      </w:r>
      <w:r w:rsidR="0052051F">
        <w:t>of TAXR. (see example 3 with Oando Plc in the south African set of examples provided).</w:t>
      </w:r>
    </w:p>
    <w:p w:rsidR="00C16D1F" w:rsidRPr="00C16D1F" w:rsidRDefault="00C16D1F" w:rsidP="002254CA">
      <w:pPr>
        <w:pStyle w:val="NormalWeb"/>
        <w:rPr>
          <w:lang w:val="en-GB"/>
        </w:rPr>
      </w:pPr>
      <w:r>
        <w:rPr>
          <w:lang w:val="en-GB"/>
        </w:rPr>
        <w:t xml:space="preserve">ZA agrees to show / say ‘secondary’ in the definition. </w:t>
      </w:r>
      <w:r w:rsidR="00DF0782">
        <w:rPr>
          <w:lang w:val="en-GB"/>
        </w:rPr>
        <w:t xml:space="preserve">It will necessarily change the ZA Market Practice when TAXR </w:t>
      </w:r>
      <w:r w:rsidR="00191C12">
        <w:rPr>
          <w:lang w:val="en-GB"/>
        </w:rPr>
        <w:t xml:space="preserve">is  </w:t>
      </w:r>
      <w:r w:rsidR="00DF0782">
        <w:rPr>
          <w:lang w:val="en-GB"/>
        </w:rPr>
        <w:t>used for ZA tax</w:t>
      </w:r>
      <w:r w:rsidR="0018274F">
        <w:rPr>
          <w:lang w:val="en-GB"/>
        </w:rPr>
        <w:t>ation</w:t>
      </w:r>
      <w:r w:rsidR="00DF0782">
        <w:rPr>
          <w:lang w:val="en-GB"/>
        </w:rPr>
        <w:t>.</w:t>
      </w:r>
    </w:p>
    <w:p w:rsidR="007D2A5C" w:rsidRDefault="006A0098" w:rsidP="002254CA">
      <w:pPr>
        <w:pStyle w:val="NormalWeb"/>
      </w:pPr>
      <w:r>
        <w:t xml:space="preserve">Regarding the rename of WITL, </w:t>
      </w:r>
      <w:r w:rsidR="00CA5FA0">
        <w:t>‘</w:t>
      </w:r>
      <w:r w:rsidR="00DF0782">
        <w:t>Additional</w:t>
      </w:r>
      <w:r w:rsidR="00CA5FA0">
        <w:t>’</w:t>
      </w:r>
      <w:r w:rsidR="00DF0782">
        <w:t xml:space="preserve"> can also be a wrong word to use</w:t>
      </w:r>
      <w:r w:rsidR="00970FA0">
        <w:t xml:space="preserve"> </w:t>
      </w:r>
      <w:r>
        <w:t>as</w:t>
      </w:r>
      <w:r w:rsidR="00DF0782">
        <w:t xml:space="preserve"> some Tax authorities can be reluctant to say that their taxation is in addition. And </w:t>
      </w:r>
      <w:r>
        <w:t xml:space="preserve">it is </w:t>
      </w:r>
      <w:r w:rsidR="00DF0782">
        <w:t>also confusing with the qualifier ATAX (Additional Tax).</w:t>
      </w:r>
    </w:p>
    <w:p w:rsidR="007D2A5C" w:rsidRPr="007D2A5C" w:rsidRDefault="007D2A5C" w:rsidP="002254CA">
      <w:pPr>
        <w:pStyle w:val="NormalWeb"/>
        <w:rPr>
          <w:u w:val="single"/>
        </w:rPr>
      </w:pPr>
      <w:r w:rsidRPr="007D2A5C">
        <w:rPr>
          <w:u w:val="single"/>
        </w:rPr>
        <w:t>What about the case if no taxation in the primary market and only in the secondary market?</w:t>
      </w:r>
    </w:p>
    <w:p w:rsidR="00DF0782" w:rsidRPr="007D2A5C" w:rsidRDefault="00DF0782" w:rsidP="002254CA">
      <w:pPr>
        <w:pStyle w:val="NormalWeb"/>
        <w:rPr>
          <w:u w:val="single"/>
        </w:rPr>
      </w:pPr>
      <w:r>
        <w:t xml:space="preserve">So TAXR </w:t>
      </w:r>
      <w:r w:rsidR="006A0098">
        <w:t>could not be present</w:t>
      </w:r>
      <w:r>
        <w:t xml:space="preserve"> </w:t>
      </w:r>
      <w:r w:rsidR="0018274F">
        <w:t xml:space="preserve">and </w:t>
      </w:r>
      <w:r>
        <w:t>what about WITL?</w:t>
      </w:r>
    </w:p>
    <w:p w:rsidR="00DF0782" w:rsidRDefault="006A0098" w:rsidP="002254CA">
      <w:pPr>
        <w:pStyle w:val="NormalWeb"/>
      </w:pPr>
      <w:r>
        <w:t>All agree finally that in that case TAXR should be present with the value “</w:t>
      </w:r>
      <w:r w:rsidR="00DF0782">
        <w:t>0</w:t>
      </w:r>
      <w:r>
        <w:t>”</w:t>
      </w:r>
      <w:r w:rsidR="00DF0782">
        <w:t xml:space="preserve"> </w:t>
      </w:r>
      <w:r>
        <w:t>to clearly mean that there is no withholding tax applied as</w:t>
      </w:r>
    </w:p>
    <w:p w:rsidR="00DF0782" w:rsidRPr="007B0918" w:rsidRDefault="0018274F" w:rsidP="002254CA">
      <w:pPr>
        <w:pStyle w:val="NormalWeb"/>
        <w:rPr>
          <w:u w:val="single"/>
        </w:rPr>
      </w:pPr>
      <w:r w:rsidRPr="007B0918">
        <w:rPr>
          <w:u w:val="single"/>
        </w:rPr>
        <w:t>Is there a n</w:t>
      </w:r>
      <w:r w:rsidR="00DF0782" w:rsidRPr="007B0918">
        <w:rPr>
          <w:u w:val="single"/>
        </w:rPr>
        <w:t xml:space="preserve">eed of a Network Validated rule </w:t>
      </w:r>
      <w:r w:rsidR="00DB444C">
        <w:rPr>
          <w:u w:val="single"/>
        </w:rPr>
        <w:t xml:space="preserve">between TAXR and WITL </w:t>
      </w:r>
      <w:r w:rsidR="00DF0782" w:rsidRPr="007B0918">
        <w:rPr>
          <w:u w:val="single"/>
        </w:rPr>
        <w:t>to be clear with this case?</w:t>
      </w:r>
    </w:p>
    <w:p w:rsidR="00DF0782" w:rsidRDefault="00DF0782" w:rsidP="002254CA">
      <w:pPr>
        <w:pStyle w:val="NormalWeb"/>
      </w:pPr>
      <w:r>
        <w:t>But for some securities, we can have the case where no taxation applied. To investigate via a legal point of view.</w:t>
      </w:r>
    </w:p>
    <w:p w:rsidR="00DF0782" w:rsidRDefault="00DF0782" w:rsidP="002254CA">
      <w:pPr>
        <w:pStyle w:val="NormalWeb"/>
      </w:pPr>
      <w:r>
        <w:t>Ex</w:t>
      </w:r>
      <w:r w:rsidR="0018274F">
        <w:t>ample</w:t>
      </w:r>
      <w:r>
        <w:t xml:space="preserve"> : Treasury bonds in the UK when normally holder are not taxed</w:t>
      </w:r>
      <w:r w:rsidR="00857C6A">
        <w:t>.</w:t>
      </w:r>
    </w:p>
    <w:p w:rsidR="006A0098" w:rsidRDefault="0018274F" w:rsidP="006A0098">
      <w:r>
        <w:t>Nevertheless,</w:t>
      </w:r>
      <w:r w:rsidR="00857C6A">
        <w:t xml:space="preserve"> we are not in characteristics of the security but in </w:t>
      </w:r>
      <w:r>
        <w:t xml:space="preserve">the </w:t>
      </w:r>
      <w:r w:rsidR="00857C6A">
        <w:t>details related to an Income event. The taxation relates to the event.</w:t>
      </w:r>
      <w:r w:rsidR="00FE4F86">
        <w:br/>
        <w:t xml:space="preserve">So TAXR will be always present but </w:t>
      </w:r>
      <w:r>
        <w:t xml:space="preserve">it is </w:t>
      </w:r>
      <w:r w:rsidR="00FE4F86">
        <w:t xml:space="preserve">not a legal point </w:t>
      </w:r>
      <w:r w:rsidR="00DB444C">
        <w:t xml:space="preserve">of </w:t>
      </w:r>
      <w:r w:rsidR="00FE4F86">
        <w:t xml:space="preserve">view. Tax </w:t>
      </w:r>
      <w:r>
        <w:t xml:space="preserve">must be present </w:t>
      </w:r>
      <w:r w:rsidR="00FE4F86">
        <w:t xml:space="preserve">because </w:t>
      </w:r>
      <w:r>
        <w:t xml:space="preserve">it is </w:t>
      </w:r>
      <w:r w:rsidR="00FE4F86">
        <w:t>an Income Advice.</w:t>
      </w:r>
      <w:r w:rsidR="006A0098" w:rsidRPr="006A0098">
        <w:t xml:space="preserve"> </w:t>
      </w:r>
    </w:p>
    <w:p w:rsidR="006A0098" w:rsidRDefault="006A0098" w:rsidP="006A0098">
      <w:r>
        <w:t>Finally, the group agrees on the following definition proposal:</w:t>
      </w:r>
    </w:p>
    <w:p w:rsidR="007D2A5C" w:rsidRDefault="006A0098" w:rsidP="007D2A5C">
      <w:pPr>
        <w:ind w:left="720" w:right="666"/>
        <w:rPr>
          <w:i/>
          <w:color w:val="595959" w:themeColor="text1" w:themeTint="A6"/>
          <w:lang w:val="en-GB" w:eastAsia="en-GB"/>
        </w:rPr>
      </w:pPr>
      <w:r w:rsidRPr="00DB444C">
        <w:rPr>
          <w:i/>
          <w:iCs/>
          <w:color w:val="0000FF"/>
          <w:lang w:val="en-GB" w:eastAsia="en-GB"/>
        </w:rPr>
        <w:t xml:space="preserve">WITL: Complementary Withholding Tax - Rate at which the income will be withheld by </w:t>
      </w:r>
      <w:r w:rsidRPr="00C512F8">
        <w:rPr>
          <w:i/>
          <w:iCs/>
          <w:color w:val="0000FF"/>
          <w:lang w:val="en-GB" w:eastAsia="en-GB"/>
        </w:rPr>
        <w:t>a</w:t>
      </w:r>
      <w:r w:rsidRPr="00DB444C">
        <w:rPr>
          <w:i/>
          <w:iCs/>
          <w:strike/>
          <w:color w:val="0000FF"/>
          <w:lang w:val="en-GB" w:eastAsia="en-GB"/>
        </w:rPr>
        <w:t xml:space="preserve"> </w:t>
      </w:r>
      <w:r w:rsidRPr="00DB444C">
        <w:rPr>
          <w:i/>
          <w:iCs/>
          <w:color w:val="0000FF"/>
          <w:lang w:val="en-GB" w:eastAsia="en-GB"/>
        </w:rPr>
        <w:t>jurisdiction</w:t>
      </w:r>
      <w:r w:rsidRPr="00DB444C">
        <w:rPr>
          <w:i/>
          <w:color w:val="595959" w:themeColor="text1" w:themeTint="A6"/>
          <w:lang w:val="en-GB" w:eastAsia="en-GB"/>
        </w:rPr>
        <w:t>, other than the jurisdiction of the issuer’s country of tax incorporation</w:t>
      </w:r>
      <w:r w:rsidRPr="00DB444C">
        <w:rPr>
          <w:i/>
          <w:color w:val="0000FF"/>
          <w:lang w:val="en-GB" w:eastAsia="en-GB"/>
        </w:rPr>
        <w:t xml:space="preserve"> </w:t>
      </w:r>
      <w:r w:rsidRPr="00DB444C">
        <w:rPr>
          <w:i/>
          <w:color w:val="0000FF"/>
          <w:u w:val="single"/>
          <w:lang w:val="en-GB" w:eastAsia="en-GB"/>
        </w:rPr>
        <w:t>(in complement/offset of the withholding tax)</w:t>
      </w:r>
      <w:r w:rsidRPr="00DB444C">
        <w:rPr>
          <w:i/>
          <w:iCs/>
          <w:color w:val="0000FF"/>
          <w:lang w:val="en-GB" w:eastAsia="en-GB"/>
        </w:rPr>
        <w:t xml:space="preserve"> for which a relief at source and/or reclaim may be possible.</w:t>
      </w:r>
      <w:r w:rsidRPr="00DB444C">
        <w:rPr>
          <w:i/>
          <w:color w:val="595959" w:themeColor="text1" w:themeTint="A6"/>
          <w:lang w:val="en-GB" w:eastAsia="en-GB"/>
        </w:rPr>
        <w:t xml:space="preserve"> WITL rate is levied in complement or offset of the withholding tax rate (TAXR) levied by the jurisdiction of the issuer’s tax domicile.</w:t>
      </w:r>
    </w:p>
    <w:p w:rsidR="00857C6A" w:rsidRPr="007D2A5C" w:rsidRDefault="00191C12" w:rsidP="007D2A5C">
      <w:pPr>
        <w:pStyle w:val="Paragraphedeliste"/>
        <w:numPr>
          <w:ilvl w:val="0"/>
          <w:numId w:val="34"/>
        </w:numPr>
        <w:ind w:right="666"/>
        <w:rPr>
          <w:sz w:val="20"/>
        </w:rPr>
      </w:pPr>
      <w:r w:rsidRPr="007D2A5C">
        <w:rPr>
          <w:rFonts w:cs="Arial"/>
          <w:sz w:val="20"/>
          <w:u w:val="single"/>
          <w:lang w:val="en-US" w:eastAsia="en-US"/>
        </w:rPr>
        <w:t xml:space="preserve">Recommendation 2 - </w:t>
      </w:r>
      <w:r w:rsidR="00857C6A" w:rsidRPr="007D2A5C">
        <w:rPr>
          <w:rFonts w:cs="Arial"/>
          <w:sz w:val="20"/>
          <w:u w:val="single"/>
          <w:lang w:val="en-US" w:eastAsia="en-US"/>
        </w:rPr>
        <w:t>Option B</w:t>
      </w:r>
      <w:r w:rsidR="00857C6A">
        <w:t xml:space="preserve"> : </w:t>
      </w:r>
      <w:r w:rsidR="00F92D52" w:rsidRPr="007D2A5C">
        <w:rPr>
          <w:sz w:val="20"/>
        </w:rPr>
        <w:t>no</w:t>
      </w:r>
      <w:r w:rsidR="005C262D" w:rsidRPr="007D2A5C">
        <w:rPr>
          <w:sz w:val="20"/>
        </w:rPr>
        <w:t xml:space="preserve"> WITL but instead a </w:t>
      </w:r>
      <w:r w:rsidR="00857C6A" w:rsidRPr="007D2A5C">
        <w:rPr>
          <w:sz w:val="20"/>
        </w:rPr>
        <w:t>repetitive TAXR</w:t>
      </w:r>
    </w:p>
    <w:p w:rsidR="004957BB" w:rsidRDefault="0018274F" w:rsidP="002254CA">
      <w:pPr>
        <w:pStyle w:val="NormalWeb"/>
      </w:pPr>
      <w:r>
        <w:t>Feedback from the US. Please see attached</w:t>
      </w:r>
      <w:r w:rsidR="007B05EE">
        <w:t>. ISITC recommends to have either a new “source of income” field that applies to the overall distribution or a new “Rate Type Code” defined for TAXR and/or WITL (based on the ISITC SR2014 CR on WITL/WITF</w:t>
      </w:r>
      <w:r w:rsidR="00E85420">
        <w:t>)</w:t>
      </w:r>
      <w:r w:rsidR="00C04F31">
        <w:t xml:space="preserve">. ISITC is not in </w:t>
      </w:r>
      <w:r w:rsidR="00C04F31" w:rsidRPr="008D6C67">
        <w:rPr>
          <w:lang w:val="en-GB"/>
        </w:rPr>
        <w:t>favour</w:t>
      </w:r>
      <w:r w:rsidR="00C04F31">
        <w:t xml:space="preserve"> of adding a country code to TAXR.</w:t>
      </w:r>
      <w:r>
        <w:br/>
      </w:r>
      <w:bookmarkStart w:id="10" w:name="_MON_1456244352"/>
      <w:bookmarkEnd w:id="10"/>
      <w:r>
        <w:object w:dxaOrig="1539" w:dyaOrig="996">
          <v:shape id="_x0000_i1027" type="#_x0000_t75" style="width:77.25pt;height:49.5pt" o:ole="">
            <v:imagedata r:id="rId14" o:title=""/>
          </v:shape>
          <o:OLEObject Type="Embed" ProgID="Word.Document.12" ShapeID="_x0000_i1027" DrawAspect="Icon" ObjectID="_1456666050" r:id="rId15">
            <o:FieldCodes>\s</o:FieldCodes>
          </o:OLEObject>
        </w:object>
      </w:r>
    </w:p>
    <w:p w:rsidR="00857C6A" w:rsidRDefault="00857C6A" w:rsidP="002254CA">
      <w:pPr>
        <w:pStyle w:val="NormalWeb"/>
      </w:pPr>
      <w:r>
        <w:t>Regarding FATCA</w:t>
      </w:r>
      <w:r w:rsidR="004C5C0F">
        <w:t>,</w:t>
      </w:r>
      <w:r>
        <w:t xml:space="preserve"> the tax types will be </w:t>
      </w:r>
      <w:r w:rsidR="0018274F">
        <w:t>repetitive</w:t>
      </w:r>
      <w:r w:rsidR="00C04F31">
        <w:t>.</w:t>
      </w:r>
    </w:p>
    <w:p w:rsidR="00857C6A" w:rsidRDefault="00857C6A" w:rsidP="002254CA">
      <w:pPr>
        <w:pStyle w:val="NormalWeb"/>
      </w:pPr>
      <w:r>
        <w:t>But for ZA it will be a good thing to distinguish between Nigeria and ZA</w:t>
      </w:r>
      <w:r w:rsidR="00C04F31">
        <w:t>.</w:t>
      </w:r>
    </w:p>
    <w:p w:rsidR="00235247" w:rsidRDefault="00235247" w:rsidP="002254CA">
      <w:pPr>
        <w:pStyle w:val="NormalWeb"/>
      </w:pPr>
      <w:r>
        <w:lastRenderedPageBreak/>
        <w:t>For Nigeria and ZA : couldn’t we use a sub code</w:t>
      </w:r>
      <w:r w:rsidR="00DF5277">
        <w:t xml:space="preserve"> ?</w:t>
      </w:r>
    </w:p>
    <w:p w:rsidR="00235247" w:rsidRDefault="00235247" w:rsidP="002254CA">
      <w:pPr>
        <w:pStyle w:val="NormalWeb"/>
      </w:pPr>
      <w:r>
        <w:t>4</w:t>
      </w:r>
      <w:r w:rsidRPr="00235247">
        <w:rPr>
          <w:vertAlign w:val="superscript"/>
        </w:rPr>
        <w:t>th</w:t>
      </w:r>
      <w:r>
        <w:t xml:space="preserve"> solution : TAXR/specific code/ </w:t>
      </w:r>
    </w:p>
    <w:p w:rsidR="00235247" w:rsidRDefault="00DF5277" w:rsidP="002254CA">
      <w:pPr>
        <w:pStyle w:val="NormalWeb"/>
      </w:pPr>
      <w:r>
        <w:t>It looks d</w:t>
      </w:r>
      <w:r w:rsidR="00235247">
        <w:t>angerous to have 2 qualifiers if 2 nationality of the client : FR stock and US client (15pct) and DE client (30pct) even if for Fatca it is necessary and it will work like that.</w:t>
      </w:r>
    </w:p>
    <w:p w:rsidR="00235247" w:rsidRDefault="00235247" w:rsidP="002254CA">
      <w:pPr>
        <w:pStyle w:val="NormalWeb"/>
      </w:pPr>
      <w:r>
        <w:t>And the sub-type may go against the definition and it will be difficult to find a correct definition for the sub code.</w:t>
      </w:r>
    </w:p>
    <w:p w:rsidR="00235247" w:rsidRDefault="00AB68CA" w:rsidP="002254CA">
      <w:pPr>
        <w:pStyle w:val="NormalWeb"/>
      </w:pPr>
      <w:r>
        <w:t xml:space="preserve">The country code as an optional format and information can be used </w:t>
      </w:r>
      <w:r w:rsidR="00DF5277">
        <w:t>a</w:t>
      </w:r>
      <w:r>
        <w:t>t a service level in particular when only one TAXR is reported. Only for information.</w:t>
      </w:r>
    </w:p>
    <w:p w:rsidR="00AB68CA" w:rsidRDefault="00AB68CA" w:rsidP="002254CA">
      <w:pPr>
        <w:pStyle w:val="NormalWeb"/>
      </w:pPr>
      <w:r>
        <w:t xml:space="preserve">Question related to usage of this repetitive rate : will it be used </w:t>
      </w:r>
      <w:r w:rsidRPr="00DF5277">
        <w:rPr>
          <w:b/>
          <w:u w:val="single"/>
        </w:rPr>
        <w:t>always</w:t>
      </w:r>
      <w:r>
        <w:t xml:space="preserve"> with sub tax rates ? </w:t>
      </w:r>
      <w:r w:rsidR="00DF5277">
        <w:br/>
      </w:r>
      <w:r>
        <w:t xml:space="preserve">Sonda will double check </w:t>
      </w:r>
      <w:r w:rsidR="00DF5277">
        <w:t>if in some cases</w:t>
      </w:r>
      <w:r>
        <w:t xml:space="preserve"> TAXR </w:t>
      </w:r>
      <w:r w:rsidR="00DF5277">
        <w:t xml:space="preserve">will be used </w:t>
      </w:r>
      <w:r>
        <w:t xml:space="preserve">without sub type AND </w:t>
      </w:r>
      <w:r w:rsidR="00DF5277">
        <w:t xml:space="preserve">in some other cases </w:t>
      </w:r>
      <w:r>
        <w:t>with sub types.</w:t>
      </w:r>
    </w:p>
    <w:p w:rsidR="00FE4F86" w:rsidRDefault="00FE4F86" w:rsidP="002254CA">
      <w:pPr>
        <w:pStyle w:val="NormalWeb"/>
      </w:pPr>
      <w:r>
        <w:t>Definition of WITL should be as easy as possible just to distinguish it from the TAXR definition.</w:t>
      </w:r>
    </w:p>
    <w:p w:rsidR="00F92D52" w:rsidRDefault="00AB68CA" w:rsidP="00DF5277">
      <w:pPr>
        <w:pStyle w:val="NormalWeb"/>
        <w:numPr>
          <w:ilvl w:val="0"/>
          <w:numId w:val="30"/>
        </w:numPr>
      </w:pPr>
      <w:r w:rsidRPr="00F92D52">
        <w:rPr>
          <w:u w:val="single"/>
        </w:rPr>
        <w:t>Recommendation 3 :</w:t>
      </w:r>
      <w:r>
        <w:t xml:space="preserve"> </w:t>
      </w:r>
      <w:r w:rsidR="00F92D52">
        <w:t xml:space="preserve">WITF removed </w:t>
      </w:r>
    </w:p>
    <w:p w:rsidR="00C512F8" w:rsidRDefault="00F92D52" w:rsidP="00C512F8">
      <w:pPr>
        <w:pStyle w:val="NormalWeb"/>
        <w:ind w:left="360"/>
      </w:pPr>
      <w:r>
        <w:t xml:space="preserve">All </w:t>
      </w:r>
      <w:r w:rsidR="00AB68CA">
        <w:t xml:space="preserve">agree </w:t>
      </w:r>
      <w:r w:rsidR="003F6776">
        <w:t xml:space="preserve">in order </w:t>
      </w:r>
      <w:r w:rsidR="00AB68CA">
        <w:t xml:space="preserve">to </w:t>
      </w:r>
      <w:r w:rsidR="00AB68CA" w:rsidRPr="00FE4F86">
        <w:t>limit</w:t>
      </w:r>
      <w:r w:rsidR="00AB68CA">
        <w:t xml:space="preserve"> the number of qualifiers. </w:t>
      </w:r>
      <w:r>
        <w:t xml:space="preserve">In that case, CR needed for </w:t>
      </w:r>
      <w:r w:rsidR="00AB68CA">
        <w:t>SR 2015</w:t>
      </w:r>
      <w:r>
        <w:t>.</w:t>
      </w:r>
      <w:r w:rsidR="00AB68CA">
        <w:t xml:space="preserve"> </w:t>
      </w:r>
    </w:p>
    <w:p w:rsidR="00C512F8" w:rsidRDefault="00110DA4" w:rsidP="00C512F8">
      <w:pPr>
        <w:pStyle w:val="Actions"/>
        <w:rPr>
          <w:b/>
          <w:u w:val="single"/>
        </w:rPr>
      </w:pPr>
      <w:r w:rsidRPr="0034482B">
        <w:rPr>
          <w:b/>
          <w:u w:val="single"/>
        </w:rPr>
        <w:t>Action</w:t>
      </w:r>
      <w:r w:rsidRPr="00C512F8">
        <w:rPr>
          <w:b/>
          <w:u w:val="single"/>
        </w:rPr>
        <w:t>:</w:t>
      </w:r>
    </w:p>
    <w:p w:rsidR="0034482B" w:rsidRDefault="00C512F8" w:rsidP="00F92D52">
      <w:pPr>
        <w:pStyle w:val="Actions"/>
        <w:numPr>
          <w:ilvl w:val="0"/>
          <w:numId w:val="33"/>
        </w:numPr>
        <w:jc w:val="left"/>
      </w:pPr>
      <w:r>
        <w:t xml:space="preserve">Sonda </w:t>
      </w:r>
      <w:r w:rsidRPr="00C16D1F">
        <w:t>to provide an example</w:t>
      </w:r>
      <w:r>
        <w:t xml:space="preserve"> (Japanese case ?) </w:t>
      </w:r>
      <w:r w:rsidRPr="00C16D1F">
        <w:t>that could create confusion regarding the DTT</w:t>
      </w:r>
      <w:r>
        <w:t>.</w:t>
      </w:r>
      <w:r>
        <w:t xml:space="preserve"> </w:t>
      </w:r>
    </w:p>
    <w:p w:rsidR="00C512F8" w:rsidRDefault="00C512F8" w:rsidP="00C512F8">
      <w:pPr>
        <w:pStyle w:val="Actions"/>
        <w:numPr>
          <w:ilvl w:val="0"/>
          <w:numId w:val="33"/>
        </w:numPr>
        <w:jc w:val="left"/>
      </w:pPr>
      <w:r>
        <w:t xml:space="preserve">Jyi-Chen </w:t>
      </w:r>
      <w:r>
        <w:t>and Jean-Pierre to propose</w:t>
      </w:r>
      <w:r>
        <w:t xml:space="preserve"> an updated definition for WITL</w:t>
      </w:r>
      <w:r>
        <w:t xml:space="preserve"> + preparation of SR2015 Change Requests</w:t>
      </w:r>
    </w:p>
    <w:p w:rsidR="00C512F8" w:rsidRPr="0034482B" w:rsidRDefault="00C512F8" w:rsidP="00C512F8">
      <w:pPr>
        <w:pStyle w:val="Actions"/>
        <w:ind w:left="720"/>
        <w:jc w:val="left"/>
      </w:pPr>
    </w:p>
    <w:p w:rsidR="00E60462" w:rsidRDefault="00E60462" w:rsidP="000F5913">
      <w:pPr>
        <w:pStyle w:val="Titre1"/>
        <w:ind w:left="360"/>
      </w:pPr>
      <w:bookmarkStart w:id="11" w:name="_Toc382921832"/>
      <w:r>
        <w:t>Tax processing flow / certification process</w:t>
      </w:r>
      <w:bookmarkEnd w:id="11"/>
    </w:p>
    <w:p w:rsidR="00E60462" w:rsidRDefault="003519A2" w:rsidP="00F8542D">
      <w:pPr>
        <w:pStyle w:val="Paragraphedeliste"/>
        <w:ind w:left="0"/>
        <w:rPr>
          <w:sz w:val="20"/>
        </w:rPr>
      </w:pPr>
      <w:r>
        <w:object w:dxaOrig="1531" w:dyaOrig="990">
          <v:shape id="_x0000_i1028" type="#_x0000_t75" style="width:76.5pt;height:49.5pt" o:ole="">
            <v:imagedata r:id="rId16" o:title=""/>
          </v:shape>
          <o:OLEObject Type="Embed" ProgID="PowerPoint.Show.8" ShapeID="_x0000_i1028" DrawAspect="Icon" ObjectID="_1456666051" r:id="rId17"/>
        </w:object>
      </w:r>
      <w:bookmarkStart w:id="12" w:name="_MON_1431939058"/>
      <w:bookmarkEnd w:id="12"/>
      <w:r w:rsidR="000215E8">
        <w:object w:dxaOrig="1551" w:dyaOrig="991">
          <v:shape id="_x0000_i1029" type="#_x0000_t75" style="width:77.25pt;height:49.5pt" o:ole="">
            <v:imagedata r:id="rId18" o:title=""/>
          </v:shape>
          <o:OLEObject Type="Embed" ProgID="Word.Document.12" ShapeID="_x0000_i1029" DrawAspect="Icon" ObjectID="_1456666052" r:id="rId19">
            <o:FieldCodes>\s</o:FieldCodes>
          </o:OLEObject>
        </w:object>
      </w:r>
    </w:p>
    <w:p w:rsidR="004A6917" w:rsidRDefault="00E60462" w:rsidP="00393023">
      <w:pPr>
        <w:pStyle w:val="Actions"/>
      </w:pPr>
      <w:r w:rsidRPr="00597C9E">
        <w:rPr>
          <w:b/>
          <w:u w:val="single"/>
        </w:rPr>
        <w:t>Action</w:t>
      </w:r>
      <w:r>
        <w:rPr>
          <w:b/>
          <w:u w:val="single"/>
        </w:rPr>
        <w:t>:</w:t>
      </w:r>
      <w:r w:rsidRPr="00F8542D">
        <w:rPr>
          <w:b/>
        </w:rPr>
        <w:t xml:space="preserve"> </w:t>
      </w:r>
      <w:r w:rsidR="00C16D1F">
        <w:rPr>
          <w:b/>
        </w:rPr>
        <w:br/>
      </w:r>
      <w:r w:rsidR="007A0BFD" w:rsidRPr="00886615">
        <w:t xml:space="preserve">For next conference call, </w:t>
      </w:r>
      <w:r w:rsidR="004D548E">
        <w:t>Bernard and co-chairs to prepare an updated document for discussion</w:t>
      </w:r>
    </w:p>
    <w:p w:rsidR="00C512F8" w:rsidRPr="00886615" w:rsidRDefault="00C512F8" w:rsidP="00393023">
      <w:pPr>
        <w:pStyle w:val="Actions"/>
      </w:pPr>
    </w:p>
    <w:p w:rsidR="00EB44CD" w:rsidRPr="00D15962" w:rsidRDefault="00FB7D07" w:rsidP="000F5913">
      <w:pPr>
        <w:pStyle w:val="Titre1"/>
        <w:ind w:left="360"/>
      </w:pPr>
      <w:bookmarkStart w:id="13" w:name="_Toc382921833"/>
      <w:r w:rsidRPr="00D15962">
        <w:t>FATCA</w:t>
      </w:r>
      <w:bookmarkEnd w:id="13"/>
      <w:r w:rsidRPr="00D15962">
        <w:t xml:space="preserve"> </w:t>
      </w:r>
    </w:p>
    <w:p w:rsidR="00F80ADC" w:rsidRDefault="00DF5277" w:rsidP="002C748B">
      <w:pPr>
        <w:pStyle w:val="Normalcentr"/>
        <w:rPr>
          <w:sz w:val="20"/>
        </w:rPr>
      </w:pPr>
      <w:r>
        <w:rPr>
          <w:sz w:val="20"/>
        </w:rPr>
        <w:t>Please see above discussion on TAXR. No other updates</w:t>
      </w:r>
    </w:p>
    <w:p w:rsidR="00C512F8" w:rsidRDefault="00C512F8" w:rsidP="002C748B">
      <w:pPr>
        <w:pStyle w:val="Normalcentr"/>
        <w:rPr>
          <w:sz w:val="20"/>
        </w:rPr>
      </w:pPr>
    </w:p>
    <w:p w:rsidR="00C512F8" w:rsidRDefault="00C512F8" w:rsidP="002C748B">
      <w:pPr>
        <w:pStyle w:val="Normalcentr"/>
        <w:rPr>
          <w:sz w:val="20"/>
        </w:rPr>
      </w:pPr>
    </w:p>
    <w:p w:rsidR="00C512F8" w:rsidRDefault="00C512F8" w:rsidP="002C748B">
      <w:pPr>
        <w:pStyle w:val="Normalcentr"/>
        <w:rPr>
          <w:sz w:val="20"/>
        </w:rPr>
      </w:pPr>
    </w:p>
    <w:p w:rsidR="00C512F8" w:rsidRDefault="00C512F8" w:rsidP="002C748B">
      <w:pPr>
        <w:pStyle w:val="Normalcentr"/>
        <w:rPr>
          <w:sz w:val="20"/>
        </w:rPr>
      </w:pPr>
    </w:p>
    <w:p w:rsidR="00C512F8" w:rsidRDefault="00C512F8" w:rsidP="002C748B">
      <w:pPr>
        <w:pStyle w:val="Normalcentr"/>
        <w:rPr>
          <w:sz w:val="20"/>
        </w:rPr>
      </w:pPr>
    </w:p>
    <w:p w:rsidR="00E33272" w:rsidRDefault="00E33272" w:rsidP="000F5913">
      <w:pPr>
        <w:pStyle w:val="Titre1"/>
        <w:ind w:left="360"/>
      </w:pPr>
      <w:bookmarkStart w:id="14" w:name="_Toc382921834"/>
      <w:r>
        <w:lastRenderedPageBreak/>
        <w:t>CA 200.2</w:t>
      </w:r>
      <w:r w:rsidR="006A7D2F">
        <w:t xml:space="preserve"> – Options for Tax </w:t>
      </w:r>
      <w:r w:rsidR="00AB18CE">
        <w:t>Treatment</w:t>
      </w:r>
      <w:bookmarkEnd w:id="14"/>
    </w:p>
    <w:p w:rsidR="00207BB8" w:rsidRPr="00DF5277" w:rsidRDefault="00B66CA1" w:rsidP="00207BB8">
      <w:pPr>
        <w:pStyle w:val="Normalcentr"/>
        <w:numPr>
          <w:ilvl w:val="0"/>
          <w:numId w:val="19"/>
        </w:numPr>
        <w:rPr>
          <w:sz w:val="20"/>
          <w:u w:val="single"/>
        </w:rPr>
      </w:pPr>
      <w:r w:rsidRPr="00DF5277">
        <w:rPr>
          <w:sz w:val="20"/>
          <w:u w:val="single"/>
        </w:rPr>
        <w:t xml:space="preserve">Information required on </w:t>
      </w:r>
      <w:r w:rsidR="00207BB8" w:rsidRPr="00DF5277">
        <w:rPr>
          <w:sz w:val="20"/>
          <w:u w:val="single"/>
        </w:rPr>
        <w:t>Tax breakdowns</w:t>
      </w:r>
    </w:p>
    <w:p w:rsidR="00B66CA1" w:rsidRPr="00DF5277" w:rsidRDefault="00D54E0D" w:rsidP="002246A4">
      <w:pPr>
        <w:pStyle w:val="Normalcentr"/>
        <w:ind w:left="720"/>
        <w:rPr>
          <w:sz w:val="20"/>
        </w:rPr>
      </w:pPr>
      <w:r w:rsidRPr="00DF5277">
        <w:rPr>
          <w:sz w:val="20"/>
        </w:rPr>
        <w:t>Some feedbacks received</w:t>
      </w:r>
      <w:r w:rsidR="00BE097F" w:rsidRPr="00DF5277">
        <w:rPr>
          <w:sz w:val="20"/>
        </w:rPr>
        <w:t>. See attached file</w:t>
      </w:r>
    </w:p>
    <w:p w:rsidR="00BE097F" w:rsidRPr="00DF5277" w:rsidRDefault="00BE097F" w:rsidP="002246A4">
      <w:pPr>
        <w:pStyle w:val="Normalcentr"/>
        <w:ind w:left="720"/>
        <w:rPr>
          <w:sz w:val="20"/>
        </w:rPr>
      </w:pPr>
    </w:p>
    <w:p w:rsidR="00BE097F" w:rsidRPr="00DF5277" w:rsidRDefault="006C2BEA" w:rsidP="002246A4">
      <w:pPr>
        <w:pStyle w:val="Normalcentr"/>
        <w:ind w:left="720"/>
        <w:rPr>
          <w:sz w:val="20"/>
        </w:rPr>
      </w:pPr>
      <w:r w:rsidRPr="00DF5277">
        <w:rPr>
          <w:sz w:val="20"/>
        </w:rPr>
        <w:object w:dxaOrig="1454" w:dyaOrig="941">
          <v:shape id="_x0000_i1030" type="#_x0000_t75" style="width:72.75pt;height:46.5pt" o:ole="">
            <v:imagedata r:id="rId20" o:title=""/>
          </v:shape>
          <o:OLEObject Type="Embed" ProgID="Excel.Sheet.12" ShapeID="_x0000_i1030" DrawAspect="Icon" ObjectID="_1456666053" r:id="rId21"/>
        </w:object>
      </w:r>
    </w:p>
    <w:p w:rsidR="00B66CA1" w:rsidRPr="00DF5277" w:rsidRDefault="00B66CA1" w:rsidP="00B66CA1">
      <w:pPr>
        <w:pStyle w:val="Actions"/>
      </w:pPr>
      <w:r w:rsidRPr="00DF5277">
        <w:rPr>
          <w:b/>
          <w:u w:val="single"/>
        </w:rPr>
        <w:t>Action:</w:t>
      </w:r>
      <w:r w:rsidRPr="00DF5277">
        <w:t xml:space="preserve">, </w:t>
      </w:r>
    </w:p>
    <w:p w:rsidR="00B66CA1" w:rsidRPr="00DF5277" w:rsidRDefault="00AF12D0" w:rsidP="00B66CA1">
      <w:pPr>
        <w:pStyle w:val="Actions"/>
        <w:numPr>
          <w:ilvl w:val="0"/>
          <w:numId w:val="17"/>
        </w:numPr>
      </w:pPr>
      <w:r w:rsidRPr="00DF5277">
        <w:t>NMPGs to review</w:t>
      </w:r>
      <w:r w:rsidR="00D54E0D" w:rsidRPr="00DF5277">
        <w:t xml:space="preserve"> the table to identify if the</w:t>
      </w:r>
      <w:r w:rsidR="00BE097F" w:rsidRPr="00DF5277">
        <w:t>y have some exceptions / discrepancies.</w:t>
      </w:r>
    </w:p>
    <w:p w:rsidR="00AC6DC0" w:rsidRDefault="00AC6DC0" w:rsidP="000F5913">
      <w:pPr>
        <w:pStyle w:val="Titre1"/>
        <w:ind w:left="360"/>
      </w:pPr>
      <w:bookmarkStart w:id="15" w:name="_Toc382921835"/>
      <w:r>
        <w:t>Other topics</w:t>
      </w:r>
      <w:bookmarkEnd w:id="15"/>
    </w:p>
    <w:p w:rsidR="0018110E" w:rsidRPr="006B746B" w:rsidRDefault="00AC6DC0" w:rsidP="00E22F53">
      <w:pPr>
        <w:pStyle w:val="Paragraphedeliste"/>
        <w:numPr>
          <w:ilvl w:val="0"/>
          <w:numId w:val="17"/>
        </w:numPr>
        <w:ind w:left="360"/>
        <w:rPr>
          <w:sz w:val="20"/>
        </w:rPr>
      </w:pPr>
      <w:r w:rsidRPr="006B746B">
        <w:rPr>
          <w:sz w:val="20"/>
        </w:rPr>
        <w:t xml:space="preserve">Jyi-Chen pointed out a potential impact of a Change Request </w:t>
      </w:r>
      <w:r w:rsidR="00E22F53" w:rsidRPr="006B746B">
        <w:rPr>
          <w:sz w:val="20"/>
        </w:rPr>
        <w:t xml:space="preserve">(SR2014 CR000613) </w:t>
      </w:r>
      <w:r w:rsidRPr="006B746B">
        <w:rPr>
          <w:sz w:val="20"/>
        </w:rPr>
        <w:t>that ha</w:t>
      </w:r>
      <w:r w:rsidR="0018110E" w:rsidRPr="006B746B">
        <w:rPr>
          <w:sz w:val="20"/>
        </w:rPr>
        <w:t xml:space="preserve">s been accepted for the SR 2014. The </w:t>
      </w:r>
      <w:r w:rsidRPr="006B746B">
        <w:rPr>
          <w:sz w:val="20"/>
        </w:rPr>
        <w:t>CR relates to the fact that for manufactured dividend, it will be possible to indicate different deadlines between the available position and the stock lending position.</w:t>
      </w:r>
      <w:r w:rsidRPr="006B746B">
        <w:rPr>
          <w:sz w:val="20"/>
        </w:rPr>
        <w:br/>
      </w:r>
    </w:p>
    <w:p w:rsidR="002246A4" w:rsidRPr="006B746B" w:rsidRDefault="00AC6DC0" w:rsidP="00E22F53">
      <w:pPr>
        <w:ind w:left="360"/>
        <w:rPr>
          <w:lang w:eastAsia="en-GB"/>
        </w:rPr>
      </w:pPr>
      <w:r w:rsidRPr="006B746B">
        <w:rPr>
          <w:lang w:eastAsia="en-GB"/>
        </w:rPr>
        <w:t>So what about taxes in this scenario? There is no direct link with the CR but in 2014, for such a case, everybody will have the possibility to use only one MT564 and no longer the narrative</w:t>
      </w:r>
      <w:r w:rsidR="002246A4" w:rsidRPr="006B746B">
        <w:rPr>
          <w:lang w:eastAsia="en-GB"/>
        </w:rPr>
        <w:t xml:space="preserve"> part so what will happen</w:t>
      </w:r>
      <w:r w:rsidRPr="006B746B">
        <w:rPr>
          <w:lang w:eastAsia="en-GB"/>
        </w:rPr>
        <w:t>ed if taxation is diffe</w:t>
      </w:r>
      <w:r w:rsidR="0018110E" w:rsidRPr="006B746B">
        <w:rPr>
          <w:lang w:eastAsia="en-GB"/>
        </w:rPr>
        <w:t>rent and that the settled position and l</w:t>
      </w:r>
      <w:r w:rsidRPr="006B746B">
        <w:rPr>
          <w:lang w:eastAsia="en-GB"/>
        </w:rPr>
        <w:t>oan position are taxed differently?</w:t>
      </w:r>
    </w:p>
    <w:p w:rsidR="002246A4" w:rsidRPr="006B746B" w:rsidRDefault="002246A4" w:rsidP="00E22F53">
      <w:pPr>
        <w:ind w:left="360"/>
        <w:rPr>
          <w:lang w:eastAsia="en-GB"/>
        </w:rPr>
      </w:pPr>
      <w:r w:rsidRPr="006B746B">
        <w:rPr>
          <w:lang w:eastAsia="en-GB"/>
        </w:rPr>
        <w:t>Cash</w:t>
      </w:r>
      <w:r w:rsidR="0018110E" w:rsidRPr="006B746B">
        <w:rPr>
          <w:lang w:eastAsia="en-GB"/>
        </w:rPr>
        <w:t>M</w:t>
      </w:r>
      <w:r w:rsidRPr="006B746B">
        <w:rPr>
          <w:lang w:eastAsia="en-GB"/>
        </w:rPr>
        <w:t xml:space="preserve">ove to </w:t>
      </w:r>
      <w:r w:rsidR="0018110E" w:rsidRPr="006B746B">
        <w:rPr>
          <w:lang w:eastAsia="en-GB"/>
        </w:rPr>
        <w:t xml:space="preserve">be </w:t>
      </w:r>
      <w:r w:rsidRPr="006B746B">
        <w:rPr>
          <w:lang w:eastAsia="en-GB"/>
        </w:rPr>
        <w:t>use</w:t>
      </w:r>
      <w:r w:rsidR="0018110E" w:rsidRPr="006B746B">
        <w:rPr>
          <w:lang w:eastAsia="en-GB"/>
        </w:rPr>
        <w:t>d</w:t>
      </w:r>
      <w:r w:rsidRPr="006B746B">
        <w:rPr>
          <w:lang w:eastAsia="en-GB"/>
        </w:rPr>
        <w:t xml:space="preserve"> to distinguish?</w:t>
      </w:r>
    </w:p>
    <w:p w:rsidR="004D548E" w:rsidRPr="006B746B" w:rsidRDefault="004D548E" w:rsidP="002246A4">
      <w:pPr>
        <w:pStyle w:val="Actions"/>
        <w:rPr>
          <w:b/>
          <w:u w:val="single"/>
        </w:rPr>
      </w:pPr>
    </w:p>
    <w:p w:rsidR="002246A4" w:rsidRPr="006B746B" w:rsidRDefault="002246A4" w:rsidP="002246A4">
      <w:pPr>
        <w:pStyle w:val="Actions"/>
      </w:pPr>
      <w:r w:rsidRPr="006B746B">
        <w:rPr>
          <w:b/>
          <w:u w:val="single"/>
        </w:rPr>
        <w:t>Action:</w:t>
      </w:r>
      <w:r w:rsidRPr="006B746B">
        <w:rPr>
          <w:b/>
        </w:rPr>
        <w:t xml:space="preserve">  </w:t>
      </w:r>
      <w:r w:rsidRPr="006B746B">
        <w:t>NMPGs to investigate for further discussion.</w:t>
      </w:r>
    </w:p>
    <w:p w:rsidR="00A927D2" w:rsidRPr="004D548E" w:rsidRDefault="00A927D2" w:rsidP="002246A4">
      <w:pPr>
        <w:pStyle w:val="Actions"/>
        <w:rPr>
          <w:highlight w:val="yellow"/>
        </w:rPr>
      </w:pPr>
    </w:p>
    <w:p w:rsidR="00AF12D0" w:rsidRPr="00586219" w:rsidRDefault="00AF12D0" w:rsidP="00E22F53">
      <w:pPr>
        <w:pStyle w:val="Actions"/>
        <w:numPr>
          <w:ilvl w:val="0"/>
          <w:numId w:val="17"/>
        </w:numPr>
        <w:ind w:left="360"/>
        <w:rPr>
          <w:color w:val="auto"/>
          <w:u w:val="single"/>
        </w:rPr>
      </w:pPr>
      <w:r w:rsidRPr="00586219">
        <w:rPr>
          <w:color w:val="auto"/>
          <w:u w:val="single"/>
        </w:rPr>
        <w:t xml:space="preserve">Question from </w:t>
      </w:r>
      <w:r w:rsidR="00BE097F" w:rsidRPr="00586219">
        <w:rPr>
          <w:color w:val="auto"/>
          <w:u w:val="single"/>
        </w:rPr>
        <w:t>APAC WG</w:t>
      </w:r>
      <w:r w:rsidRPr="00586219">
        <w:rPr>
          <w:color w:val="auto"/>
          <w:u w:val="single"/>
        </w:rPr>
        <w:t xml:space="preserve"> :</w:t>
      </w:r>
    </w:p>
    <w:p w:rsidR="004E1F19" w:rsidRPr="006B746B" w:rsidRDefault="004E1F19" w:rsidP="004E1F19">
      <w:pPr>
        <w:rPr>
          <w:color w:val="1F497D"/>
          <w:lang w:val="en-SG"/>
        </w:rPr>
      </w:pPr>
      <w:r w:rsidRPr="006B746B">
        <w:rPr>
          <w:color w:val="1F497D"/>
          <w:lang w:val="en-SG"/>
        </w:rPr>
        <w:t>For subsequence E2 Cash Movement Field 92a: Rate, FLRR is defined twice:</w:t>
      </w:r>
    </w:p>
    <w:p w:rsidR="004E1F19" w:rsidRPr="006B746B" w:rsidRDefault="004E1F19" w:rsidP="004E1F19">
      <w:pPr>
        <w:pStyle w:val="Paragraphedeliste"/>
        <w:numPr>
          <w:ilvl w:val="0"/>
          <w:numId w:val="29"/>
        </w:numPr>
        <w:rPr>
          <w:rFonts w:ascii="Calibri" w:hAnsi="Calibri" w:cs="Calibri"/>
          <w:color w:val="1F497D"/>
          <w:sz w:val="22"/>
          <w:szCs w:val="22"/>
          <w:lang w:val="en-SG"/>
        </w:rPr>
      </w:pPr>
      <w:r w:rsidRPr="006B746B">
        <w:rPr>
          <w:rFonts w:ascii="Calibri" w:hAnsi="Calibri" w:cs="Calibri"/>
          <w:color w:val="1F497D"/>
          <w:sz w:val="22"/>
          <w:szCs w:val="22"/>
          <w:lang w:val="en-SG"/>
        </w:rPr>
        <w:t>defined as a ‘Qualifier’ along with ‘GRSS’.</w:t>
      </w:r>
    </w:p>
    <w:p w:rsidR="004E1F19" w:rsidRPr="006B746B" w:rsidRDefault="004E1F19" w:rsidP="004E1F19">
      <w:pPr>
        <w:pStyle w:val="Paragraphedeliste"/>
        <w:numPr>
          <w:ilvl w:val="0"/>
          <w:numId w:val="29"/>
        </w:numPr>
        <w:rPr>
          <w:rFonts w:ascii="Calibri" w:hAnsi="Calibri" w:cs="Calibri"/>
          <w:color w:val="1F497D"/>
          <w:sz w:val="22"/>
          <w:szCs w:val="22"/>
          <w:lang w:val="en-SG"/>
        </w:rPr>
      </w:pPr>
      <w:r w:rsidRPr="006B746B">
        <w:rPr>
          <w:rFonts w:ascii="Calibri" w:hAnsi="Calibri" w:cs="Calibri"/>
          <w:color w:val="1F497D"/>
          <w:sz w:val="22"/>
          <w:szCs w:val="22"/>
          <w:lang w:val="en-SG"/>
        </w:rPr>
        <w:t>Defined as a ‘rate type code’ in the qualifier GRSS</w:t>
      </w:r>
    </w:p>
    <w:p w:rsidR="004E1F19" w:rsidRPr="006B746B" w:rsidRDefault="004E1F19" w:rsidP="004E1F19">
      <w:pPr>
        <w:ind w:left="360"/>
        <w:rPr>
          <w:rFonts w:ascii="Calibri" w:hAnsi="Calibri" w:cs="Calibri"/>
          <w:color w:val="1F497D"/>
          <w:sz w:val="22"/>
          <w:szCs w:val="22"/>
          <w:lang w:val="en-SG"/>
        </w:rPr>
      </w:pPr>
    </w:p>
    <w:p w:rsidR="004E1F19" w:rsidRPr="006B746B" w:rsidRDefault="004E1F19" w:rsidP="004E1F19">
      <w:pPr>
        <w:rPr>
          <w:rFonts w:ascii="Calibri" w:hAnsi="Calibri" w:cs="Calibri"/>
          <w:color w:val="1F497D"/>
          <w:sz w:val="22"/>
          <w:szCs w:val="22"/>
          <w:lang w:val="en-SG"/>
        </w:rPr>
      </w:pPr>
      <w:r w:rsidRPr="006B746B">
        <w:rPr>
          <w:color w:val="1F497D"/>
          <w:lang w:val="en-SG"/>
        </w:rPr>
        <w:t>What is the use of FLFR as ‘qualifier’ when it is more commonly used under ‘rate type code’? Any reasons for its existence as a ‘qualifier’ in addition to as a ‘rate type code’ – if yes, how is to be interpreted and used?</w:t>
      </w:r>
    </w:p>
    <w:p w:rsidR="00BE097F" w:rsidRPr="006B746B" w:rsidRDefault="00BE097F" w:rsidP="002246A4">
      <w:pPr>
        <w:pStyle w:val="Actions"/>
        <w:rPr>
          <w:color w:val="auto"/>
        </w:rPr>
      </w:pPr>
      <w:r w:rsidRPr="006B746B">
        <w:rPr>
          <w:rFonts w:ascii="Calibri" w:hAnsi="Calibri" w:cs="Times New Roman"/>
          <w:sz w:val="22"/>
          <w:szCs w:val="22"/>
          <w:lang w:val="fr-FR"/>
        </w:rPr>
        <w:object w:dxaOrig="1440" w:dyaOrig="1125">
          <v:shape id="_x0000_i1031" type="#_x0000_t75" style="width:1in;height:56.25pt" o:ole="">
            <v:imagedata r:id="rId22" o:title=""/>
          </v:shape>
          <o:OLEObject Type="Embed" ProgID="MailMsgAtt" ShapeID="_x0000_i1031" DrawAspect="Icon" ObjectID="_1456666054" r:id="rId23"/>
        </w:object>
      </w:r>
    </w:p>
    <w:p w:rsidR="0030251B" w:rsidRPr="006B746B" w:rsidRDefault="0030251B" w:rsidP="002246A4">
      <w:pPr>
        <w:pStyle w:val="Actions"/>
        <w:rPr>
          <w:color w:val="auto"/>
        </w:rPr>
      </w:pPr>
      <w:r w:rsidRPr="006B746B">
        <w:rPr>
          <w:color w:val="auto"/>
        </w:rPr>
        <w:t>Statistics from SWIFT are giving 50 /50 between direct code and sub-type</w:t>
      </w:r>
      <w:r w:rsidR="004E1F19" w:rsidRPr="006B746B">
        <w:rPr>
          <w:color w:val="auto"/>
        </w:rPr>
        <w:t xml:space="preserve"> code usage.</w:t>
      </w:r>
    </w:p>
    <w:p w:rsidR="0030251B" w:rsidRDefault="006B746B" w:rsidP="002246A4">
      <w:pPr>
        <w:pStyle w:val="Actions"/>
        <w:rPr>
          <w:color w:val="auto"/>
        </w:rPr>
      </w:pPr>
      <w:r w:rsidRPr="00414D3A">
        <w:rPr>
          <w:color w:val="auto"/>
        </w:rPr>
        <w:t xml:space="preserve">Jyi-Chen </w:t>
      </w:r>
      <w:r>
        <w:rPr>
          <w:color w:val="auto"/>
        </w:rPr>
        <w:t>indicated that</w:t>
      </w:r>
      <w:r w:rsidRPr="00414D3A">
        <w:rPr>
          <w:color w:val="auto"/>
        </w:rPr>
        <w:t xml:space="preserve"> AU </w:t>
      </w:r>
      <w:r>
        <w:rPr>
          <w:color w:val="auto"/>
        </w:rPr>
        <w:t>was</w:t>
      </w:r>
      <w:r w:rsidRPr="00414D3A">
        <w:rPr>
          <w:color w:val="auto"/>
        </w:rPr>
        <w:t xml:space="preserve"> looking rather </w:t>
      </w:r>
      <w:r>
        <w:rPr>
          <w:color w:val="auto"/>
        </w:rPr>
        <w:t>for</w:t>
      </w:r>
      <w:r w:rsidRPr="00414D3A">
        <w:rPr>
          <w:color w:val="auto"/>
        </w:rPr>
        <w:t xml:space="preserve"> an 20022 solution</w:t>
      </w:r>
    </w:p>
    <w:p w:rsidR="006B746B" w:rsidRDefault="006B746B" w:rsidP="006B746B">
      <w:pPr>
        <w:pStyle w:val="Actions"/>
        <w:rPr>
          <w:color w:val="auto"/>
        </w:rPr>
      </w:pPr>
      <w:r>
        <w:rPr>
          <w:color w:val="auto"/>
        </w:rPr>
        <w:t>Question of the group : Why did we create both formats ? To be searched in the past years</w:t>
      </w:r>
    </w:p>
    <w:p w:rsidR="0030251B" w:rsidRDefault="0030251B" w:rsidP="002246A4">
      <w:pPr>
        <w:pStyle w:val="Actions"/>
      </w:pPr>
      <w:r w:rsidRPr="006B746B">
        <w:rPr>
          <w:b/>
          <w:u w:val="single"/>
        </w:rPr>
        <w:t xml:space="preserve">Action </w:t>
      </w:r>
      <w:r w:rsidRPr="006B746B">
        <w:t xml:space="preserve">: </w:t>
      </w:r>
      <w:r w:rsidR="006B746B" w:rsidRPr="006B746B">
        <w:t>Ask AU to participate if possible in the next call but looks difficult to organize according to the little number of AU participants in the APAC NMPG</w:t>
      </w:r>
      <w:r w:rsidR="006B746B" w:rsidRPr="006B746B">
        <w:rPr>
          <w:highlight w:val="yellow"/>
        </w:rPr>
        <w:t xml:space="preserve"> </w:t>
      </w:r>
    </w:p>
    <w:p w:rsidR="00C512F8" w:rsidRPr="006B746B" w:rsidRDefault="00C512F8" w:rsidP="002246A4">
      <w:pPr>
        <w:pStyle w:val="Actions"/>
      </w:pPr>
      <w:bookmarkStart w:id="16" w:name="_GoBack"/>
      <w:bookmarkEnd w:id="16"/>
    </w:p>
    <w:p w:rsidR="00E60462" w:rsidRDefault="00E60462" w:rsidP="004E1F19">
      <w:pPr>
        <w:pStyle w:val="Titre1"/>
        <w:ind w:left="360"/>
      </w:pPr>
      <w:bookmarkStart w:id="17" w:name="_Toc382921836"/>
      <w:r>
        <w:lastRenderedPageBreak/>
        <w:t xml:space="preserve">Next </w:t>
      </w:r>
      <w:r w:rsidR="00AC3C0E">
        <w:t>Conference Calls</w:t>
      </w:r>
      <w:bookmarkEnd w:id="17"/>
    </w:p>
    <w:p w:rsidR="00AF12D0" w:rsidRDefault="004E1F19" w:rsidP="004E1F19">
      <w:pPr>
        <w:pStyle w:val="Actions"/>
        <w:rPr>
          <w:lang w:val="en-US"/>
        </w:rPr>
      </w:pPr>
      <w:r>
        <w:rPr>
          <w:color w:val="auto"/>
        </w:rPr>
        <w:t>Scheduled on:</w:t>
      </w:r>
      <w:r w:rsidR="00AF12D0" w:rsidRPr="00BE097F">
        <w:rPr>
          <w:color w:val="auto"/>
        </w:rPr>
        <w:t xml:space="preserve"> 20th Mar – (April ?) – 15th May – 26th Jun</w:t>
      </w:r>
      <w:r w:rsidR="0030251B" w:rsidRPr="00BE097F">
        <w:rPr>
          <w:color w:val="auto"/>
        </w:rPr>
        <w:t xml:space="preserve"> from 2pm to 4pm</w:t>
      </w:r>
    </w:p>
    <w:p w:rsidR="00AF12D0" w:rsidRDefault="00AF12D0" w:rsidP="0026493B">
      <w:pPr>
        <w:pStyle w:val="Paragraphedeliste"/>
        <w:rPr>
          <w:bCs/>
          <w:iCs/>
          <w:sz w:val="20"/>
        </w:rPr>
      </w:pPr>
    </w:p>
    <w:p w:rsidR="006B746B" w:rsidRPr="006B746B" w:rsidRDefault="00667524" w:rsidP="00EB44CD">
      <w:pPr>
        <w:pStyle w:val="Paragraphedeliste"/>
        <w:numPr>
          <w:ilvl w:val="0"/>
          <w:numId w:val="10"/>
        </w:numPr>
        <w:rPr>
          <w:bCs/>
          <w:iCs/>
          <w:sz w:val="20"/>
        </w:rPr>
      </w:pPr>
      <w:r>
        <w:rPr>
          <w:bCs/>
          <w:iCs/>
          <w:sz w:val="20"/>
          <w:lang w:val="en-US"/>
        </w:rPr>
        <w:t xml:space="preserve">A possible physical meeting and / or video conference is also proposed, maybe for next year.  </w:t>
      </w:r>
    </w:p>
    <w:p w:rsidR="006B746B" w:rsidRDefault="006B746B" w:rsidP="006B746B">
      <w:pPr>
        <w:pStyle w:val="Paragraphedeliste"/>
        <w:rPr>
          <w:bCs/>
          <w:iCs/>
          <w:sz w:val="20"/>
        </w:rPr>
      </w:pPr>
    </w:p>
    <w:p w:rsidR="006B746B" w:rsidRDefault="006B746B" w:rsidP="006B746B">
      <w:pPr>
        <w:pStyle w:val="Actions"/>
        <w:rPr>
          <w:bCs/>
          <w:iCs/>
          <w:color w:val="auto"/>
          <w:lang w:val="en-US"/>
        </w:rPr>
      </w:pPr>
      <w:r w:rsidRPr="006B746B">
        <w:rPr>
          <w:b/>
          <w:u w:val="single"/>
        </w:rPr>
        <w:t>Action :</w:t>
      </w:r>
      <w:r w:rsidRPr="006B746B">
        <w:rPr>
          <w:b/>
        </w:rPr>
        <w:t xml:space="preserve"> </w:t>
      </w:r>
      <w:r w:rsidR="00667524" w:rsidRPr="006B746B">
        <w:rPr>
          <w:bCs/>
          <w:iCs/>
          <w:lang w:val="en-US"/>
        </w:rPr>
        <w:t xml:space="preserve">Bernard </w:t>
      </w:r>
      <w:r w:rsidR="0018110E" w:rsidRPr="006B746B">
        <w:rPr>
          <w:bCs/>
          <w:iCs/>
          <w:lang w:val="en-US"/>
        </w:rPr>
        <w:t xml:space="preserve">/Jacques </w:t>
      </w:r>
      <w:r w:rsidRPr="006B746B">
        <w:rPr>
          <w:bCs/>
          <w:iCs/>
          <w:lang w:val="en-US"/>
        </w:rPr>
        <w:t xml:space="preserve">to continue to centralize feedbacks from participants </w:t>
      </w:r>
    </w:p>
    <w:p w:rsidR="0018110E" w:rsidRPr="0018110E" w:rsidRDefault="0018110E" w:rsidP="0018110E">
      <w:pPr>
        <w:rPr>
          <w:bCs/>
          <w:iCs/>
        </w:rPr>
      </w:pPr>
    </w:p>
    <w:bookmarkEnd w:id="3"/>
    <w:bookmarkEnd w:id="4"/>
    <w:p w:rsidR="00E60462" w:rsidRPr="00927C3C" w:rsidRDefault="00E60462" w:rsidP="0018110E">
      <w:pPr>
        <w:pStyle w:val="Normalcentr"/>
        <w:jc w:val="center"/>
        <w:rPr>
          <w:b/>
        </w:rPr>
      </w:pPr>
      <w:r>
        <w:rPr>
          <w:b/>
        </w:rPr>
        <w:t xml:space="preserve">------------------------  </w:t>
      </w:r>
      <w:r w:rsidRPr="003C599B">
        <w:rPr>
          <w:b/>
        </w:rPr>
        <w:t xml:space="preserve">End of the </w:t>
      </w:r>
      <w:r>
        <w:rPr>
          <w:b/>
        </w:rPr>
        <w:t>Meeting Minutes  -----------------</w:t>
      </w:r>
    </w:p>
    <w:sectPr w:rsidR="00E60462" w:rsidRPr="00927C3C" w:rsidSect="002322DE">
      <w:headerReference w:type="default" r:id="rId24"/>
      <w:footerReference w:type="default" r:id="rId25"/>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EA" w:rsidRDefault="006C2BEA" w:rsidP="00592037">
      <w:r>
        <w:separator/>
      </w:r>
    </w:p>
    <w:p w:rsidR="006C2BEA" w:rsidRDefault="006C2BEA" w:rsidP="00592037"/>
  </w:endnote>
  <w:endnote w:type="continuationSeparator" w:id="0">
    <w:p w:rsidR="006C2BEA" w:rsidRDefault="006C2BEA" w:rsidP="00592037">
      <w:r>
        <w:continuationSeparator/>
      </w:r>
    </w:p>
    <w:p w:rsidR="006C2BEA" w:rsidRDefault="006C2BEA"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EA" w:rsidRDefault="006C2BEA">
    <w:pPr>
      <w:pStyle w:val="Pieddepage"/>
    </w:pPr>
    <w:r>
      <w:tab/>
      <w:t xml:space="preserve">Page </w:t>
    </w:r>
    <w:r>
      <w:fldChar w:fldCharType="begin"/>
    </w:r>
    <w:r>
      <w:instrText xml:space="preserve"> PAGE   \* MERGEFORMAT </w:instrText>
    </w:r>
    <w:r>
      <w:fldChar w:fldCharType="separate"/>
    </w:r>
    <w:r w:rsidR="00C512F8">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EA" w:rsidRDefault="006C2BEA" w:rsidP="00592037">
      <w:r>
        <w:separator/>
      </w:r>
    </w:p>
    <w:p w:rsidR="006C2BEA" w:rsidRDefault="006C2BEA" w:rsidP="00592037"/>
  </w:footnote>
  <w:footnote w:type="continuationSeparator" w:id="0">
    <w:p w:rsidR="006C2BEA" w:rsidRDefault="006C2BEA" w:rsidP="00592037">
      <w:r>
        <w:continuationSeparator/>
      </w:r>
    </w:p>
    <w:p w:rsidR="006C2BEA" w:rsidRDefault="006C2BEA"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EA" w:rsidRPr="00284B42" w:rsidRDefault="00C512F8" w:rsidP="00922CCC">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8pt;margin-top:-29.5pt;width:171.6pt;height:116.4pt;z-index:251660288;visibility:visible;mso-wrap-edited:f" o:allowincell="f">
          <v:imagedata r:id="rId1" o:title=""/>
        </v:shape>
        <o:OLEObject Type="Embed" ProgID="Word.Picture.8" ShapeID="_x0000_s2049" DrawAspect="Content" ObjectID="_1456666055" r:id="rId2"/>
      </w:pict>
    </w:r>
    <w:r w:rsidR="006C2BEA" w:rsidRPr="00284B42">
      <w:rPr>
        <w:b/>
      </w:rPr>
      <w:t>SMPG</w:t>
    </w:r>
    <w:r w:rsidR="006C2BEA">
      <w:rPr>
        <w:b/>
      </w:rPr>
      <w:t xml:space="preserve"> TAX Sub-group – Conference Call Minutes</w:t>
    </w:r>
    <w:r w:rsidR="006C2BEA" w:rsidRPr="00344965">
      <w:rPr>
        <w:b/>
      </w:rPr>
      <w:t xml:space="preserve"> </w:t>
    </w:r>
    <w:r w:rsidR="006C2BEA">
      <w:rPr>
        <w:b/>
      </w:rPr>
      <w:t>February 13</w:t>
    </w:r>
    <w:r w:rsidR="006C2BEA" w:rsidRPr="00A40868">
      <w:rPr>
        <w:b/>
        <w:vertAlign w:val="superscript"/>
      </w:rPr>
      <w:t>th</w:t>
    </w:r>
    <w:r w:rsidR="006C2BEA">
      <w:rPr>
        <w:b/>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4B3"/>
    <w:multiLevelType w:val="hybridMultilevel"/>
    <w:tmpl w:val="B4C43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56F3F"/>
    <w:multiLevelType w:val="hybridMultilevel"/>
    <w:tmpl w:val="0F941832"/>
    <w:lvl w:ilvl="0" w:tplc="11B478EA">
      <w:start w:val="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A20C7C"/>
    <w:multiLevelType w:val="hybridMultilevel"/>
    <w:tmpl w:val="0BAC3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722170"/>
    <w:multiLevelType w:val="hybridMultilevel"/>
    <w:tmpl w:val="01F460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3F3B18"/>
    <w:multiLevelType w:val="multilevel"/>
    <w:tmpl w:val="2826C680"/>
    <w:lvl w:ilvl="0">
      <w:start w:val="1"/>
      <w:numFmt w:val="decimal"/>
      <w:pStyle w:val="Titre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5">
    <w:nsid w:val="1C1059A5"/>
    <w:multiLevelType w:val="hybridMultilevel"/>
    <w:tmpl w:val="AF3A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F753B"/>
    <w:multiLevelType w:val="hybridMultilevel"/>
    <w:tmpl w:val="0A9E98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C30D4B"/>
    <w:multiLevelType w:val="hybridMultilevel"/>
    <w:tmpl w:val="47F86E48"/>
    <w:lvl w:ilvl="0" w:tplc="09EE67C6">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176C2D"/>
    <w:multiLevelType w:val="hybridMultilevel"/>
    <w:tmpl w:val="8ED05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3F0121"/>
    <w:multiLevelType w:val="hybridMultilevel"/>
    <w:tmpl w:val="199498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4162CE"/>
    <w:multiLevelType w:val="hybridMultilevel"/>
    <w:tmpl w:val="76E215E0"/>
    <w:lvl w:ilvl="0" w:tplc="7216290E">
      <w:start w:val="1"/>
      <w:numFmt w:val="decimal"/>
      <w:pStyle w:val="Titre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13">
    <w:nsid w:val="484842F2"/>
    <w:multiLevelType w:val="hybridMultilevel"/>
    <w:tmpl w:val="3DB225EA"/>
    <w:lvl w:ilvl="0" w:tplc="A44CA5DA">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5822A2"/>
    <w:multiLevelType w:val="hybridMultilevel"/>
    <w:tmpl w:val="6D3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86650B"/>
    <w:multiLevelType w:val="hybridMultilevel"/>
    <w:tmpl w:val="5D4C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A5548B0"/>
    <w:multiLevelType w:val="multilevel"/>
    <w:tmpl w:val="2800D31E"/>
    <w:lvl w:ilvl="0">
      <w:start w:val="1"/>
      <w:numFmt w:val="upperRoman"/>
      <w:pStyle w:val="Listepuces"/>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Titre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E445FD"/>
    <w:multiLevelType w:val="hybridMultilevel"/>
    <w:tmpl w:val="842CFEC0"/>
    <w:lvl w:ilvl="0" w:tplc="2EF615C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2B03CB"/>
    <w:multiLevelType w:val="hybridMultilevel"/>
    <w:tmpl w:val="8F9CE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772D6B"/>
    <w:multiLevelType w:val="hybridMultilevel"/>
    <w:tmpl w:val="54CC91A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431EB0"/>
    <w:multiLevelType w:val="hybridMultilevel"/>
    <w:tmpl w:val="6D20FC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B4A296A"/>
    <w:multiLevelType w:val="hybridMultilevel"/>
    <w:tmpl w:val="54CC91A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BE50BF"/>
    <w:multiLevelType w:val="hybridMultilevel"/>
    <w:tmpl w:val="F46ED234"/>
    <w:lvl w:ilvl="0" w:tplc="C944B770">
      <w:numFmt w:val="bullet"/>
      <w:lvlText w:val="-"/>
      <w:lvlJc w:val="left"/>
      <w:pPr>
        <w:ind w:left="1080" w:hanging="720"/>
      </w:pPr>
      <w:rPr>
        <w:rFonts w:ascii="Calibri" w:eastAsia="Calibri" w:hAnsi="Calibri"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6">
    <w:nsid w:val="7CCF6B08"/>
    <w:multiLevelType w:val="hybridMultilevel"/>
    <w:tmpl w:val="9E70D1C8"/>
    <w:lvl w:ilvl="0" w:tplc="568EFBD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C75F31"/>
    <w:multiLevelType w:val="hybridMultilevel"/>
    <w:tmpl w:val="BD4C7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8"/>
  </w:num>
  <w:num w:numId="4">
    <w:abstractNumId w:val="4"/>
  </w:num>
  <w:num w:numId="5">
    <w:abstractNumId w:val="19"/>
  </w:num>
  <w:num w:numId="6">
    <w:abstractNumId w:val="18"/>
  </w:num>
  <w:num w:numId="7">
    <w:abstractNumId w:val="16"/>
  </w:num>
  <w:num w:numId="8">
    <w:abstractNumId w:val="3"/>
  </w:num>
  <w:num w:numId="9">
    <w:abstractNumId w:val="22"/>
  </w:num>
  <w:num w:numId="10">
    <w:abstractNumId w:val="15"/>
  </w:num>
  <w:num w:numId="11">
    <w:abstractNumId w:val="11"/>
  </w:num>
  <w:num w:numId="12">
    <w:abstractNumId w:val="10"/>
  </w:num>
  <w:num w:numId="13">
    <w:abstractNumId w:val="26"/>
  </w:num>
  <w:num w:numId="14">
    <w:abstractNumId w:val="20"/>
  </w:num>
  <w:num w:numId="15">
    <w:abstractNumId w:val="1"/>
  </w:num>
  <w:num w:numId="16">
    <w:abstractNumId w:val="24"/>
  </w:num>
  <w:num w:numId="17">
    <w:abstractNumId w:val="14"/>
  </w:num>
  <w:num w:numId="18">
    <w:abstractNumId w:val="23"/>
  </w:num>
  <w:num w:numId="19">
    <w:abstractNumId w:val="6"/>
  </w:num>
  <w:num w:numId="20">
    <w:abstractNumId w:val="4"/>
  </w:num>
  <w:num w:numId="21">
    <w:abstractNumId w:val="0"/>
  </w:num>
  <w:num w:numId="22">
    <w:abstractNumId w:val="4"/>
  </w:num>
  <w:num w:numId="23">
    <w:abstractNumId w:val="4"/>
  </w:num>
  <w:num w:numId="24">
    <w:abstractNumId w:val="4"/>
  </w:num>
  <w:num w:numId="25">
    <w:abstractNumId w:val="4"/>
  </w:num>
  <w:num w:numId="26">
    <w:abstractNumId w:val="4"/>
  </w:num>
  <w:num w:numId="27">
    <w:abstractNumId w:val="2"/>
  </w:num>
  <w:num w:numId="28">
    <w:abstractNumId w:val="9"/>
  </w:num>
  <w:num w:numId="29">
    <w:abstractNumId w:val="25"/>
  </w:num>
  <w:num w:numId="30">
    <w:abstractNumId w:val="27"/>
  </w:num>
  <w:num w:numId="31">
    <w:abstractNumId w:val="21"/>
  </w:num>
  <w:num w:numId="32">
    <w:abstractNumId w:val="5"/>
  </w:num>
  <w:num w:numId="33">
    <w:abstractNumId w:val="13"/>
  </w:num>
  <w:num w:numId="3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51B3"/>
    <w:rsid w:val="00005A1F"/>
    <w:rsid w:val="00005B96"/>
    <w:rsid w:val="0001004E"/>
    <w:rsid w:val="00010813"/>
    <w:rsid w:val="000152DC"/>
    <w:rsid w:val="000157C2"/>
    <w:rsid w:val="00015AA5"/>
    <w:rsid w:val="00015F15"/>
    <w:rsid w:val="00015F31"/>
    <w:rsid w:val="00015FFC"/>
    <w:rsid w:val="00017532"/>
    <w:rsid w:val="0001783E"/>
    <w:rsid w:val="000215E8"/>
    <w:rsid w:val="000238B1"/>
    <w:rsid w:val="00023C98"/>
    <w:rsid w:val="00023D5B"/>
    <w:rsid w:val="000249A5"/>
    <w:rsid w:val="000250CC"/>
    <w:rsid w:val="000265A9"/>
    <w:rsid w:val="00027143"/>
    <w:rsid w:val="00027503"/>
    <w:rsid w:val="00030760"/>
    <w:rsid w:val="00030CC6"/>
    <w:rsid w:val="0003328B"/>
    <w:rsid w:val="000333A9"/>
    <w:rsid w:val="000357FF"/>
    <w:rsid w:val="00037351"/>
    <w:rsid w:val="000415FC"/>
    <w:rsid w:val="00043D75"/>
    <w:rsid w:val="00044AD0"/>
    <w:rsid w:val="00046B58"/>
    <w:rsid w:val="00046D6B"/>
    <w:rsid w:val="00046E03"/>
    <w:rsid w:val="00047EB2"/>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6786"/>
    <w:rsid w:val="000768FB"/>
    <w:rsid w:val="00081263"/>
    <w:rsid w:val="00087328"/>
    <w:rsid w:val="0008767E"/>
    <w:rsid w:val="00087CC8"/>
    <w:rsid w:val="0009050D"/>
    <w:rsid w:val="00092EBB"/>
    <w:rsid w:val="0009483B"/>
    <w:rsid w:val="00095B6F"/>
    <w:rsid w:val="00096171"/>
    <w:rsid w:val="0009689B"/>
    <w:rsid w:val="00096CBE"/>
    <w:rsid w:val="000971AD"/>
    <w:rsid w:val="00097370"/>
    <w:rsid w:val="0009749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811"/>
    <w:rsid w:val="000B1929"/>
    <w:rsid w:val="000B4025"/>
    <w:rsid w:val="000B557A"/>
    <w:rsid w:val="000B5831"/>
    <w:rsid w:val="000B5DFD"/>
    <w:rsid w:val="000B7094"/>
    <w:rsid w:val="000B70C1"/>
    <w:rsid w:val="000C0868"/>
    <w:rsid w:val="000C103C"/>
    <w:rsid w:val="000C15E7"/>
    <w:rsid w:val="000C29FB"/>
    <w:rsid w:val="000C442B"/>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A55"/>
    <w:rsid w:val="000E2F7A"/>
    <w:rsid w:val="000E4C23"/>
    <w:rsid w:val="000E5503"/>
    <w:rsid w:val="000E5ACC"/>
    <w:rsid w:val="000E6687"/>
    <w:rsid w:val="000E775F"/>
    <w:rsid w:val="000E7A30"/>
    <w:rsid w:val="000F07A5"/>
    <w:rsid w:val="000F3614"/>
    <w:rsid w:val="000F4705"/>
    <w:rsid w:val="000F4B41"/>
    <w:rsid w:val="000F5913"/>
    <w:rsid w:val="001006E9"/>
    <w:rsid w:val="0010148B"/>
    <w:rsid w:val="001021B7"/>
    <w:rsid w:val="00104342"/>
    <w:rsid w:val="00104E0B"/>
    <w:rsid w:val="00105979"/>
    <w:rsid w:val="00106021"/>
    <w:rsid w:val="00107248"/>
    <w:rsid w:val="00110DA4"/>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330E"/>
    <w:rsid w:val="00133B56"/>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506F"/>
    <w:rsid w:val="001470EA"/>
    <w:rsid w:val="00147C1D"/>
    <w:rsid w:val="00151B7B"/>
    <w:rsid w:val="00152168"/>
    <w:rsid w:val="00152AFF"/>
    <w:rsid w:val="001545BC"/>
    <w:rsid w:val="00154E29"/>
    <w:rsid w:val="00155A05"/>
    <w:rsid w:val="00155B4B"/>
    <w:rsid w:val="00156EF0"/>
    <w:rsid w:val="0015716F"/>
    <w:rsid w:val="00157457"/>
    <w:rsid w:val="001577B5"/>
    <w:rsid w:val="00160901"/>
    <w:rsid w:val="00160BE5"/>
    <w:rsid w:val="001614CA"/>
    <w:rsid w:val="00164A6C"/>
    <w:rsid w:val="001661A6"/>
    <w:rsid w:val="001676C8"/>
    <w:rsid w:val="00167719"/>
    <w:rsid w:val="00167ADC"/>
    <w:rsid w:val="001712B1"/>
    <w:rsid w:val="0017306F"/>
    <w:rsid w:val="00174310"/>
    <w:rsid w:val="001753F9"/>
    <w:rsid w:val="001803DE"/>
    <w:rsid w:val="0018110E"/>
    <w:rsid w:val="0018274F"/>
    <w:rsid w:val="0018324D"/>
    <w:rsid w:val="001865D5"/>
    <w:rsid w:val="001867B1"/>
    <w:rsid w:val="001868D6"/>
    <w:rsid w:val="001869F3"/>
    <w:rsid w:val="00187EB0"/>
    <w:rsid w:val="00190D5F"/>
    <w:rsid w:val="00190FFF"/>
    <w:rsid w:val="00191C12"/>
    <w:rsid w:val="00191E31"/>
    <w:rsid w:val="001930FA"/>
    <w:rsid w:val="00193B1C"/>
    <w:rsid w:val="00193C6C"/>
    <w:rsid w:val="00196DC2"/>
    <w:rsid w:val="001976AC"/>
    <w:rsid w:val="001A0FFD"/>
    <w:rsid w:val="001A13AA"/>
    <w:rsid w:val="001A2F9A"/>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5BDD"/>
    <w:rsid w:val="001C6483"/>
    <w:rsid w:val="001C7357"/>
    <w:rsid w:val="001C7F55"/>
    <w:rsid w:val="001D0D2F"/>
    <w:rsid w:val="001D0D7A"/>
    <w:rsid w:val="001D0FDF"/>
    <w:rsid w:val="001D1050"/>
    <w:rsid w:val="001D1633"/>
    <w:rsid w:val="001D1F27"/>
    <w:rsid w:val="001D2EE1"/>
    <w:rsid w:val="001D7F34"/>
    <w:rsid w:val="001E0FF9"/>
    <w:rsid w:val="001E3E8E"/>
    <w:rsid w:val="001E44C0"/>
    <w:rsid w:val="001E4BC9"/>
    <w:rsid w:val="001E5AAA"/>
    <w:rsid w:val="001E774B"/>
    <w:rsid w:val="001E78CC"/>
    <w:rsid w:val="001F0A8E"/>
    <w:rsid w:val="001F2B58"/>
    <w:rsid w:val="001F2C65"/>
    <w:rsid w:val="001F3F45"/>
    <w:rsid w:val="001F4971"/>
    <w:rsid w:val="001F70B4"/>
    <w:rsid w:val="0020115E"/>
    <w:rsid w:val="00201BDB"/>
    <w:rsid w:val="00202058"/>
    <w:rsid w:val="0020323F"/>
    <w:rsid w:val="0020391C"/>
    <w:rsid w:val="00204354"/>
    <w:rsid w:val="00206DF5"/>
    <w:rsid w:val="00207BB8"/>
    <w:rsid w:val="00211C67"/>
    <w:rsid w:val="002127BA"/>
    <w:rsid w:val="00212BFF"/>
    <w:rsid w:val="002131AF"/>
    <w:rsid w:val="0021532F"/>
    <w:rsid w:val="00215780"/>
    <w:rsid w:val="00216A0C"/>
    <w:rsid w:val="00217002"/>
    <w:rsid w:val="002178B6"/>
    <w:rsid w:val="002200DE"/>
    <w:rsid w:val="002200F0"/>
    <w:rsid w:val="00220F3C"/>
    <w:rsid w:val="00221837"/>
    <w:rsid w:val="00222412"/>
    <w:rsid w:val="002246A4"/>
    <w:rsid w:val="002251B0"/>
    <w:rsid w:val="002254CA"/>
    <w:rsid w:val="00226A54"/>
    <w:rsid w:val="0022784C"/>
    <w:rsid w:val="00230996"/>
    <w:rsid w:val="00230BC8"/>
    <w:rsid w:val="002310EC"/>
    <w:rsid w:val="0023157A"/>
    <w:rsid w:val="002321F8"/>
    <w:rsid w:val="002322DE"/>
    <w:rsid w:val="00232E54"/>
    <w:rsid w:val="00235247"/>
    <w:rsid w:val="0023625E"/>
    <w:rsid w:val="00236BA7"/>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1E0B"/>
    <w:rsid w:val="0025223A"/>
    <w:rsid w:val="002533BB"/>
    <w:rsid w:val="002549AE"/>
    <w:rsid w:val="00254E98"/>
    <w:rsid w:val="00257190"/>
    <w:rsid w:val="0025798E"/>
    <w:rsid w:val="00260B07"/>
    <w:rsid w:val="00262E44"/>
    <w:rsid w:val="00262F75"/>
    <w:rsid w:val="0026493B"/>
    <w:rsid w:val="00265B60"/>
    <w:rsid w:val="00266341"/>
    <w:rsid w:val="00266950"/>
    <w:rsid w:val="00266FB5"/>
    <w:rsid w:val="00270080"/>
    <w:rsid w:val="00271477"/>
    <w:rsid w:val="00272B37"/>
    <w:rsid w:val="00273B43"/>
    <w:rsid w:val="00273F18"/>
    <w:rsid w:val="00275165"/>
    <w:rsid w:val="00276C1F"/>
    <w:rsid w:val="00277BC7"/>
    <w:rsid w:val="0028014D"/>
    <w:rsid w:val="00281FE5"/>
    <w:rsid w:val="0028242A"/>
    <w:rsid w:val="00284B42"/>
    <w:rsid w:val="00285001"/>
    <w:rsid w:val="00285165"/>
    <w:rsid w:val="0028574A"/>
    <w:rsid w:val="00285DAA"/>
    <w:rsid w:val="0028678C"/>
    <w:rsid w:val="00286D76"/>
    <w:rsid w:val="002870C2"/>
    <w:rsid w:val="00287431"/>
    <w:rsid w:val="002907A7"/>
    <w:rsid w:val="0029301A"/>
    <w:rsid w:val="00293BD3"/>
    <w:rsid w:val="0029519D"/>
    <w:rsid w:val="00297415"/>
    <w:rsid w:val="00297D5D"/>
    <w:rsid w:val="002A0A67"/>
    <w:rsid w:val="002A1D00"/>
    <w:rsid w:val="002A22A1"/>
    <w:rsid w:val="002A4CC2"/>
    <w:rsid w:val="002A54C7"/>
    <w:rsid w:val="002A63CB"/>
    <w:rsid w:val="002B0D84"/>
    <w:rsid w:val="002B289A"/>
    <w:rsid w:val="002B3AA8"/>
    <w:rsid w:val="002B5469"/>
    <w:rsid w:val="002B5AA2"/>
    <w:rsid w:val="002B659F"/>
    <w:rsid w:val="002B66CE"/>
    <w:rsid w:val="002C140D"/>
    <w:rsid w:val="002C1463"/>
    <w:rsid w:val="002C401C"/>
    <w:rsid w:val="002C5FB6"/>
    <w:rsid w:val="002C666D"/>
    <w:rsid w:val="002C748B"/>
    <w:rsid w:val="002D0AAD"/>
    <w:rsid w:val="002D13AB"/>
    <w:rsid w:val="002D15BA"/>
    <w:rsid w:val="002D20A6"/>
    <w:rsid w:val="002D26F6"/>
    <w:rsid w:val="002D33B9"/>
    <w:rsid w:val="002D3ECD"/>
    <w:rsid w:val="002D4171"/>
    <w:rsid w:val="002D5579"/>
    <w:rsid w:val="002D5A70"/>
    <w:rsid w:val="002D666A"/>
    <w:rsid w:val="002D6EC7"/>
    <w:rsid w:val="002D728E"/>
    <w:rsid w:val="002E08BB"/>
    <w:rsid w:val="002E1A29"/>
    <w:rsid w:val="002E39DA"/>
    <w:rsid w:val="002F0EA9"/>
    <w:rsid w:val="002F1879"/>
    <w:rsid w:val="002F18DE"/>
    <w:rsid w:val="002F3775"/>
    <w:rsid w:val="002F378F"/>
    <w:rsid w:val="002F434C"/>
    <w:rsid w:val="002F44D7"/>
    <w:rsid w:val="002F7332"/>
    <w:rsid w:val="002F79AF"/>
    <w:rsid w:val="0030251B"/>
    <w:rsid w:val="0030375D"/>
    <w:rsid w:val="00304516"/>
    <w:rsid w:val="00305B81"/>
    <w:rsid w:val="00305BD1"/>
    <w:rsid w:val="00307EA7"/>
    <w:rsid w:val="003119EC"/>
    <w:rsid w:val="00312E97"/>
    <w:rsid w:val="00313942"/>
    <w:rsid w:val="00315877"/>
    <w:rsid w:val="003158F8"/>
    <w:rsid w:val="00315F00"/>
    <w:rsid w:val="0032197A"/>
    <w:rsid w:val="00321F52"/>
    <w:rsid w:val="00322089"/>
    <w:rsid w:val="00322BE1"/>
    <w:rsid w:val="00324805"/>
    <w:rsid w:val="0032483E"/>
    <w:rsid w:val="003261CF"/>
    <w:rsid w:val="00326BA7"/>
    <w:rsid w:val="00327C15"/>
    <w:rsid w:val="00330A55"/>
    <w:rsid w:val="00330C7E"/>
    <w:rsid w:val="00332F91"/>
    <w:rsid w:val="00333A87"/>
    <w:rsid w:val="003360F9"/>
    <w:rsid w:val="00340788"/>
    <w:rsid w:val="003429B6"/>
    <w:rsid w:val="003439BE"/>
    <w:rsid w:val="0034482B"/>
    <w:rsid w:val="00344965"/>
    <w:rsid w:val="00345586"/>
    <w:rsid w:val="00346733"/>
    <w:rsid w:val="00346AA9"/>
    <w:rsid w:val="00346AE5"/>
    <w:rsid w:val="003519A2"/>
    <w:rsid w:val="003524FD"/>
    <w:rsid w:val="003525AE"/>
    <w:rsid w:val="0035412E"/>
    <w:rsid w:val="003549AC"/>
    <w:rsid w:val="003559F3"/>
    <w:rsid w:val="003562A2"/>
    <w:rsid w:val="003569DA"/>
    <w:rsid w:val="003611AC"/>
    <w:rsid w:val="00361484"/>
    <w:rsid w:val="00363C0E"/>
    <w:rsid w:val="003656AB"/>
    <w:rsid w:val="003657AB"/>
    <w:rsid w:val="00366FEC"/>
    <w:rsid w:val="0037101D"/>
    <w:rsid w:val="00371B50"/>
    <w:rsid w:val="00371C87"/>
    <w:rsid w:val="00371D8F"/>
    <w:rsid w:val="00372BCC"/>
    <w:rsid w:val="003750EA"/>
    <w:rsid w:val="00375D17"/>
    <w:rsid w:val="00376698"/>
    <w:rsid w:val="0037670C"/>
    <w:rsid w:val="00376A6D"/>
    <w:rsid w:val="00377295"/>
    <w:rsid w:val="003805B6"/>
    <w:rsid w:val="003815C4"/>
    <w:rsid w:val="00381A23"/>
    <w:rsid w:val="00382B23"/>
    <w:rsid w:val="00383BD5"/>
    <w:rsid w:val="00384B04"/>
    <w:rsid w:val="00385DD6"/>
    <w:rsid w:val="00385E1E"/>
    <w:rsid w:val="0039065D"/>
    <w:rsid w:val="0039109C"/>
    <w:rsid w:val="00392112"/>
    <w:rsid w:val="00393023"/>
    <w:rsid w:val="00393230"/>
    <w:rsid w:val="003949C9"/>
    <w:rsid w:val="0039522C"/>
    <w:rsid w:val="0039626C"/>
    <w:rsid w:val="003979EC"/>
    <w:rsid w:val="003A0493"/>
    <w:rsid w:val="003A333D"/>
    <w:rsid w:val="003A3863"/>
    <w:rsid w:val="003A4FB7"/>
    <w:rsid w:val="003A50DC"/>
    <w:rsid w:val="003A548A"/>
    <w:rsid w:val="003A630B"/>
    <w:rsid w:val="003A66B0"/>
    <w:rsid w:val="003A694B"/>
    <w:rsid w:val="003B0CD2"/>
    <w:rsid w:val="003B0CEF"/>
    <w:rsid w:val="003B0D91"/>
    <w:rsid w:val="003B1348"/>
    <w:rsid w:val="003B1C69"/>
    <w:rsid w:val="003B250E"/>
    <w:rsid w:val="003B28EF"/>
    <w:rsid w:val="003B43BF"/>
    <w:rsid w:val="003B46C6"/>
    <w:rsid w:val="003B4992"/>
    <w:rsid w:val="003B54B2"/>
    <w:rsid w:val="003B5D70"/>
    <w:rsid w:val="003B7A2F"/>
    <w:rsid w:val="003B7A76"/>
    <w:rsid w:val="003C292A"/>
    <w:rsid w:val="003C3076"/>
    <w:rsid w:val="003C3419"/>
    <w:rsid w:val="003C44DF"/>
    <w:rsid w:val="003C4F1E"/>
    <w:rsid w:val="003C599B"/>
    <w:rsid w:val="003C762F"/>
    <w:rsid w:val="003D0085"/>
    <w:rsid w:val="003D01B3"/>
    <w:rsid w:val="003D0D90"/>
    <w:rsid w:val="003D0F10"/>
    <w:rsid w:val="003D1B5C"/>
    <w:rsid w:val="003D2B29"/>
    <w:rsid w:val="003D2B4D"/>
    <w:rsid w:val="003D3B56"/>
    <w:rsid w:val="003D4D85"/>
    <w:rsid w:val="003D56C9"/>
    <w:rsid w:val="003D57EB"/>
    <w:rsid w:val="003E05AF"/>
    <w:rsid w:val="003E0A22"/>
    <w:rsid w:val="003E0ABF"/>
    <w:rsid w:val="003E458D"/>
    <w:rsid w:val="003E58A3"/>
    <w:rsid w:val="003E5EFD"/>
    <w:rsid w:val="003E6B0C"/>
    <w:rsid w:val="003F0D0A"/>
    <w:rsid w:val="003F0EE4"/>
    <w:rsid w:val="003F1217"/>
    <w:rsid w:val="003F1787"/>
    <w:rsid w:val="003F2BDB"/>
    <w:rsid w:val="003F4C9C"/>
    <w:rsid w:val="003F5926"/>
    <w:rsid w:val="003F5CD3"/>
    <w:rsid w:val="003F6776"/>
    <w:rsid w:val="003F79E6"/>
    <w:rsid w:val="0040048C"/>
    <w:rsid w:val="0040244E"/>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398D"/>
    <w:rsid w:val="00413A6E"/>
    <w:rsid w:val="00413DCF"/>
    <w:rsid w:val="0041445A"/>
    <w:rsid w:val="0041468C"/>
    <w:rsid w:val="00414D3A"/>
    <w:rsid w:val="00415DB0"/>
    <w:rsid w:val="004168D8"/>
    <w:rsid w:val="004175A3"/>
    <w:rsid w:val="0042074F"/>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610D"/>
    <w:rsid w:val="004466C3"/>
    <w:rsid w:val="00450C00"/>
    <w:rsid w:val="00450EBE"/>
    <w:rsid w:val="00451AAA"/>
    <w:rsid w:val="00454A63"/>
    <w:rsid w:val="00455291"/>
    <w:rsid w:val="00456BBD"/>
    <w:rsid w:val="00456E82"/>
    <w:rsid w:val="00457BF4"/>
    <w:rsid w:val="00465D09"/>
    <w:rsid w:val="00465F68"/>
    <w:rsid w:val="0046643B"/>
    <w:rsid w:val="0046661C"/>
    <w:rsid w:val="004672F5"/>
    <w:rsid w:val="00467DC3"/>
    <w:rsid w:val="00467FE4"/>
    <w:rsid w:val="004738C4"/>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48DB"/>
    <w:rsid w:val="00494C4C"/>
    <w:rsid w:val="004957BB"/>
    <w:rsid w:val="00496351"/>
    <w:rsid w:val="00497810"/>
    <w:rsid w:val="004A0F2B"/>
    <w:rsid w:val="004A17C2"/>
    <w:rsid w:val="004A3256"/>
    <w:rsid w:val="004A355B"/>
    <w:rsid w:val="004A37EF"/>
    <w:rsid w:val="004A3833"/>
    <w:rsid w:val="004A56C8"/>
    <w:rsid w:val="004A6917"/>
    <w:rsid w:val="004A76A2"/>
    <w:rsid w:val="004A7FD4"/>
    <w:rsid w:val="004B070C"/>
    <w:rsid w:val="004B12EF"/>
    <w:rsid w:val="004B1735"/>
    <w:rsid w:val="004B1DE9"/>
    <w:rsid w:val="004B2026"/>
    <w:rsid w:val="004B2F86"/>
    <w:rsid w:val="004B376B"/>
    <w:rsid w:val="004B410C"/>
    <w:rsid w:val="004B449F"/>
    <w:rsid w:val="004B5DE4"/>
    <w:rsid w:val="004B68CC"/>
    <w:rsid w:val="004B69EF"/>
    <w:rsid w:val="004B7DFC"/>
    <w:rsid w:val="004B7E5A"/>
    <w:rsid w:val="004B7FE6"/>
    <w:rsid w:val="004C09AB"/>
    <w:rsid w:val="004C0CDD"/>
    <w:rsid w:val="004C1D25"/>
    <w:rsid w:val="004C2196"/>
    <w:rsid w:val="004C2926"/>
    <w:rsid w:val="004C4A2E"/>
    <w:rsid w:val="004C4CE2"/>
    <w:rsid w:val="004C4DB3"/>
    <w:rsid w:val="004C4DFA"/>
    <w:rsid w:val="004C5C0F"/>
    <w:rsid w:val="004C6BD1"/>
    <w:rsid w:val="004D04FF"/>
    <w:rsid w:val="004D09E8"/>
    <w:rsid w:val="004D0EDD"/>
    <w:rsid w:val="004D26FC"/>
    <w:rsid w:val="004D2C5C"/>
    <w:rsid w:val="004D2E16"/>
    <w:rsid w:val="004D4937"/>
    <w:rsid w:val="004D4F4F"/>
    <w:rsid w:val="004D548E"/>
    <w:rsid w:val="004E0357"/>
    <w:rsid w:val="004E0F76"/>
    <w:rsid w:val="004E1DAE"/>
    <w:rsid w:val="004E1F19"/>
    <w:rsid w:val="004E210B"/>
    <w:rsid w:val="004E4BA3"/>
    <w:rsid w:val="004E616F"/>
    <w:rsid w:val="004E62F4"/>
    <w:rsid w:val="004E646D"/>
    <w:rsid w:val="004E7310"/>
    <w:rsid w:val="004E7C83"/>
    <w:rsid w:val="004F0F26"/>
    <w:rsid w:val="004F1F1E"/>
    <w:rsid w:val="004F21AC"/>
    <w:rsid w:val="004F24AC"/>
    <w:rsid w:val="004F476C"/>
    <w:rsid w:val="004F4B63"/>
    <w:rsid w:val="004F4DA3"/>
    <w:rsid w:val="004F506B"/>
    <w:rsid w:val="004F6152"/>
    <w:rsid w:val="004F76FA"/>
    <w:rsid w:val="005023A2"/>
    <w:rsid w:val="005028FD"/>
    <w:rsid w:val="00506869"/>
    <w:rsid w:val="00510058"/>
    <w:rsid w:val="00510BCA"/>
    <w:rsid w:val="00511438"/>
    <w:rsid w:val="00512424"/>
    <w:rsid w:val="00513624"/>
    <w:rsid w:val="00514138"/>
    <w:rsid w:val="00514C3A"/>
    <w:rsid w:val="00514E75"/>
    <w:rsid w:val="00515DFE"/>
    <w:rsid w:val="00515E18"/>
    <w:rsid w:val="00516819"/>
    <w:rsid w:val="00520473"/>
    <w:rsid w:val="0052051F"/>
    <w:rsid w:val="005234AF"/>
    <w:rsid w:val="0052413A"/>
    <w:rsid w:val="00524E33"/>
    <w:rsid w:val="0052689B"/>
    <w:rsid w:val="0052715F"/>
    <w:rsid w:val="00530D88"/>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23"/>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7A1B"/>
    <w:rsid w:val="00577DA2"/>
    <w:rsid w:val="00580980"/>
    <w:rsid w:val="00581D77"/>
    <w:rsid w:val="00583B21"/>
    <w:rsid w:val="005850FF"/>
    <w:rsid w:val="00585DE9"/>
    <w:rsid w:val="00586219"/>
    <w:rsid w:val="005864F6"/>
    <w:rsid w:val="005900B9"/>
    <w:rsid w:val="00590CFA"/>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4768"/>
    <w:rsid w:val="005B79AF"/>
    <w:rsid w:val="005C033A"/>
    <w:rsid w:val="005C066C"/>
    <w:rsid w:val="005C0760"/>
    <w:rsid w:val="005C1423"/>
    <w:rsid w:val="005C262D"/>
    <w:rsid w:val="005C2A8B"/>
    <w:rsid w:val="005C39DE"/>
    <w:rsid w:val="005C3E37"/>
    <w:rsid w:val="005C3FCB"/>
    <w:rsid w:val="005C410F"/>
    <w:rsid w:val="005C54C3"/>
    <w:rsid w:val="005C7169"/>
    <w:rsid w:val="005C7623"/>
    <w:rsid w:val="005D082A"/>
    <w:rsid w:val="005D1D53"/>
    <w:rsid w:val="005D495D"/>
    <w:rsid w:val="005E0B6F"/>
    <w:rsid w:val="005E0C08"/>
    <w:rsid w:val="005E2A81"/>
    <w:rsid w:val="005E337F"/>
    <w:rsid w:val="005E4A0B"/>
    <w:rsid w:val="005E64E7"/>
    <w:rsid w:val="005E6846"/>
    <w:rsid w:val="005E6B80"/>
    <w:rsid w:val="005E74B2"/>
    <w:rsid w:val="005E7C94"/>
    <w:rsid w:val="005F1349"/>
    <w:rsid w:val="005F4089"/>
    <w:rsid w:val="005F4BB5"/>
    <w:rsid w:val="005F76A1"/>
    <w:rsid w:val="00601A99"/>
    <w:rsid w:val="00601B63"/>
    <w:rsid w:val="006047A2"/>
    <w:rsid w:val="00604BBF"/>
    <w:rsid w:val="00604CE5"/>
    <w:rsid w:val="006100A7"/>
    <w:rsid w:val="00610609"/>
    <w:rsid w:val="00610AC0"/>
    <w:rsid w:val="00610D81"/>
    <w:rsid w:val="006122A7"/>
    <w:rsid w:val="00612A33"/>
    <w:rsid w:val="00612AEA"/>
    <w:rsid w:val="00612C6C"/>
    <w:rsid w:val="006136A6"/>
    <w:rsid w:val="00613994"/>
    <w:rsid w:val="00613B4F"/>
    <w:rsid w:val="0061654D"/>
    <w:rsid w:val="0061750F"/>
    <w:rsid w:val="00622B75"/>
    <w:rsid w:val="00625958"/>
    <w:rsid w:val="00631595"/>
    <w:rsid w:val="00633D1E"/>
    <w:rsid w:val="006341E8"/>
    <w:rsid w:val="00634CFC"/>
    <w:rsid w:val="0063519F"/>
    <w:rsid w:val="00635ECA"/>
    <w:rsid w:val="006364A8"/>
    <w:rsid w:val="006366E2"/>
    <w:rsid w:val="00636A0D"/>
    <w:rsid w:val="0064140F"/>
    <w:rsid w:val="00645061"/>
    <w:rsid w:val="00645735"/>
    <w:rsid w:val="006477E1"/>
    <w:rsid w:val="00650969"/>
    <w:rsid w:val="00650C44"/>
    <w:rsid w:val="00651E32"/>
    <w:rsid w:val="00651EB7"/>
    <w:rsid w:val="00652BDD"/>
    <w:rsid w:val="00653B37"/>
    <w:rsid w:val="006547EA"/>
    <w:rsid w:val="006559FF"/>
    <w:rsid w:val="00656EEB"/>
    <w:rsid w:val="0065719E"/>
    <w:rsid w:val="0065757D"/>
    <w:rsid w:val="00657EA2"/>
    <w:rsid w:val="006631D6"/>
    <w:rsid w:val="00663C8B"/>
    <w:rsid w:val="00665A6E"/>
    <w:rsid w:val="00665D03"/>
    <w:rsid w:val="00667524"/>
    <w:rsid w:val="00667717"/>
    <w:rsid w:val="0066790E"/>
    <w:rsid w:val="00667989"/>
    <w:rsid w:val="00671693"/>
    <w:rsid w:val="00674DF6"/>
    <w:rsid w:val="0067632B"/>
    <w:rsid w:val="00676435"/>
    <w:rsid w:val="00676523"/>
    <w:rsid w:val="00676727"/>
    <w:rsid w:val="00676EF9"/>
    <w:rsid w:val="00677719"/>
    <w:rsid w:val="00677CE6"/>
    <w:rsid w:val="00681363"/>
    <w:rsid w:val="006825E0"/>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098"/>
    <w:rsid w:val="006A0B98"/>
    <w:rsid w:val="006A19D2"/>
    <w:rsid w:val="006A1E17"/>
    <w:rsid w:val="006A2185"/>
    <w:rsid w:val="006A442B"/>
    <w:rsid w:val="006A4887"/>
    <w:rsid w:val="006A48D6"/>
    <w:rsid w:val="006A6673"/>
    <w:rsid w:val="006A73DE"/>
    <w:rsid w:val="006A7D2F"/>
    <w:rsid w:val="006B13A7"/>
    <w:rsid w:val="006B2D15"/>
    <w:rsid w:val="006B448C"/>
    <w:rsid w:val="006B5372"/>
    <w:rsid w:val="006B5AC3"/>
    <w:rsid w:val="006B60FA"/>
    <w:rsid w:val="006B746B"/>
    <w:rsid w:val="006C002F"/>
    <w:rsid w:val="006C1A33"/>
    <w:rsid w:val="006C216A"/>
    <w:rsid w:val="006C2ADA"/>
    <w:rsid w:val="006C2BEA"/>
    <w:rsid w:val="006C4331"/>
    <w:rsid w:val="006C5C86"/>
    <w:rsid w:val="006C7749"/>
    <w:rsid w:val="006C7E3B"/>
    <w:rsid w:val="006D1C81"/>
    <w:rsid w:val="006D1DD6"/>
    <w:rsid w:val="006D1DE0"/>
    <w:rsid w:val="006D290F"/>
    <w:rsid w:val="006D2D08"/>
    <w:rsid w:val="006D3A23"/>
    <w:rsid w:val="006D4E80"/>
    <w:rsid w:val="006D7688"/>
    <w:rsid w:val="006E1767"/>
    <w:rsid w:val="006E1BB8"/>
    <w:rsid w:val="006E5FAB"/>
    <w:rsid w:val="006E6E56"/>
    <w:rsid w:val="006F06A6"/>
    <w:rsid w:val="006F1F52"/>
    <w:rsid w:val="006F1F8A"/>
    <w:rsid w:val="006F2337"/>
    <w:rsid w:val="006F3139"/>
    <w:rsid w:val="006F331F"/>
    <w:rsid w:val="006F3B70"/>
    <w:rsid w:val="006F41C4"/>
    <w:rsid w:val="006F5EB8"/>
    <w:rsid w:val="006F6267"/>
    <w:rsid w:val="006F680E"/>
    <w:rsid w:val="006F7DC5"/>
    <w:rsid w:val="007003B1"/>
    <w:rsid w:val="00700C78"/>
    <w:rsid w:val="00701948"/>
    <w:rsid w:val="0070379B"/>
    <w:rsid w:val="0070770C"/>
    <w:rsid w:val="007107F2"/>
    <w:rsid w:val="007114CE"/>
    <w:rsid w:val="00712934"/>
    <w:rsid w:val="00713AC9"/>
    <w:rsid w:val="00715D9E"/>
    <w:rsid w:val="0071665F"/>
    <w:rsid w:val="007208B6"/>
    <w:rsid w:val="00722447"/>
    <w:rsid w:val="00724382"/>
    <w:rsid w:val="00725070"/>
    <w:rsid w:val="00725EDA"/>
    <w:rsid w:val="00726876"/>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3759"/>
    <w:rsid w:val="007444CA"/>
    <w:rsid w:val="00746488"/>
    <w:rsid w:val="00746C2E"/>
    <w:rsid w:val="0075032C"/>
    <w:rsid w:val="0075046F"/>
    <w:rsid w:val="007530F5"/>
    <w:rsid w:val="00754448"/>
    <w:rsid w:val="00754DB9"/>
    <w:rsid w:val="0075589B"/>
    <w:rsid w:val="00756700"/>
    <w:rsid w:val="00756959"/>
    <w:rsid w:val="00757308"/>
    <w:rsid w:val="007647F8"/>
    <w:rsid w:val="007649F4"/>
    <w:rsid w:val="00764C15"/>
    <w:rsid w:val="0076568D"/>
    <w:rsid w:val="00766046"/>
    <w:rsid w:val="0076639E"/>
    <w:rsid w:val="00766510"/>
    <w:rsid w:val="0077339B"/>
    <w:rsid w:val="007736C0"/>
    <w:rsid w:val="00774BF3"/>
    <w:rsid w:val="00775A74"/>
    <w:rsid w:val="00776E2D"/>
    <w:rsid w:val="007779B6"/>
    <w:rsid w:val="0078025A"/>
    <w:rsid w:val="0078177E"/>
    <w:rsid w:val="007817DB"/>
    <w:rsid w:val="0078318E"/>
    <w:rsid w:val="00783962"/>
    <w:rsid w:val="00785272"/>
    <w:rsid w:val="007862E3"/>
    <w:rsid w:val="00787ECD"/>
    <w:rsid w:val="00791DDD"/>
    <w:rsid w:val="00793A2D"/>
    <w:rsid w:val="007943BE"/>
    <w:rsid w:val="00795A51"/>
    <w:rsid w:val="00797286"/>
    <w:rsid w:val="007972D3"/>
    <w:rsid w:val="0079798E"/>
    <w:rsid w:val="00797D9A"/>
    <w:rsid w:val="00797FD5"/>
    <w:rsid w:val="007A08A5"/>
    <w:rsid w:val="007A0BFD"/>
    <w:rsid w:val="007A1CF9"/>
    <w:rsid w:val="007A26AC"/>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BBA"/>
    <w:rsid w:val="007C037E"/>
    <w:rsid w:val="007C0797"/>
    <w:rsid w:val="007C092F"/>
    <w:rsid w:val="007C2A2E"/>
    <w:rsid w:val="007C30D3"/>
    <w:rsid w:val="007C4752"/>
    <w:rsid w:val="007C5359"/>
    <w:rsid w:val="007D05F8"/>
    <w:rsid w:val="007D0957"/>
    <w:rsid w:val="007D1312"/>
    <w:rsid w:val="007D1415"/>
    <w:rsid w:val="007D1E41"/>
    <w:rsid w:val="007D2A5C"/>
    <w:rsid w:val="007D31BF"/>
    <w:rsid w:val="007D3AE3"/>
    <w:rsid w:val="007D42AD"/>
    <w:rsid w:val="007D629A"/>
    <w:rsid w:val="007D63F1"/>
    <w:rsid w:val="007D6535"/>
    <w:rsid w:val="007D7448"/>
    <w:rsid w:val="007E104F"/>
    <w:rsid w:val="007E15A6"/>
    <w:rsid w:val="007E1B7E"/>
    <w:rsid w:val="007E1EDC"/>
    <w:rsid w:val="007E1FD3"/>
    <w:rsid w:val="007E2082"/>
    <w:rsid w:val="007E2A46"/>
    <w:rsid w:val="007E3DD9"/>
    <w:rsid w:val="007E3F24"/>
    <w:rsid w:val="007E4DA1"/>
    <w:rsid w:val="007E5A13"/>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662E"/>
    <w:rsid w:val="0081704F"/>
    <w:rsid w:val="008179FB"/>
    <w:rsid w:val="00820300"/>
    <w:rsid w:val="00822653"/>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5A4"/>
    <w:rsid w:val="00842E6E"/>
    <w:rsid w:val="0084372E"/>
    <w:rsid w:val="008458A6"/>
    <w:rsid w:val="00845AB7"/>
    <w:rsid w:val="0085019F"/>
    <w:rsid w:val="00850250"/>
    <w:rsid w:val="0085065A"/>
    <w:rsid w:val="00850692"/>
    <w:rsid w:val="008527D7"/>
    <w:rsid w:val="00852F5E"/>
    <w:rsid w:val="00853B0A"/>
    <w:rsid w:val="008545D1"/>
    <w:rsid w:val="0085557C"/>
    <w:rsid w:val="00856069"/>
    <w:rsid w:val="008568A0"/>
    <w:rsid w:val="00857B69"/>
    <w:rsid w:val="00857C6A"/>
    <w:rsid w:val="008604BA"/>
    <w:rsid w:val="0086126F"/>
    <w:rsid w:val="00861A10"/>
    <w:rsid w:val="00861B7B"/>
    <w:rsid w:val="008646C4"/>
    <w:rsid w:val="0086538F"/>
    <w:rsid w:val="0086577B"/>
    <w:rsid w:val="00866279"/>
    <w:rsid w:val="008666D8"/>
    <w:rsid w:val="008676D0"/>
    <w:rsid w:val="008708D6"/>
    <w:rsid w:val="00870ACC"/>
    <w:rsid w:val="00870D88"/>
    <w:rsid w:val="00871AC5"/>
    <w:rsid w:val="00873E0F"/>
    <w:rsid w:val="0087449A"/>
    <w:rsid w:val="00875C2E"/>
    <w:rsid w:val="00875E99"/>
    <w:rsid w:val="0088093C"/>
    <w:rsid w:val="00880977"/>
    <w:rsid w:val="00881F16"/>
    <w:rsid w:val="00882CA0"/>
    <w:rsid w:val="00882FB3"/>
    <w:rsid w:val="00882FBE"/>
    <w:rsid w:val="00883904"/>
    <w:rsid w:val="0088496F"/>
    <w:rsid w:val="008860F3"/>
    <w:rsid w:val="00886615"/>
    <w:rsid w:val="00886677"/>
    <w:rsid w:val="00890F1B"/>
    <w:rsid w:val="00891F36"/>
    <w:rsid w:val="008932C0"/>
    <w:rsid w:val="008958B0"/>
    <w:rsid w:val="00895F7D"/>
    <w:rsid w:val="008A00D6"/>
    <w:rsid w:val="008A0E84"/>
    <w:rsid w:val="008A2391"/>
    <w:rsid w:val="008A2D39"/>
    <w:rsid w:val="008A355C"/>
    <w:rsid w:val="008A6521"/>
    <w:rsid w:val="008A6ACE"/>
    <w:rsid w:val="008B014F"/>
    <w:rsid w:val="008B0D0A"/>
    <w:rsid w:val="008B0FD7"/>
    <w:rsid w:val="008B1ADB"/>
    <w:rsid w:val="008B1C4C"/>
    <w:rsid w:val="008B2018"/>
    <w:rsid w:val="008B2480"/>
    <w:rsid w:val="008B2B60"/>
    <w:rsid w:val="008B526C"/>
    <w:rsid w:val="008B566B"/>
    <w:rsid w:val="008B5B2B"/>
    <w:rsid w:val="008B656D"/>
    <w:rsid w:val="008B6FC3"/>
    <w:rsid w:val="008B7113"/>
    <w:rsid w:val="008C25D8"/>
    <w:rsid w:val="008C30B6"/>
    <w:rsid w:val="008C3632"/>
    <w:rsid w:val="008C5CD0"/>
    <w:rsid w:val="008C69F4"/>
    <w:rsid w:val="008C6AA1"/>
    <w:rsid w:val="008C6AEA"/>
    <w:rsid w:val="008C7D05"/>
    <w:rsid w:val="008D040C"/>
    <w:rsid w:val="008D0E2B"/>
    <w:rsid w:val="008D2310"/>
    <w:rsid w:val="008D2E16"/>
    <w:rsid w:val="008D3B3E"/>
    <w:rsid w:val="008D3D9E"/>
    <w:rsid w:val="008D4920"/>
    <w:rsid w:val="008D53D2"/>
    <w:rsid w:val="008D573A"/>
    <w:rsid w:val="008D5D5C"/>
    <w:rsid w:val="008D6973"/>
    <w:rsid w:val="008D6C67"/>
    <w:rsid w:val="008D778F"/>
    <w:rsid w:val="008D7983"/>
    <w:rsid w:val="008E0464"/>
    <w:rsid w:val="008E171A"/>
    <w:rsid w:val="008E19E4"/>
    <w:rsid w:val="008E1CBD"/>
    <w:rsid w:val="008E28E4"/>
    <w:rsid w:val="008E56BD"/>
    <w:rsid w:val="008E75F5"/>
    <w:rsid w:val="008E7B70"/>
    <w:rsid w:val="008F140A"/>
    <w:rsid w:val="008F2189"/>
    <w:rsid w:val="008F290C"/>
    <w:rsid w:val="008F36BC"/>
    <w:rsid w:val="008F3C1E"/>
    <w:rsid w:val="008F418C"/>
    <w:rsid w:val="008F41D6"/>
    <w:rsid w:val="008F5AA8"/>
    <w:rsid w:val="008F5ACE"/>
    <w:rsid w:val="008F5B0A"/>
    <w:rsid w:val="008F62F4"/>
    <w:rsid w:val="008F66A7"/>
    <w:rsid w:val="008F68C2"/>
    <w:rsid w:val="008F6B18"/>
    <w:rsid w:val="008F70DE"/>
    <w:rsid w:val="00900196"/>
    <w:rsid w:val="0090062B"/>
    <w:rsid w:val="00900D25"/>
    <w:rsid w:val="00901438"/>
    <w:rsid w:val="009041CF"/>
    <w:rsid w:val="00905C84"/>
    <w:rsid w:val="009064AF"/>
    <w:rsid w:val="009072EB"/>
    <w:rsid w:val="0091181A"/>
    <w:rsid w:val="009119AB"/>
    <w:rsid w:val="009122A6"/>
    <w:rsid w:val="00914100"/>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971"/>
    <w:rsid w:val="00930DD6"/>
    <w:rsid w:val="0093143C"/>
    <w:rsid w:val="00932DA3"/>
    <w:rsid w:val="00932DFF"/>
    <w:rsid w:val="0093345E"/>
    <w:rsid w:val="0093555D"/>
    <w:rsid w:val="009370FE"/>
    <w:rsid w:val="00937498"/>
    <w:rsid w:val="00941E29"/>
    <w:rsid w:val="009427AE"/>
    <w:rsid w:val="00943AF9"/>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1B64"/>
    <w:rsid w:val="00961CB4"/>
    <w:rsid w:val="0096213C"/>
    <w:rsid w:val="00964834"/>
    <w:rsid w:val="009660AE"/>
    <w:rsid w:val="00966710"/>
    <w:rsid w:val="00970323"/>
    <w:rsid w:val="00970FA0"/>
    <w:rsid w:val="00972373"/>
    <w:rsid w:val="00973196"/>
    <w:rsid w:val="00975399"/>
    <w:rsid w:val="009756BB"/>
    <w:rsid w:val="00975E55"/>
    <w:rsid w:val="00976C40"/>
    <w:rsid w:val="009809A7"/>
    <w:rsid w:val="00980BD1"/>
    <w:rsid w:val="0098101C"/>
    <w:rsid w:val="009817E9"/>
    <w:rsid w:val="009834C7"/>
    <w:rsid w:val="00983AF6"/>
    <w:rsid w:val="00984A9D"/>
    <w:rsid w:val="0098511E"/>
    <w:rsid w:val="00985475"/>
    <w:rsid w:val="00985D1F"/>
    <w:rsid w:val="009877EF"/>
    <w:rsid w:val="00987877"/>
    <w:rsid w:val="00990EA3"/>
    <w:rsid w:val="009919CC"/>
    <w:rsid w:val="00991DD7"/>
    <w:rsid w:val="0099255F"/>
    <w:rsid w:val="00993839"/>
    <w:rsid w:val="00993A28"/>
    <w:rsid w:val="00997182"/>
    <w:rsid w:val="0099768F"/>
    <w:rsid w:val="009A03A5"/>
    <w:rsid w:val="009A29E6"/>
    <w:rsid w:val="009A2AF6"/>
    <w:rsid w:val="009A3539"/>
    <w:rsid w:val="009A3AB3"/>
    <w:rsid w:val="009A4375"/>
    <w:rsid w:val="009A5647"/>
    <w:rsid w:val="009A56CE"/>
    <w:rsid w:val="009A5877"/>
    <w:rsid w:val="009A667B"/>
    <w:rsid w:val="009A697A"/>
    <w:rsid w:val="009B05F4"/>
    <w:rsid w:val="009B34B5"/>
    <w:rsid w:val="009B38E8"/>
    <w:rsid w:val="009B54E3"/>
    <w:rsid w:val="009B552C"/>
    <w:rsid w:val="009B5C45"/>
    <w:rsid w:val="009B75D7"/>
    <w:rsid w:val="009B7AD7"/>
    <w:rsid w:val="009C056F"/>
    <w:rsid w:val="009C057D"/>
    <w:rsid w:val="009C08E7"/>
    <w:rsid w:val="009C1599"/>
    <w:rsid w:val="009C2EB3"/>
    <w:rsid w:val="009C61EE"/>
    <w:rsid w:val="009C6D9B"/>
    <w:rsid w:val="009D0213"/>
    <w:rsid w:val="009D14D0"/>
    <w:rsid w:val="009D3AA0"/>
    <w:rsid w:val="009D3B68"/>
    <w:rsid w:val="009D4249"/>
    <w:rsid w:val="009D4BFD"/>
    <w:rsid w:val="009D55F5"/>
    <w:rsid w:val="009D5D20"/>
    <w:rsid w:val="009E074F"/>
    <w:rsid w:val="009E0C0E"/>
    <w:rsid w:val="009E1F2B"/>
    <w:rsid w:val="009E3F4E"/>
    <w:rsid w:val="009E4332"/>
    <w:rsid w:val="009E464C"/>
    <w:rsid w:val="009E5B6B"/>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8F2"/>
    <w:rsid w:val="009F6E7E"/>
    <w:rsid w:val="009F76BC"/>
    <w:rsid w:val="00A00A07"/>
    <w:rsid w:val="00A00BC5"/>
    <w:rsid w:val="00A026E5"/>
    <w:rsid w:val="00A0635A"/>
    <w:rsid w:val="00A06939"/>
    <w:rsid w:val="00A06B02"/>
    <w:rsid w:val="00A06EE5"/>
    <w:rsid w:val="00A07B34"/>
    <w:rsid w:val="00A11D42"/>
    <w:rsid w:val="00A129A4"/>
    <w:rsid w:val="00A13549"/>
    <w:rsid w:val="00A2179F"/>
    <w:rsid w:val="00A22B3A"/>
    <w:rsid w:val="00A232E0"/>
    <w:rsid w:val="00A233BB"/>
    <w:rsid w:val="00A24AA4"/>
    <w:rsid w:val="00A25A07"/>
    <w:rsid w:val="00A2628E"/>
    <w:rsid w:val="00A26E9B"/>
    <w:rsid w:val="00A27D39"/>
    <w:rsid w:val="00A27D75"/>
    <w:rsid w:val="00A27E5E"/>
    <w:rsid w:val="00A31D13"/>
    <w:rsid w:val="00A32526"/>
    <w:rsid w:val="00A332BC"/>
    <w:rsid w:val="00A3342F"/>
    <w:rsid w:val="00A3578C"/>
    <w:rsid w:val="00A35DE2"/>
    <w:rsid w:val="00A368C0"/>
    <w:rsid w:val="00A37CFE"/>
    <w:rsid w:val="00A4048E"/>
    <w:rsid w:val="00A40575"/>
    <w:rsid w:val="00A40868"/>
    <w:rsid w:val="00A42D4E"/>
    <w:rsid w:val="00A43511"/>
    <w:rsid w:val="00A444B1"/>
    <w:rsid w:val="00A44A41"/>
    <w:rsid w:val="00A46158"/>
    <w:rsid w:val="00A50D47"/>
    <w:rsid w:val="00A51A7F"/>
    <w:rsid w:val="00A52775"/>
    <w:rsid w:val="00A54ED5"/>
    <w:rsid w:val="00A55A24"/>
    <w:rsid w:val="00A57665"/>
    <w:rsid w:val="00A57F28"/>
    <w:rsid w:val="00A6230D"/>
    <w:rsid w:val="00A6271E"/>
    <w:rsid w:val="00A62AFB"/>
    <w:rsid w:val="00A6356E"/>
    <w:rsid w:val="00A63DF2"/>
    <w:rsid w:val="00A646EE"/>
    <w:rsid w:val="00A66A0F"/>
    <w:rsid w:val="00A66B44"/>
    <w:rsid w:val="00A710AA"/>
    <w:rsid w:val="00A718E5"/>
    <w:rsid w:val="00A71F9F"/>
    <w:rsid w:val="00A726EC"/>
    <w:rsid w:val="00A7316C"/>
    <w:rsid w:val="00A73404"/>
    <w:rsid w:val="00A738EA"/>
    <w:rsid w:val="00A74410"/>
    <w:rsid w:val="00A75DBF"/>
    <w:rsid w:val="00A76B2B"/>
    <w:rsid w:val="00A84A31"/>
    <w:rsid w:val="00A861D2"/>
    <w:rsid w:val="00A876AD"/>
    <w:rsid w:val="00A90BE6"/>
    <w:rsid w:val="00A91CE4"/>
    <w:rsid w:val="00A91F68"/>
    <w:rsid w:val="00A927D2"/>
    <w:rsid w:val="00A96132"/>
    <w:rsid w:val="00A96743"/>
    <w:rsid w:val="00AA0529"/>
    <w:rsid w:val="00AA117C"/>
    <w:rsid w:val="00AA1C41"/>
    <w:rsid w:val="00AA2A2B"/>
    <w:rsid w:val="00AA2BF4"/>
    <w:rsid w:val="00AA53B9"/>
    <w:rsid w:val="00AA581D"/>
    <w:rsid w:val="00AA6CFD"/>
    <w:rsid w:val="00AA7731"/>
    <w:rsid w:val="00AB0264"/>
    <w:rsid w:val="00AB18CE"/>
    <w:rsid w:val="00AB2464"/>
    <w:rsid w:val="00AB3C29"/>
    <w:rsid w:val="00AB5229"/>
    <w:rsid w:val="00AB525C"/>
    <w:rsid w:val="00AB5D12"/>
    <w:rsid w:val="00AB6103"/>
    <w:rsid w:val="00AB6283"/>
    <w:rsid w:val="00AB68CA"/>
    <w:rsid w:val="00AB7794"/>
    <w:rsid w:val="00AC03B4"/>
    <w:rsid w:val="00AC0752"/>
    <w:rsid w:val="00AC1347"/>
    <w:rsid w:val="00AC1EC3"/>
    <w:rsid w:val="00AC27D4"/>
    <w:rsid w:val="00AC33D2"/>
    <w:rsid w:val="00AC3B87"/>
    <w:rsid w:val="00AC3C0E"/>
    <w:rsid w:val="00AC4586"/>
    <w:rsid w:val="00AC51B8"/>
    <w:rsid w:val="00AC564B"/>
    <w:rsid w:val="00AC639A"/>
    <w:rsid w:val="00AC6DC0"/>
    <w:rsid w:val="00AC74CF"/>
    <w:rsid w:val="00AD0A2E"/>
    <w:rsid w:val="00AD0A2F"/>
    <w:rsid w:val="00AD13A4"/>
    <w:rsid w:val="00AD28BB"/>
    <w:rsid w:val="00AD4824"/>
    <w:rsid w:val="00AD6414"/>
    <w:rsid w:val="00AD7FAD"/>
    <w:rsid w:val="00AE045E"/>
    <w:rsid w:val="00AE053C"/>
    <w:rsid w:val="00AE295B"/>
    <w:rsid w:val="00AE414F"/>
    <w:rsid w:val="00AE5261"/>
    <w:rsid w:val="00AE6450"/>
    <w:rsid w:val="00AE679C"/>
    <w:rsid w:val="00AF0815"/>
    <w:rsid w:val="00AF12D0"/>
    <w:rsid w:val="00AF2227"/>
    <w:rsid w:val="00AF4BD8"/>
    <w:rsid w:val="00AF4C0B"/>
    <w:rsid w:val="00AF5E71"/>
    <w:rsid w:val="00AF5F69"/>
    <w:rsid w:val="00AF6404"/>
    <w:rsid w:val="00B0227F"/>
    <w:rsid w:val="00B02FFF"/>
    <w:rsid w:val="00B03B5C"/>
    <w:rsid w:val="00B04CD7"/>
    <w:rsid w:val="00B0526E"/>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719B"/>
    <w:rsid w:val="00B31281"/>
    <w:rsid w:val="00B31430"/>
    <w:rsid w:val="00B322DA"/>
    <w:rsid w:val="00B3301A"/>
    <w:rsid w:val="00B3425D"/>
    <w:rsid w:val="00B34719"/>
    <w:rsid w:val="00B3578C"/>
    <w:rsid w:val="00B35901"/>
    <w:rsid w:val="00B361F5"/>
    <w:rsid w:val="00B40C8B"/>
    <w:rsid w:val="00B41238"/>
    <w:rsid w:val="00B416F4"/>
    <w:rsid w:val="00B417B4"/>
    <w:rsid w:val="00B4281A"/>
    <w:rsid w:val="00B443EF"/>
    <w:rsid w:val="00B44667"/>
    <w:rsid w:val="00B45637"/>
    <w:rsid w:val="00B45B6D"/>
    <w:rsid w:val="00B4667C"/>
    <w:rsid w:val="00B47358"/>
    <w:rsid w:val="00B50E51"/>
    <w:rsid w:val="00B50EF8"/>
    <w:rsid w:val="00B51AF6"/>
    <w:rsid w:val="00B5246F"/>
    <w:rsid w:val="00B524CD"/>
    <w:rsid w:val="00B52A21"/>
    <w:rsid w:val="00B579A1"/>
    <w:rsid w:val="00B61679"/>
    <w:rsid w:val="00B61AA7"/>
    <w:rsid w:val="00B61F76"/>
    <w:rsid w:val="00B6248B"/>
    <w:rsid w:val="00B62AFD"/>
    <w:rsid w:val="00B62B81"/>
    <w:rsid w:val="00B63CC5"/>
    <w:rsid w:val="00B64798"/>
    <w:rsid w:val="00B66CA1"/>
    <w:rsid w:val="00B674D6"/>
    <w:rsid w:val="00B67AAF"/>
    <w:rsid w:val="00B7066F"/>
    <w:rsid w:val="00B70C91"/>
    <w:rsid w:val="00B71EB2"/>
    <w:rsid w:val="00B72DBD"/>
    <w:rsid w:val="00B72FEB"/>
    <w:rsid w:val="00B73257"/>
    <w:rsid w:val="00B7493D"/>
    <w:rsid w:val="00B7498F"/>
    <w:rsid w:val="00B74A77"/>
    <w:rsid w:val="00B74BFA"/>
    <w:rsid w:val="00B7661F"/>
    <w:rsid w:val="00B7717D"/>
    <w:rsid w:val="00B8004E"/>
    <w:rsid w:val="00B80712"/>
    <w:rsid w:val="00B80D6D"/>
    <w:rsid w:val="00B819D8"/>
    <w:rsid w:val="00B833F1"/>
    <w:rsid w:val="00B83851"/>
    <w:rsid w:val="00B8655C"/>
    <w:rsid w:val="00B87676"/>
    <w:rsid w:val="00B9125A"/>
    <w:rsid w:val="00B91AC1"/>
    <w:rsid w:val="00B91E89"/>
    <w:rsid w:val="00B9308F"/>
    <w:rsid w:val="00B9329E"/>
    <w:rsid w:val="00B9345E"/>
    <w:rsid w:val="00B9361F"/>
    <w:rsid w:val="00B93A7E"/>
    <w:rsid w:val="00B94457"/>
    <w:rsid w:val="00B95317"/>
    <w:rsid w:val="00B960F9"/>
    <w:rsid w:val="00BA1E3E"/>
    <w:rsid w:val="00BA2779"/>
    <w:rsid w:val="00BA4818"/>
    <w:rsid w:val="00BB09F0"/>
    <w:rsid w:val="00BB0B24"/>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7966"/>
    <w:rsid w:val="00BD7A1E"/>
    <w:rsid w:val="00BD7F20"/>
    <w:rsid w:val="00BE0210"/>
    <w:rsid w:val="00BE07EB"/>
    <w:rsid w:val="00BE097F"/>
    <w:rsid w:val="00BE15B5"/>
    <w:rsid w:val="00BE199C"/>
    <w:rsid w:val="00BE28FF"/>
    <w:rsid w:val="00BE412F"/>
    <w:rsid w:val="00BE62CC"/>
    <w:rsid w:val="00BE6B8A"/>
    <w:rsid w:val="00BF0462"/>
    <w:rsid w:val="00BF0C03"/>
    <w:rsid w:val="00BF0D72"/>
    <w:rsid w:val="00BF3939"/>
    <w:rsid w:val="00BF5872"/>
    <w:rsid w:val="00BF6C43"/>
    <w:rsid w:val="00C0057E"/>
    <w:rsid w:val="00C01FCF"/>
    <w:rsid w:val="00C02036"/>
    <w:rsid w:val="00C032FD"/>
    <w:rsid w:val="00C04F31"/>
    <w:rsid w:val="00C050EC"/>
    <w:rsid w:val="00C05366"/>
    <w:rsid w:val="00C06B13"/>
    <w:rsid w:val="00C06EFA"/>
    <w:rsid w:val="00C10F02"/>
    <w:rsid w:val="00C11047"/>
    <w:rsid w:val="00C11FA9"/>
    <w:rsid w:val="00C13F54"/>
    <w:rsid w:val="00C16D1F"/>
    <w:rsid w:val="00C17ED7"/>
    <w:rsid w:val="00C2132B"/>
    <w:rsid w:val="00C21F32"/>
    <w:rsid w:val="00C230F9"/>
    <w:rsid w:val="00C252BD"/>
    <w:rsid w:val="00C26716"/>
    <w:rsid w:val="00C26857"/>
    <w:rsid w:val="00C26B35"/>
    <w:rsid w:val="00C3024F"/>
    <w:rsid w:val="00C323B6"/>
    <w:rsid w:val="00C32C2C"/>
    <w:rsid w:val="00C337C5"/>
    <w:rsid w:val="00C339D4"/>
    <w:rsid w:val="00C34956"/>
    <w:rsid w:val="00C34962"/>
    <w:rsid w:val="00C36188"/>
    <w:rsid w:val="00C37305"/>
    <w:rsid w:val="00C40250"/>
    <w:rsid w:val="00C406D9"/>
    <w:rsid w:val="00C41889"/>
    <w:rsid w:val="00C43199"/>
    <w:rsid w:val="00C44808"/>
    <w:rsid w:val="00C46006"/>
    <w:rsid w:val="00C46973"/>
    <w:rsid w:val="00C50009"/>
    <w:rsid w:val="00C5015F"/>
    <w:rsid w:val="00C50C30"/>
    <w:rsid w:val="00C512F8"/>
    <w:rsid w:val="00C524E7"/>
    <w:rsid w:val="00C5298F"/>
    <w:rsid w:val="00C52D77"/>
    <w:rsid w:val="00C53023"/>
    <w:rsid w:val="00C55C9D"/>
    <w:rsid w:val="00C57624"/>
    <w:rsid w:val="00C57AA7"/>
    <w:rsid w:val="00C61167"/>
    <w:rsid w:val="00C615ED"/>
    <w:rsid w:val="00C62B35"/>
    <w:rsid w:val="00C6354C"/>
    <w:rsid w:val="00C667DC"/>
    <w:rsid w:val="00C6697D"/>
    <w:rsid w:val="00C675A5"/>
    <w:rsid w:val="00C67D2C"/>
    <w:rsid w:val="00C70CF3"/>
    <w:rsid w:val="00C72082"/>
    <w:rsid w:val="00C7276D"/>
    <w:rsid w:val="00C73062"/>
    <w:rsid w:val="00C733E2"/>
    <w:rsid w:val="00C74054"/>
    <w:rsid w:val="00C75D8D"/>
    <w:rsid w:val="00C7630D"/>
    <w:rsid w:val="00C7660C"/>
    <w:rsid w:val="00C77060"/>
    <w:rsid w:val="00C80CB9"/>
    <w:rsid w:val="00C81103"/>
    <w:rsid w:val="00C825D0"/>
    <w:rsid w:val="00C825D5"/>
    <w:rsid w:val="00C825FB"/>
    <w:rsid w:val="00C845F9"/>
    <w:rsid w:val="00C8662D"/>
    <w:rsid w:val="00C92B71"/>
    <w:rsid w:val="00C956D5"/>
    <w:rsid w:val="00C958E1"/>
    <w:rsid w:val="00C961CB"/>
    <w:rsid w:val="00CA002C"/>
    <w:rsid w:val="00CA01D6"/>
    <w:rsid w:val="00CA0C4D"/>
    <w:rsid w:val="00CA0D45"/>
    <w:rsid w:val="00CA182B"/>
    <w:rsid w:val="00CA1917"/>
    <w:rsid w:val="00CA1CF7"/>
    <w:rsid w:val="00CA3AD6"/>
    <w:rsid w:val="00CA43E2"/>
    <w:rsid w:val="00CA58A2"/>
    <w:rsid w:val="00CA58E8"/>
    <w:rsid w:val="00CA5FA0"/>
    <w:rsid w:val="00CA7E4F"/>
    <w:rsid w:val="00CB0A6E"/>
    <w:rsid w:val="00CB21A5"/>
    <w:rsid w:val="00CB2316"/>
    <w:rsid w:val="00CB3613"/>
    <w:rsid w:val="00CB43B0"/>
    <w:rsid w:val="00CC01AE"/>
    <w:rsid w:val="00CC1238"/>
    <w:rsid w:val="00CC18E1"/>
    <w:rsid w:val="00CC231A"/>
    <w:rsid w:val="00CC2989"/>
    <w:rsid w:val="00CC363D"/>
    <w:rsid w:val="00CC38DF"/>
    <w:rsid w:val="00CC41AF"/>
    <w:rsid w:val="00CC4866"/>
    <w:rsid w:val="00CC59EA"/>
    <w:rsid w:val="00CC60B6"/>
    <w:rsid w:val="00CC647E"/>
    <w:rsid w:val="00CC6678"/>
    <w:rsid w:val="00CC6ACE"/>
    <w:rsid w:val="00CC7B13"/>
    <w:rsid w:val="00CC7DDD"/>
    <w:rsid w:val="00CD0605"/>
    <w:rsid w:val="00CD1AFF"/>
    <w:rsid w:val="00CD4CAD"/>
    <w:rsid w:val="00CD5021"/>
    <w:rsid w:val="00CD6933"/>
    <w:rsid w:val="00CD6DF1"/>
    <w:rsid w:val="00CE078B"/>
    <w:rsid w:val="00CE2177"/>
    <w:rsid w:val="00CE2B3D"/>
    <w:rsid w:val="00CE3C8B"/>
    <w:rsid w:val="00CE4500"/>
    <w:rsid w:val="00CE4974"/>
    <w:rsid w:val="00CE7EFD"/>
    <w:rsid w:val="00CF08B4"/>
    <w:rsid w:val="00CF0A4F"/>
    <w:rsid w:val="00CF162C"/>
    <w:rsid w:val="00CF1B8D"/>
    <w:rsid w:val="00CF3D5E"/>
    <w:rsid w:val="00CF758D"/>
    <w:rsid w:val="00CF76EF"/>
    <w:rsid w:val="00D0031E"/>
    <w:rsid w:val="00D021DA"/>
    <w:rsid w:val="00D02CE4"/>
    <w:rsid w:val="00D051DE"/>
    <w:rsid w:val="00D056D6"/>
    <w:rsid w:val="00D06046"/>
    <w:rsid w:val="00D07072"/>
    <w:rsid w:val="00D075AB"/>
    <w:rsid w:val="00D10871"/>
    <w:rsid w:val="00D10EC8"/>
    <w:rsid w:val="00D130A4"/>
    <w:rsid w:val="00D1455A"/>
    <w:rsid w:val="00D14680"/>
    <w:rsid w:val="00D14AB7"/>
    <w:rsid w:val="00D15962"/>
    <w:rsid w:val="00D21B7D"/>
    <w:rsid w:val="00D223C8"/>
    <w:rsid w:val="00D225BD"/>
    <w:rsid w:val="00D25104"/>
    <w:rsid w:val="00D25E7E"/>
    <w:rsid w:val="00D26521"/>
    <w:rsid w:val="00D269D1"/>
    <w:rsid w:val="00D26FEA"/>
    <w:rsid w:val="00D271A6"/>
    <w:rsid w:val="00D27410"/>
    <w:rsid w:val="00D27715"/>
    <w:rsid w:val="00D31BC8"/>
    <w:rsid w:val="00D32277"/>
    <w:rsid w:val="00D32471"/>
    <w:rsid w:val="00D35353"/>
    <w:rsid w:val="00D357EC"/>
    <w:rsid w:val="00D3589C"/>
    <w:rsid w:val="00D35C28"/>
    <w:rsid w:val="00D35E2D"/>
    <w:rsid w:val="00D35FA2"/>
    <w:rsid w:val="00D37F4C"/>
    <w:rsid w:val="00D40245"/>
    <w:rsid w:val="00D410EB"/>
    <w:rsid w:val="00D41A77"/>
    <w:rsid w:val="00D42C55"/>
    <w:rsid w:val="00D44D0B"/>
    <w:rsid w:val="00D46E82"/>
    <w:rsid w:val="00D50AA7"/>
    <w:rsid w:val="00D52833"/>
    <w:rsid w:val="00D53847"/>
    <w:rsid w:val="00D5465F"/>
    <w:rsid w:val="00D54E0D"/>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754E"/>
    <w:rsid w:val="00D7076A"/>
    <w:rsid w:val="00D72173"/>
    <w:rsid w:val="00D747F6"/>
    <w:rsid w:val="00D75CB5"/>
    <w:rsid w:val="00D76F5E"/>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6FA6"/>
    <w:rsid w:val="00D97523"/>
    <w:rsid w:val="00DA059A"/>
    <w:rsid w:val="00DA06B7"/>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6416"/>
    <w:rsid w:val="00DB7FAD"/>
    <w:rsid w:val="00DC23B9"/>
    <w:rsid w:val="00DC2B7F"/>
    <w:rsid w:val="00DC3831"/>
    <w:rsid w:val="00DC57E4"/>
    <w:rsid w:val="00DC6614"/>
    <w:rsid w:val="00DD0404"/>
    <w:rsid w:val="00DD08AD"/>
    <w:rsid w:val="00DD137B"/>
    <w:rsid w:val="00DD1568"/>
    <w:rsid w:val="00DD15DF"/>
    <w:rsid w:val="00DD1D07"/>
    <w:rsid w:val="00DD2211"/>
    <w:rsid w:val="00DD36DE"/>
    <w:rsid w:val="00DD3DB9"/>
    <w:rsid w:val="00DD6244"/>
    <w:rsid w:val="00DE040F"/>
    <w:rsid w:val="00DE1BB6"/>
    <w:rsid w:val="00DE32F4"/>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7780"/>
    <w:rsid w:val="00E07A86"/>
    <w:rsid w:val="00E07E9C"/>
    <w:rsid w:val="00E104E0"/>
    <w:rsid w:val="00E109D2"/>
    <w:rsid w:val="00E12934"/>
    <w:rsid w:val="00E14015"/>
    <w:rsid w:val="00E14873"/>
    <w:rsid w:val="00E148D8"/>
    <w:rsid w:val="00E14BD4"/>
    <w:rsid w:val="00E16EA5"/>
    <w:rsid w:val="00E1730E"/>
    <w:rsid w:val="00E22F53"/>
    <w:rsid w:val="00E235E2"/>
    <w:rsid w:val="00E241BE"/>
    <w:rsid w:val="00E2633D"/>
    <w:rsid w:val="00E26F96"/>
    <w:rsid w:val="00E30F1F"/>
    <w:rsid w:val="00E32023"/>
    <w:rsid w:val="00E33272"/>
    <w:rsid w:val="00E33DAB"/>
    <w:rsid w:val="00E342D1"/>
    <w:rsid w:val="00E3672C"/>
    <w:rsid w:val="00E36E7C"/>
    <w:rsid w:val="00E4042B"/>
    <w:rsid w:val="00E40BBA"/>
    <w:rsid w:val="00E43EE6"/>
    <w:rsid w:val="00E4455A"/>
    <w:rsid w:val="00E472D9"/>
    <w:rsid w:val="00E478C3"/>
    <w:rsid w:val="00E47BFA"/>
    <w:rsid w:val="00E47EAE"/>
    <w:rsid w:val="00E5069D"/>
    <w:rsid w:val="00E51CF6"/>
    <w:rsid w:val="00E53F33"/>
    <w:rsid w:val="00E561B8"/>
    <w:rsid w:val="00E60462"/>
    <w:rsid w:val="00E606F9"/>
    <w:rsid w:val="00E60A85"/>
    <w:rsid w:val="00E62F12"/>
    <w:rsid w:val="00E63496"/>
    <w:rsid w:val="00E6740D"/>
    <w:rsid w:val="00E70E7D"/>
    <w:rsid w:val="00E71632"/>
    <w:rsid w:val="00E73BDD"/>
    <w:rsid w:val="00E80485"/>
    <w:rsid w:val="00E81D81"/>
    <w:rsid w:val="00E82007"/>
    <w:rsid w:val="00E82056"/>
    <w:rsid w:val="00E82181"/>
    <w:rsid w:val="00E83286"/>
    <w:rsid w:val="00E8461C"/>
    <w:rsid w:val="00E8505E"/>
    <w:rsid w:val="00E85094"/>
    <w:rsid w:val="00E85420"/>
    <w:rsid w:val="00E85593"/>
    <w:rsid w:val="00E86347"/>
    <w:rsid w:val="00E86556"/>
    <w:rsid w:val="00E878D9"/>
    <w:rsid w:val="00E901D4"/>
    <w:rsid w:val="00E91225"/>
    <w:rsid w:val="00E9136D"/>
    <w:rsid w:val="00E92AA9"/>
    <w:rsid w:val="00E92CC6"/>
    <w:rsid w:val="00E92F26"/>
    <w:rsid w:val="00E935C4"/>
    <w:rsid w:val="00E93ABC"/>
    <w:rsid w:val="00E962E1"/>
    <w:rsid w:val="00E9790D"/>
    <w:rsid w:val="00EA1A12"/>
    <w:rsid w:val="00EA20CA"/>
    <w:rsid w:val="00EA399D"/>
    <w:rsid w:val="00EA5AAA"/>
    <w:rsid w:val="00EA7601"/>
    <w:rsid w:val="00EA7C39"/>
    <w:rsid w:val="00EA7D8C"/>
    <w:rsid w:val="00EB34FD"/>
    <w:rsid w:val="00EB4378"/>
    <w:rsid w:val="00EB44CD"/>
    <w:rsid w:val="00EB44E7"/>
    <w:rsid w:val="00EB4797"/>
    <w:rsid w:val="00EB51C4"/>
    <w:rsid w:val="00EB63D3"/>
    <w:rsid w:val="00EB6DEC"/>
    <w:rsid w:val="00EC15E6"/>
    <w:rsid w:val="00EC23D0"/>
    <w:rsid w:val="00EC2D10"/>
    <w:rsid w:val="00EC2F4A"/>
    <w:rsid w:val="00EC3DAA"/>
    <w:rsid w:val="00EC5E73"/>
    <w:rsid w:val="00EC6C1F"/>
    <w:rsid w:val="00EC7D34"/>
    <w:rsid w:val="00ED15B5"/>
    <w:rsid w:val="00ED3466"/>
    <w:rsid w:val="00ED35A1"/>
    <w:rsid w:val="00ED4E81"/>
    <w:rsid w:val="00ED5C63"/>
    <w:rsid w:val="00ED7C2B"/>
    <w:rsid w:val="00EE005E"/>
    <w:rsid w:val="00EE0AC8"/>
    <w:rsid w:val="00EE1123"/>
    <w:rsid w:val="00EE16B7"/>
    <w:rsid w:val="00EE2914"/>
    <w:rsid w:val="00EE3180"/>
    <w:rsid w:val="00EE7143"/>
    <w:rsid w:val="00EE78FB"/>
    <w:rsid w:val="00EE7D21"/>
    <w:rsid w:val="00EF0E1E"/>
    <w:rsid w:val="00EF214B"/>
    <w:rsid w:val="00EF3A2D"/>
    <w:rsid w:val="00EF5101"/>
    <w:rsid w:val="00EF5D5E"/>
    <w:rsid w:val="00EF627A"/>
    <w:rsid w:val="00EF74B0"/>
    <w:rsid w:val="00EF7F4C"/>
    <w:rsid w:val="00F00515"/>
    <w:rsid w:val="00F01E63"/>
    <w:rsid w:val="00F042EE"/>
    <w:rsid w:val="00F048F8"/>
    <w:rsid w:val="00F04B95"/>
    <w:rsid w:val="00F055BA"/>
    <w:rsid w:val="00F066D1"/>
    <w:rsid w:val="00F067F4"/>
    <w:rsid w:val="00F06C5C"/>
    <w:rsid w:val="00F06D4A"/>
    <w:rsid w:val="00F07DCF"/>
    <w:rsid w:val="00F07E3C"/>
    <w:rsid w:val="00F109E9"/>
    <w:rsid w:val="00F135E1"/>
    <w:rsid w:val="00F14CB6"/>
    <w:rsid w:val="00F167E2"/>
    <w:rsid w:val="00F1685B"/>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4133C"/>
    <w:rsid w:val="00F413AB"/>
    <w:rsid w:val="00F42AEB"/>
    <w:rsid w:val="00F42F2A"/>
    <w:rsid w:val="00F43945"/>
    <w:rsid w:val="00F44742"/>
    <w:rsid w:val="00F44F8D"/>
    <w:rsid w:val="00F46651"/>
    <w:rsid w:val="00F4793F"/>
    <w:rsid w:val="00F47BEC"/>
    <w:rsid w:val="00F47E59"/>
    <w:rsid w:val="00F50375"/>
    <w:rsid w:val="00F5056F"/>
    <w:rsid w:val="00F51388"/>
    <w:rsid w:val="00F51E15"/>
    <w:rsid w:val="00F5219B"/>
    <w:rsid w:val="00F52E38"/>
    <w:rsid w:val="00F5301F"/>
    <w:rsid w:val="00F53971"/>
    <w:rsid w:val="00F5445D"/>
    <w:rsid w:val="00F54646"/>
    <w:rsid w:val="00F547A6"/>
    <w:rsid w:val="00F55E9A"/>
    <w:rsid w:val="00F56280"/>
    <w:rsid w:val="00F56DB8"/>
    <w:rsid w:val="00F57226"/>
    <w:rsid w:val="00F6196D"/>
    <w:rsid w:val="00F619DF"/>
    <w:rsid w:val="00F61E3E"/>
    <w:rsid w:val="00F627D2"/>
    <w:rsid w:val="00F6334C"/>
    <w:rsid w:val="00F63C91"/>
    <w:rsid w:val="00F64127"/>
    <w:rsid w:val="00F66436"/>
    <w:rsid w:val="00F671DF"/>
    <w:rsid w:val="00F678E9"/>
    <w:rsid w:val="00F733D4"/>
    <w:rsid w:val="00F76537"/>
    <w:rsid w:val="00F76A92"/>
    <w:rsid w:val="00F76DC5"/>
    <w:rsid w:val="00F80AA8"/>
    <w:rsid w:val="00F80ADC"/>
    <w:rsid w:val="00F80FDA"/>
    <w:rsid w:val="00F80FF6"/>
    <w:rsid w:val="00F81DB3"/>
    <w:rsid w:val="00F81EA1"/>
    <w:rsid w:val="00F822C3"/>
    <w:rsid w:val="00F84714"/>
    <w:rsid w:val="00F8542D"/>
    <w:rsid w:val="00F86477"/>
    <w:rsid w:val="00F86902"/>
    <w:rsid w:val="00F86CD8"/>
    <w:rsid w:val="00F87360"/>
    <w:rsid w:val="00F87C7D"/>
    <w:rsid w:val="00F87D49"/>
    <w:rsid w:val="00F91BF9"/>
    <w:rsid w:val="00F92D52"/>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ABD"/>
    <w:rsid w:val="00FB2254"/>
    <w:rsid w:val="00FB3D0E"/>
    <w:rsid w:val="00FB5506"/>
    <w:rsid w:val="00FB7D07"/>
    <w:rsid w:val="00FC03DC"/>
    <w:rsid w:val="00FC07A8"/>
    <w:rsid w:val="00FC1070"/>
    <w:rsid w:val="00FC2078"/>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577A"/>
    <w:rsid w:val="00FE0ED0"/>
    <w:rsid w:val="00FE14AF"/>
    <w:rsid w:val="00FE2A44"/>
    <w:rsid w:val="00FE2CBE"/>
    <w:rsid w:val="00FE38F6"/>
    <w:rsid w:val="00FE3AB7"/>
    <w:rsid w:val="00FE4F86"/>
    <w:rsid w:val="00FE55CF"/>
    <w:rsid w:val="00FE5F32"/>
    <w:rsid w:val="00FE7BF6"/>
    <w:rsid w:val="00FF0069"/>
    <w:rsid w:val="00FF0B77"/>
    <w:rsid w:val="00FF1B67"/>
    <w:rsid w:val="00FF2320"/>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Titre1">
    <w:name w:val="heading 1"/>
    <w:basedOn w:val="Normal"/>
    <w:next w:val="Normal"/>
    <w:link w:val="Titre1Car"/>
    <w:uiPriority w:val="99"/>
    <w:qFormat/>
    <w:rsid w:val="00110DA4"/>
    <w:pPr>
      <w:keepNext/>
      <w:numPr>
        <w:numId w:val="4"/>
      </w:numPr>
      <w:spacing w:before="360" w:after="240"/>
      <w:outlineLvl w:val="0"/>
    </w:pPr>
    <w:rPr>
      <w:b/>
      <w:kern w:val="28"/>
      <w:sz w:val="24"/>
      <w:u w:val="single"/>
      <w:lang w:eastAsia="en-GB"/>
    </w:rPr>
  </w:style>
  <w:style w:type="paragraph" w:styleId="Titre2">
    <w:name w:val="heading 2"/>
    <w:aliases w:val="TSBTWO"/>
    <w:basedOn w:val="Normal"/>
    <w:next w:val="Normalcentr"/>
    <w:link w:val="Titre2Car"/>
    <w:uiPriority w:val="99"/>
    <w:qFormat/>
    <w:rsid w:val="00AC3C0E"/>
    <w:pPr>
      <w:keepNext/>
      <w:numPr>
        <w:numId w:val="11"/>
      </w:numPr>
      <w:spacing w:before="240"/>
      <w:jc w:val="both"/>
      <w:outlineLvl w:val="1"/>
    </w:pPr>
    <w:rPr>
      <w:b/>
      <w:color w:val="000000"/>
      <w:u w:val="single"/>
    </w:rPr>
  </w:style>
  <w:style w:type="paragraph" w:styleId="Titre3">
    <w:name w:val="heading 3"/>
    <w:aliases w:val="TSBTHREE"/>
    <w:basedOn w:val="Normal"/>
    <w:next w:val="Normal"/>
    <w:link w:val="Titre3Car"/>
    <w:uiPriority w:val="99"/>
    <w:qFormat/>
    <w:rsid w:val="009F5040"/>
    <w:pPr>
      <w:keepNext/>
      <w:numPr>
        <w:ilvl w:val="2"/>
        <w:numId w:val="1"/>
      </w:numPr>
      <w:spacing w:before="200" w:after="60"/>
      <w:jc w:val="both"/>
      <w:outlineLvl w:val="2"/>
    </w:pPr>
    <w:rPr>
      <w:sz w:val="22"/>
      <w:u w:val="single"/>
      <w:lang w:val="en-GB"/>
    </w:rPr>
  </w:style>
  <w:style w:type="paragraph" w:styleId="Titre4">
    <w:name w:val="heading 4"/>
    <w:aliases w:val="TSBFOUR"/>
    <w:basedOn w:val="Normal"/>
    <w:next w:val="Normal"/>
    <w:link w:val="Titre4Car"/>
    <w:uiPriority w:val="99"/>
    <w:qFormat/>
    <w:rsid w:val="009F5040"/>
    <w:pPr>
      <w:keepNext/>
      <w:spacing w:before="80"/>
      <w:outlineLvl w:val="3"/>
    </w:pPr>
    <w:rPr>
      <w:b/>
      <w:i/>
      <w:sz w:val="22"/>
      <w:lang w:val="en-GB"/>
    </w:rPr>
  </w:style>
  <w:style w:type="paragraph" w:styleId="Titre5">
    <w:name w:val="heading 5"/>
    <w:basedOn w:val="Normal"/>
    <w:next w:val="Normal"/>
    <w:link w:val="Titre5Car"/>
    <w:uiPriority w:val="99"/>
    <w:qFormat/>
    <w:rsid w:val="009F5040"/>
    <w:pPr>
      <w:spacing w:before="240" w:after="60"/>
      <w:jc w:val="both"/>
      <w:outlineLvl w:val="4"/>
    </w:pPr>
    <w:rPr>
      <w:sz w:val="22"/>
    </w:rPr>
  </w:style>
  <w:style w:type="paragraph" w:styleId="Titre6">
    <w:name w:val="heading 6"/>
    <w:basedOn w:val="Normal"/>
    <w:next w:val="Normal"/>
    <w:link w:val="Titre6Car"/>
    <w:uiPriority w:val="99"/>
    <w:qFormat/>
    <w:rsid w:val="009F5040"/>
    <w:pPr>
      <w:spacing w:before="240" w:after="60"/>
      <w:jc w:val="both"/>
      <w:outlineLvl w:val="5"/>
    </w:pPr>
    <w:rPr>
      <w:i/>
      <w:sz w:val="22"/>
    </w:rPr>
  </w:style>
  <w:style w:type="paragraph" w:styleId="Titre7">
    <w:name w:val="heading 7"/>
    <w:basedOn w:val="Normal"/>
    <w:next w:val="Normal"/>
    <w:link w:val="Titre7Car"/>
    <w:uiPriority w:val="99"/>
    <w:qFormat/>
    <w:rsid w:val="009F5040"/>
    <w:pPr>
      <w:spacing w:before="240" w:after="60"/>
      <w:jc w:val="both"/>
      <w:outlineLvl w:val="6"/>
    </w:pPr>
    <w:rPr>
      <w:sz w:val="22"/>
    </w:rPr>
  </w:style>
  <w:style w:type="paragraph" w:styleId="Titre8">
    <w:name w:val="heading 8"/>
    <w:basedOn w:val="Normal"/>
    <w:next w:val="Normal"/>
    <w:link w:val="Titre8Car"/>
    <w:uiPriority w:val="99"/>
    <w:qFormat/>
    <w:rsid w:val="009F5040"/>
    <w:pPr>
      <w:keepNext/>
      <w:spacing w:after="60"/>
      <w:jc w:val="center"/>
      <w:outlineLvl w:val="7"/>
    </w:pPr>
    <w:rPr>
      <w:color w:val="FFFFFF"/>
      <w:sz w:val="22"/>
      <w:u w:val="single"/>
      <w:lang w:val="es-ES"/>
    </w:rPr>
  </w:style>
  <w:style w:type="paragraph" w:styleId="Titre9">
    <w:name w:val="heading 9"/>
    <w:basedOn w:val="Normal"/>
    <w:next w:val="Normal"/>
    <w:link w:val="Titre9Car"/>
    <w:uiPriority w:val="99"/>
    <w:qFormat/>
    <w:rsid w:val="009F5040"/>
    <w:pPr>
      <w:spacing w:before="240" w:after="60"/>
      <w:jc w:val="both"/>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0DA4"/>
    <w:rPr>
      <w:rFonts w:ascii="Arial" w:hAnsi="Arial" w:cs="Arial"/>
      <w:b/>
      <w:kern w:val="28"/>
      <w:sz w:val="24"/>
      <w:szCs w:val="20"/>
      <w:u w:val="single"/>
      <w:lang w:eastAsia="en-GB"/>
    </w:rPr>
  </w:style>
  <w:style w:type="character" w:customStyle="1" w:styleId="Titre2Car">
    <w:name w:val="Titre 2 Car"/>
    <w:aliases w:val="TSBTWO Car"/>
    <w:basedOn w:val="Policepardfaut"/>
    <w:link w:val="Titre2"/>
    <w:uiPriority w:val="99"/>
    <w:rsid w:val="00AC3C0E"/>
    <w:rPr>
      <w:rFonts w:ascii="Arial" w:hAnsi="Arial" w:cs="Arial"/>
      <w:b/>
      <w:color w:val="000000"/>
      <w:sz w:val="20"/>
      <w:szCs w:val="20"/>
      <w:u w:val="single"/>
    </w:rPr>
  </w:style>
  <w:style w:type="character" w:customStyle="1" w:styleId="Titre3Car">
    <w:name w:val="Titre 3 Car"/>
    <w:aliases w:val="TSBTHREE Car"/>
    <w:basedOn w:val="Policepardfaut"/>
    <w:link w:val="Titre3"/>
    <w:uiPriority w:val="99"/>
    <w:rsid w:val="005977A0"/>
    <w:rPr>
      <w:rFonts w:ascii="Arial" w:hAnsi="Arial" w:cs="Arial"/>
      <w:szCs w:val="20"/>
      <w:u w:val="single"/>
      <w:lang w:val="en-GB"/>
    </w:rPr>
  </w:style>
  <w:style w:type="character" w:customStyle="1" w:styleId="Titre4Car">
    <w:name w:val="Titre 4 Car"/>
    <w:aliases w:val="TSBFOUR Car"/>
    <w:basedOn w:val="Policepardfaut"/>
    <w:link w:val="Titre4"/>
    <w:uiPriority w:val="9"/>
    <w:semiHidden/>
    <w:rsid w:val="005977A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77A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77A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977A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977A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977A0"/>
    <w:rPr>
      <w:rFonts w:asciiTheme="majorHAnsi" w:eastAsiaTheme="majorEastAsia" w:hAnsiTheme="majorHAnsi" w:cstheme="majorBidi"/>
    </w:rPr>
  </w:style>
  <w:style w:type="paragraph" w:styleId="Commentaire">
    <w:name w:val="annotation text"/>
    <w:basedOn w:val="Normal"/>
    <w:link w:val="CommentaireCar"/>
    <w:uiPriority w:val="99"/>
    <w:semiHidden/>
    <w:rsid w:val="009F5040"/>
  </w:style>
  <w:style w:type="character" w:customStyle="1" w:styleId="CommentaireCar">
    <w:name w:val="Commentaire Car"/>
    <w:basedOn w:val="Policepardfaut"/>
    <w:link w:val="Commentaire"/>
    <w:uiPriority w:val="99"/>
    <w:semiHidden/>
    <w:rsid w:val="005977A0"/>
    <w:rPr>
      <w:rFonts w:ascii="Arial" w:hAnsi="Arial" w:cs="Arial"/>
      <w:sz w:val="20"/>
      <w:szCs w:val="20"/>
    </w:rPr>
  </w:style>
  <w:style w:type="paragraph" w:styleId="En-tte">
    <w:name w:val="header"/>
    <w:basedOn w:val="Normal"/>
    <w:link w:val="En-tteC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En-tteCar">
    <w:name w:val="En-tête Car"/>
    <w:basedOn w:val="Policepardfaut"/>
    <w:link w:val="En-tte"/>
    <w:uiPriority w:val="99"/>
    <w:locked/>
    <w:rsid w:val="00BF0462"/>
    <w:rPr>
      <w:rFonts w:ascii="Arial" w:hAnsi="Arial" w:cs="Arial"/>
      <w:sz w:val="56"/>
      <w:shd w:val="pct15" w:color="auto" w:fill="auto"/>
      <w:lang w:val="en-US" w:eastAsia="en-US"/>
    </w:rPr>
  </w:style>
  <w:style w:type="paragraph" w:styleId="Normalcentr">
    <w:name w:val="Block Text"/>
    <w:basedOn w:val="Normal"/>
    <w:link w:val="NormalcentrCar"/>
    <w:uiPriority w:val="99"/>
    <w:rsid w:val="009F5040"/>
    <w:pPr>
      <w:spacing w:after="60"/>
      <w:jc w:val="both"/>
    </w:pPr>
    <w:rPr>
      <w:sz w:val="22"/>
    </w:rPr>
  </w:style>
  <w:style w:type="paragraph" w:styleId="Corpsdetexte">
    <w:name w:val="Body Text"/>
    <w:basedOn w:val="Normal"/>
    <w:link w:val="CorpsdetexteCar"/>
    <w:uiPriority w:val="99"/>
    <w:rsid w:val="009F5040"/>
    <w:pPr>
      <w:tabs>
        <w:tab w:val="left" w:pos="540"/>
        <w:tab w:val="left" w:pos="1800"/>
      </w:tabs>
      <w:outlineLvl w:val="0"/>
    </w:pPr>
    <w:rPr>
      <w:color w:val="0000FF"/>
    </w:rPr>
  </w:style>
  <w:style w:type="character" w:customStyle="1" w:styleId="CorpsdetexteCar">
    <w:name w:val="Corps de texte Car"/>
    <w:basedOn w:val="Policepardfaut"/>
    <w:link w:val="Corpsdetexte"/>
    <w:uiPriority w:val="99"/>
    <w:semiHidden/>
    <w:rsid w:val="005977A0"/>
    <w:rPr>
      <w:rFonts w:ascii="Arial" w:hAnsi="Arial" w:cs="Arial"/>
      <w:sz w:val="20"/>
      <w:szCs w:val="20"/>
    </w:rPr>
  </w:style>
  <w:style w:type="paragraph" w:styleId="Retraitcorpsdetexte">
    <w:name w:val="Body Text Indent"/>
    <w:basedOn w:val="Normal"/>
    <w:link w:val="RetraitcorpsdetexteCar"/>
    <w:uiPriority w:val="99"/>
    <w:rsid w:val="009F5040"/>
    <w:pPr>
      <w:ind w:left="720"/>
    </w:pPr>
    <w:rPr>
      <w:sz w:val="22"/>
    </w:rPr>
  </w:style>
  <w:style w:type="character" w:customStyle="1" w:styleId="RetraitcorpsdetexteCar">
    <w:name w:val="Retrait corps de texte Car"/>
    <w:basedOn w:val="Policepardfaut"/>
    <w:link w:val="Retraitcorpsdetexte"/>
    <w:uiPriority w:val="99"/>
    <w:semiHidden/>
    <w:rsid w:val="005977A0"/>
    <w:rPr>
      <w:rFonts w:ascii="Arial" w:hAnsi="Arial" w:cs="Arial"/>
      <w:sz w:val="20"/>
      <w:szCs w:val="20"/>
    </w:rPr>
  </w:style>
  <w:style w:type="paragraph" w:styleId="Corpsdetexte2">
    <w:name w:val="Body Text 2"/>
    <w:basedOn w:val="Normal"/>
    <w:link w:val="Corpsdetexte2Car"/>
    <w:uiPriority w:val="99"/>
    <w:rsid w:val="009F5040"/>
    <w:rPr>
      <w:color w:val="FF0000"/>
      <w:sz w:val="22"/>
    </w:rPr>
  </w:style>
  <w:style w:type="character" w:customStyle="1" w:styleId="Corpsdetexte2Car">
    <w:name w:val="Corps de texte 2 Car"/>
    <w:basedOn w:val="Policepardfaut"/>
    <w:link w:val="Corpsdetexte2"/>
    <w:uiPriority w:val="99"/>
    <w:semiHidden/>
    <w:rsid w:val="005977A0"/>
    <w:rPr>
      <w:rFonts w:ascii="Arial" w:hAnsi="Arial" w:cs="Arial"/>
      <w:sz w:val="20"/>
      <w:szCs w:val="20"/>
    </w:rPr>
  </w:style>
  <w:style w:type="paragraph" w:styleId="Retraitcorpsdetexte2">
    <w:name w:val="Body Text Indent 2"/>
    <w:basedOn w:val="Normal"/>
    <w:link w:val="Retraitcorpsdetexte2Car"/>
    <w:uiPriority w:val="99"/>
    <w:rsid w:val="009F5040"/>
    <w:pPr>
      <w:ind w:left="720"/>
    </w:pPr>
  </w:style>
  <w:style w:type="character" w:customStyle="1" w:styleId="Retraitcorpsdetexte2Car">
    <w:name w:val="Retrait corps de texte 2 Car"/>
    <w:basedOn w:val="Policepardfaut"/>
    <w:link w:val="Retraitcorpsdetexte2"/>
    <w:uiPriority w:val="99"/>
    <w:semiHidden/>
    <w:rsid w:val="005977A0"/>
    <w:rPr>
      <w:rFonts w:ascii="Arial" w:hAnsi="Arial" w:cs="Arial"/>
      <w:sz w:val="20"/>
      <w:szCs w:val="20"/>
    </w:rPr>
  </w:style>
  <w:style w:type="paragraph" w:styleId="Pieddepage">
    <w:name w:val="footer"/>
    <w:basedOn w:val="Normal"/>
    <w:link w:val="PieddepageCar"/>
    <w:uiPriority w:val="99"/>
    <w:rsid w:val="003549AC"/>
    <w:pPr>
      <w:pBdr>
        <w:top w:val="single" w:sz="4" w:space="1" w:color="auto"/>
      </w:pBdr>
      <w:tabs>
        <w:tab w:val="center" w:pos="4320"/>
        <w:tab w:val="right" w:pos="8640"/>
      </w:tabs>
    </w:pPr>
  </w:style>
  <w:style w:type="character" w:customStyle="1" w:styleId="PieddepageCar">
    <w:name w:val="Pied de page Car"/>
    <w:basedOn w:val="Policepardfaut"/>
    <w:link w:val="Pieddepage"/>
    <w:uiPriority w:val="99"/>
    <w:locked/>
    <w:rsid w:val="003549AC"/>
    <w:rPr>
      <w:rFonts w:ascii="Arial" w:hAnsi="Arial" w:cs="Arial"/>
      <w:sz w:val="22"/>
      <w:szCs w:val="22"/>
      <w:lang w:val="en-US" w:eastAsia="en-US"/>
    </w:rPr>
  </w:style>
  <w:style w:type="character" w:styleId="Numrodepage">
    <w:name w:val="page number"/>
    <w:basedOn w:val="Policepardfaut"/>
    <w:uiPriority w:val="99"/>
    <w:rsid w:val="009F5040"/>
    <w:rPr>
      <w:rFonts w:cs="Times New Roman"/>
    </w:rPr>
  </w:style>
  <w:style w:type="paragraph" w:styleId="Retraitcorpsdetexte3">
    <w:name w:val="Body Text Indent 3"/>
    <w:basedOn w:val="Normal"/>
    <w:link w:val="Retraitcorpsdetexte3Car"/>
    <w:uiPriority w:val="99"/>
    <w:rsid w:val="009F5040"/>
    <w:pPr>
      <w:ind w:left="720"/>
    </w:pPr>
    <w:rPr>
      <w:color w:val="0000FF"/>
    </w:rPr>
  </w:style>
  <w:style w:type="character" w:customStyle="1" w:styleId="Retraitcorpsdetexte3Car">
    <w:name w:val="Retrait corps de texte 3 Car"/>
    <w:basedOn w:val="Policepardfaut"/>
    <w:link w:val="Retraitcorpsdetexte3"/>
    <w:uiPriority w:val="99"/>
    <w:semiHidden/>
    <w:rsid w:val="005977A0"/>
    <w:rPr>
      <w:rFonts w:ascii="Arial" w:hAnsi="Arial" w:cs="Arial"/>
      <w:sz w:val="16"/>
      <w:szCs w:val="16"/>
    </w:rPr>
  </w:style>
  <w:style w:type="paragraph" w:styleId="Notedebasdepage">
    <w:name w:val="footnote text"/>
    <w:basedOn w:val="Normal"/>
    <w:link w:val="NotedebasdepageCar"/>
    <w:uiPriority w:val="99"/>
    <w:semiHidden/>
    <w:rsid w:val="009F5040"/>
    <w:pPr>
      <w:jc w:val="both"/>
    </w:pPr>
    <w:rPr>
      <w:sz w:val="22"/>
    </w:rPr>
  </w:style>
  <w:style w:type="character" w:customStyle="1" w:styleId="NotedebasdepageCar">
    <w:name w:val="Note de bas de page Car"/>
    <w:basedOn w:val="Policepardfaut"/>
    <w:link w:val="Notedebasdepage"/>
    <w:uiPriority w:val="99"/>
    <w:semiHidden/>
    <w:rsid w:val="005977A0"/>
    <w:rPr>
      <w:rFonts w:ascii="Arial" w:hAnsi="Arial" w:cs="Arial"/>
      <w:sz w:val="20"/>
      <w:szCs w:val="20"/>
    </w:rPr>
  </w:style>
  <w:style w:type="character" w:styleId="Lienhypertexte">
    <w:name w:val="Hyperlink"/>
    <w:basedOn w:val="Policepardfaut"/>
    <w:uiPriority w:val="99"/>
    <w:rsid w:val="009F5040"/>
    <w:rPr>
      <w:rFonts w:cs="Times New Roman"/>
      <w:color w:val="0000FF"/>
      <w:u w:val="single"/>
    </w:rPr>
  </w:style>
  <w:style w:type="character" w:styleId="lev">
    <w:name w:val="Strong"/>
    <w:basedOn w:val="Policepardfaut"/>
    <w:uiPriority w:val="99"/>
    <w:qFormat/>
    <w:rsid w:val="009F5040"/>
    <w:rPr>
      <w:rFonts w:cs="Times New Roman"/>
      <w:b/>
      <w:bCs/>
    </w:rPr>
  </w:style>
  <w:style w:type="paragraph" w:styleId="TM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M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M3">
    <w:name w:val="toc 3"/>
    <w:basedOn w:val="Normal"/>
    <w:next w:val="Normal"/>
    <w:autoRedefine/>
    <w:uiPriority w:val="39"/>
    <w:rsid w:val="009F5040"/>
    <w:pPr>
      <w:ind w:left="240"/>
    </w:pPr>
  </w:style>
  <w:style w:type="paragraph" w:styleId="TM4">
    <w:name w:val="toc 4"/>
    <w:basedOn w:val="Normal"/>
    <w:next w:val="Normal"/>
    <w:autoRedefine/>
    <w:uiPriority w:val="99"/>
    <w:semiHidden/>
    <w:rsid w:val="009F5040"/>
    <w:pPr>
      <w:ind w:left="480"/>
    </w:pPr>
  </w:style>
  <w:style w:type="paragraph" w:styleId="TM5">
    <w:name w:val="toc 5"/>
    <w:basedOn w:val="Normal"/>
    <w:next w:val="Normal"/>
    <w:autoRedefine/>
    <w:uiPriority w:val="99"/>
    <w:semiHidden/>
    <w:rsid w:val="009F5040"/>
    <w:pPr>
      <w:ind w:left="720"/>
    </w:pPr>
  </w:style>
  <w:style w:type="paragraph" w:styleId="TM6">
    <w:name w:val="toc 6"/>
    <w:basedOn w:val="Normal"/>
    <w:next w:val="Normal"/>
    <w:autoRedefine/>
    <w:uiPriority w:val="99"/>
    <w:semiHidden/>
    <w:rsid w:val="009F5040"/>
    <w:pPr>
      <w:ind w:left="960"/>
    </w:pPr>
  </w:style>
  <w:style w:type="paragraph" w:styleId="TM7">
    <w:name w:val="toc 7"/>
    <w:basedOn w:val="Normal"/>
    <w:next w:val="Normal"/>
    <w:autoRedefine/>
    <w:uiPriority w:val="99"/>
    <w:semiHidden/>
    <w:rsid w:val="009F5040"/>
    <w:pPr>
      <w:ind w:left="1200"/>
    </w:pPr>
  </w:style>
  <w:style w:type="paragraph" w:styleId="TM8">
    <w:name w:val="toc 8"/>
    <w:basedOn w:val="Normal"/>
    <w:next w:val="Normal"/>
    <w:autoRedefine/>
    <w:uiPriority w:val="99"/>
    <w:semiHidden/>
    <w:rsid w:val="009F5040"/>
    <w:pPr>
      <w:ind w:left="1440"/>
    </w:pPr>
  </w:style>
  <w:style w:type="paragraph" w:styleId="TM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Corpsdetexte3">
    <w:name w:val="Body Text 3"/>
    <w:basedOn w:val="Normal"/>
    <w:link w:val="Corpsdetexte3Car"/>
    <w:uiPriority w:val="99"/>
    <w:rsid w:val="009F5040"/>
    <w:rPr>
      <w:sz w:val="16"/>
      <w:szCs w:val="16"/>
    </w:rPr>
  </w:style>
  <w:style w:type="character" w:customStyle="1" w:styleId="Corpsdetexte3Car">
    <w:name w:val="Corps de texte 3 Car"/>
    <w:basedOn w:val="Policepardfaut"/>
    <w:link w:val="Corpsdetexte3"/>
    <w:uiPriority w:val="99"/>
    <w:semiHidden/>
    <w:rsid w:val="005977A0"/>
    <w:rPr>
      <w:rFonts w:ascii="Arial" w:hAnsi="Arial" w:cs="Arial"/>
      <w:sz w:val="16"/>
      <w:szCs w:val="16"/>
    </w:rPr>
  </w:style>
  <w:style w:type="character" w:styleId="Appelnotedebasdep">
    <w:name w:val="footnote reference"/>
    <w:basedOn w:val="Policepardfaut"/>
    <w:uiPriority w:val="99"/>
    <w:semiHidden/>
    <w:rsid w:val="009F5040"/>
    <w:rPr>
      <w:rFonts w:cs="Times New Roman"/>
      <w:vertAlign w:val="superscript"/>
    </w:rPr>
  </w:style>
  <w:style w:type="paragraph" w:styleId="Titre">
    <w:name w:val="Title"/>
    <w:basedOn w:val="Normal"/>
    <w:next w:val="Normal"/>
    <w:link w:val="TitreCar"/>
    <w:uiPriority w:val="99"/>
    <w:qFormat/>
    <w:rsid w:val="009F5040"/>
    <w:pPr>
      <w:spacing w:before="120" w:after="240"/>
      <w:jc w:val="center"/>
    </w:pPr>
    <w:rPr>
      <w:sz w:val="56"/>
      <w:u w:val="double"/>
      <w:lang w:val="en-GB"/>
    </w:rPr>
  </w:style>
  <w:style w:type="character" w:customStyle="1" w:styleId="TitreCar">
    <w:name w:val="Titre Car"/>
    <w:basedOn w:val="Policepardfaut"/>
    <w:link w:val="Titre"/>
    <w:uiPriority w:val="99"/>
    <w:locked/>
    <w:rsid w:val="00BF0462"/>
    <w:rPr>
      <w:rFonts w:ascii="Arial" w:hAnsi="Arial" w:cs="Arial"/>
      <w:sz w:val="56"/>
      <w:u w:val="double"/>
      <w:lang w:eastAsia="en-US"/>
    </w:rPr>
  </w:style>
  <w:style w:type="character" w:customStyle="1" w:styleId="searchtextresume1">
    <w:name w:val="searchtextresume1"/>
    <w:basedOn w:val="Policepardfaut"/>
    <w:uiPriority w:val="99"/>
    <w:rsid w:val="009F5040"/>
    <w:rPr>
      <w:rFonts w:ascii="Arial" w:hAnsi="Arial" w:cs="Arial"/>
      <w:color w:val="000000"/>
      <w:sz w:val="18"/>
      <w:szCs w:val="18"/>
      <w:u w:val="none"/>
      <w:effect w:val="none"/>
    </w:rPr>
  </w:style>
  <w:style w:type="paragraph" w:styleId="Listepuces">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Policepardfau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Accentuation">
    <w:name w:val="Emphasis"/>
    <w:basedOn w:val="Policepardfaut"/>
    <w:uiPriority w:val="99"/>
    <w:qFormat/>
    <w:rsid w:val="009F5040"/>
    <w:rPr>
      <w:rFonts w:cs="Times New Roman"/>
      <w:i/>
      <w:iCs/>
    </w:rPr>
  </w:style>
  <w:style w:type="table" w:styleId="Grilledutableau">
    <w:name w:val="Table Grid"/>
    <w:basedOn w:val="Tableau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Lienhypertextesuivivisit">
    <w:name w:val="FollowedHyperlink"/>
    <w:basedOn w:val="Policepardfaut"/>
    <w:uiPriority w:val="99"/>
    <w:rsid w:val="000D3E94"/>
    <w:rPr>
      <w:rFonts w:cs="Times New Roman"/>
      <w:color w:val="800080"/>
      <w:u w:val="single"/>
    </w:rPr>
  </w:style>
  <w:style w:type="character" w:customStyle="1" w:styleId="messagetypecontextfrom">
    <w:name w:val="messagetypecontextfrom"/>
    <w:basedOn w:val="Policepardfaut"/>
    <w:uiPriority w:val="99"/>
    <w:rsid w:val="000D4C85"/>
    <w:rPr>
      <w:rFonts w:cs="Times New Roman"/>
    </w:rPr>
  </w:style>
  <w:style w:type="character" w:customStyle="1" w:styleId="messagetypecontextto">
    <w:name w:val="messagetypecontextto"/>
    <w:basedOn w:val="Policepardfaut"/>
    <w:uiPriority w:val="99"/>
    <w:rsid w:val="000D4C85"/>
    <w:rPr>
      <w:rFonts w:cs="Times New Roman"/>
    </w:rPr>
  </w:style>
  <w:style w:type="paragraph" w:styleId="Textedebulles">
    <w:name w:val="Balloon Text"/>
    <w:basedOn w:val="Normal"/>
    <w:link w:val="TextedebullesCar"/>
    <w:uiPriority w:val="99"/>
    <w:semiHidden/>
    <w:rsid w:val="0052689B"/>
    <w:rPr>
      <w:rFonts w:ascii="Tahoma" w:hAnsi="Tahoma" w:cs="Tahoma"/>
      <w:sz w:val="16"/>
      <w:szCs w:val="16"/>
    </w:rPr>
  </w:style>
  <w:style w:type="character" w:customStyle="1" w:styleId="TextedebullesCar">
    <w:name w:val="Texte de bulles Car"/>
    <w:basedOn w:val="Policepardfaut"/>
    <w:link w:val="Textedebulles"/>
    <w:uiPriority w:val="99"/>
    <w:semiHidden/>
    <w:rsid w:val="005977A0"/>
    <w:rPr>
      <w:rFonts w:cs="Arial"/>
      <w:sz w:val="0"/>
      <w:szCs w:val="0"/>
    </w:rPr>
  </w:style>
  <w:style w:type="paragraph" w:styleId="Lgende">
    <w:name w:val="caption"/>
    <w:basedOn w:val="Normal"/>
    <w:next w:val="Normal"/>
    <w:uiPriority w:val="99"/>
    <w:qFormat/>
    <w:rsid w:val="00B1091C"/>
    <w:rPr>
      <w:b/>
      <w:bCs/>
    </w:rPr>
  </w:style>
  <w:style w:type="paragraph" w:styleId="Textebrut">
    <w:name w:val="Plain Text"/>
    <w:basedOn w:val="Normal"/>
    <w:link w:val="TextebrutCar"/>
    <w:uiPriority w:val="99"/>
    <w:rsid w:val="00C67D2C"/>
    <w:rPr>
      <w:rFonts w:ascii="Consolas" w:hAnsi="Consolas"/>
      <w:lang w:val="en-GB" w:eastAsia="en-GB"/>
    </w:rPr>
  </w:style>
  <w:style w:type="character" w:customStyle="1" w:styleId="TextebrutCar">
    <w:name w:val="Texte brut Car"/>
    <w:basedOn w:val="Policepardfaut"/>
    <w:link w:val="Textebru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Normalcentr"/>
    <w:link w:val="DecisionsChar"/>
    <w:uiPriority w:val="99"/>
    <w:rsid w:val="000A0FAC"/>
    <w:rPr>
      <w:color w:val="008000"/>
      <w:sz w:val="20"/>
      <w:lang w:val="en-GB"/>
    </w:rPr>
  </w:style>
  <w:style w:type="character" w:customStyle="1" w:styleId="Title1Char">
    <w:name w:val="Title1 Char"/>
    <w:basedOn w:val="Policepardfaut"/>
    <w:link w:val="Title1"/>
    <w:uiPriority w:val="99"/>
    <w:locked/>
    <w:rsid w:val="00E07780"/>
    <w:rPr>
      <w:rFonts w:ascii="Arial" w:hAnsi="Arial" w:cs="Arial"/>
      <w:b/>
      <w:sz w:val="32"/>
      <w:szCs w:val="32"/>
      <w:u w:val="single"/>
      <w:lang w:eastAsia="en-US"/>
    </w:rPr>
  </w:style>
  <w:style w:type="paragraph" w:customStyle="1" w:styleId="Actions">
    <w:name w:val="Actions"/>
    <w:basedOn w:val="Normalcentr"/>
    <w:link w:val="ActionsChar"/>
    <w:uiPriority w:val="99"/>
    <w:rsid w:val="008F2189"/>
    <w:pPr>
      <w:spacing w:before="120"/>
    </w:pPr>
    <w:rPr>
      <w:color w:val="FF0000"/>
      <w:sz w:val="20"/>
      <w:lang w:val="en-GB"/>
    </w:rPr>
  </w:style>
  <w:style w:type="character" w:customStyle="1" w:styleId="NormalcentrCar">
    <w:name w:val="Normal centré Car"/>
    <w:basedOn w:val="Policepardfaut"/>
    <w:link w:val="Normalcentr"/>
    <w:uiPriority w:val="99"/>
    <w:locked/>
    <w:rsid w:val="00B80712"/>
    <w:rPr>
      <w:rFonts w:ascii="Arial" w:hAnsi="Arial" w:cs="Arial"/>
      <w:sz w:val="22"/>
      <w:lang w:val="en-US" w:eastAsia="en-US"/>
    </w:rPr>
  </w:style>
  <w:style w:type="character" w:customStyle="1" w:styleId="DecisionsChar">
    <w:name w:val="Decisions Char"/>
    <w:basedOn w:val="NormalcentrCar"/>
    <w:link w:val="Decisions"/>
    <w:uiPriority w:val="99"/>
    <w:locked/>
    <w:rsid w:val="000A0FAC"/>
    <w:rPr>
      <w:rFonts w:ascii="Arial" w:hAnsi="Arial" w:cs="Arial"/>
      <w:color w:val="008000"/>
      <w:sz w:val="22"/>
      <w:lang w:val="en-US" w:eastAsia="en-US"/>
    </w:rPr>
  </w:style>
  <w:style w:type="character" w:customStyle="1" w:styleId="ActionsChar">
    <w:name w:val="Actions Char"/>
    <w:basedOn w:val="NormalcentrC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Paragraphedeliste">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Policepardfau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En-ttedetabledesmatires">
    <w:name w:val="TOC Heading"/>
    <w:basedOn w:val="Titre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Titre1">
    <w:name w:val="heading 1"/>
    <w:basedOn w:val="Normal"/>
    <w:next w:val="Normal"/>
    <w:link w:val="Titre1Car"/>
    <w:uiPriority w:val="99"/>
    <w:qFormat/>
    <w:rsid w:val="00110DA4"/>
    <w:pPr>
      <w:keepNext/>
      <w:numPr>
        <w:numId w:val="4"/>
      </w:numPr>
      <w:spacing w:before="360" w:after="240"/>
      <w:outlineLvl w:val="0"/>
    </w:pPr>
    <w:rPr>
      <w:b/>
      <w:kern w:val="28"/>
      <w:sz w:val="24"/>
      <w:u w:val="single"/>
      <w:lang w:eastAsia="en-GB"/>
    </w:rPr>
  </w:style>
  <w:style w:type="paragraph" w:styleId="Titre2">
    <w:name w:val="heading 2"/>
    <w:aliases w:val="TSBTWO"/>
    <w:basedOn w:val="Normal"/>
    <w:next w:val="Normalcentr"/>
    <w:link w:val="Titre2Car"/>
    <w:uiPriority w:val="99"/>
    <w:qFormat/>
    <w:rsid w:val="00AC3C0E"/>
    <w:pPr>
      <w:keepNext/>
      <w:numPr>
        <w:numId w:val="11"/>
      </w:numPr>
      <w:spacing w:before="240"/>
      <w:jc w:val="both"/>
      <w:outlineLvl w:val="1"/>
    </w:pPr>
    <w:rPr>
      <w:b/>
      <w:color w:val="000000"/>
      <w:u w:val="single"/>
    </w:rPr>
  </w:style>
  <w:style w:type="paragraph" w:styleId="Titre3">
    <w:name w:val="heading 3"/>
    <w:aliases w:val="TSBTHREE"/>
    <w:basedOn w:val="Normal"/>
    <w:next w:val="Normal"/>
    <w:link w:val="Titre3Car"/>
    <w:uiPriority w:val="99"/>
    <w:qFormat/>
    <w:rsid w:val="009F5040"/>
    <w:pPr>
      <w:keepNext/>
      <w:numPr>
        <w:ilvl w:val="2"/>
        <w:numId w:val="1"/>
      </w:numPr>
      <w:spacing w:before="200" w:after="60"/>
      <w:jc w:val="both"/>
      <w:outlineLvl w:val="2"/>
    </w:pPr>
    <w:rPr>
      <w:sz w:val="22"/>
      <w:u w:val="single"/>
      <w:lang w:val="en-GB"/>
    </w:rPr>
  </w:style>
  <w:style w:type="paragraph" w:styleId="Titre4">
    <w:name w:val="heading 4"/>
    <w:aliases w:val="TSBFOUR"/>
    <w:basedOn w:val="Normal"/>
    <w:next w:val="Normal"/>
    <w:link w:val="Titre4Car"/>
    <w:uiPriority w:val="99"/>
    <w:qFormat/>
    <w:rsid w:val="009F5040"/>
    <w:pPr>
      <w:keepNext/>
      <w:spacing w:before="80"/>
      <w:outlineLvl w:val="3"/>
    </w:pPr>
    <w:rPr>
      <w:b/>
      <w:i/>
      <w:sz w:val="22"/>
      <w:lang w:val="en-GB"/>
    </w:rPr>
  </w:style>
  <w:style w:type="paragraph" w:styleId="Titre5">
    <w:name w:val="heading 5"/>
    <w:basedOn w:val="Normal"/>
    <w:next w:val="Normal"/>
    <w:link w:val="Titre5Car"/>
    <w:uiPriority w:val="99"/>
    <w:qFormat/>
    <w:rsid w:val="009F5040"/>
    <w:pPr>
      <w:spacing w:before="240" w:after="60"/>
      <w:jc w:val="both"/>
      <w:outlineLvl w:val="4"/>
    </w:pPr>
    <w:rPr>
      <w:sz w:val="22"/>
    </w:rPr>
  </w:style>
  <w:style w:type="paragraph" w:styleId="Titre6">
    <w:name w:val="heading 6"/>
    <w:basedOn w:val="Normal"/>
    <w:next w:val="Normal"/>
    <w:link w:val="Titre6Car"/>
    <w:uiPriority w:val="99"/>
    <w:qFormat/>
    <w:rsid w:val="009F5040"/>
    <w:pPr>
      <w:spacing w:before="240" w:after="60"/>
      <w:jc w:val="both"/>
      <w:outlineLvl w:val="5"/>
    </w:pPr>
    <w:rPr>
      <w:i/>
      <w:sz w:val="22"/>
    </w:rPr>
  </w:style>
  <w:style w:type="paragraph" w:styleId="Titre7">
    <w:name w:val="heading 7"/>
    <w:basedOn w:val="Normal"/>
    <w:next w:val="Normal"/>
    <w:link w:val="Titre7Car"/>
    <w:uiPriority w:val="99"/>
    <w:qFormat/>
    <w:rsid w:val="009F5040"/>
    <w:pPr>
      <w:spacing w:before="240" w:after="60"/>
      <w:jc w:val="both"/>
      <w:outlineLvl w:val="6"/>
    </w:pPr>
    <w:rPr>
      <w:sz w:val="22"/>
    </w:rPr>
  </w:style>
  <w:style w:type="paragraph" w:styleId="Titre8">
    <w:name w:val="heading 8"/>
    <w:basedOn w:val="Normal"/>
    <w:next w:val="Normal"/>
    <w:link w:val="Titre8Car"/>
    <w:uiPriority w:val="99"/>
    <w:qFormat/>
    <w:rsid w:val="009F5040"/>
    <w:pPr>
      <w:keepNext/>
      <w:spacing w:after="60"/>
      <w:jc w:val="center"/>
      <w:outlineLvl w:val="7"/>
    </w:pPr>
    <w:rPr>
      <w:color w:val="FFFFFF"/>
      <w:sz w:val="22"/>
      <w:u w:val="single"/>
      <w:lang w:val="es-ES"/>
    </w:rPr>
  </w:style>
  <w:style w:type="paragraph" w:styleId="Titre9">
    <w:name w:val="heading 9"/>
    <w:basedOn w:val="Normal"/>
    <w:next w:val="Normal"/>
    <w:link w:val="Titre9Car"/>
    <w:uiPriority w:val="99"/>
    <w:qFormat/>
    <w:rsid w:val="009F5040"/>
    <w:pPr>
      <w:spacing w:before="240" w:after="60"/>
      <w:jc w:val="both"/>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0DA4"/>
    <w:rPr>
      <w:rFonts w:ascii="Arial" w:hAnsi="Arial" w:cs="Arial"/>
      <w:b/>
      <w:kern w:val="28"/>
      <w:sz w:val="24"/>
      <w:szCs w:val="20"/>
      <w:u w:val="single"/>
      <w:lang w:eastAsia="en-GB"/>
    </w:rPr>
  </w:style>
  <w:style w:type="character" w:customStyle="1" w:styleId="Titre2Car">
    <w:name w:val="Titre 2 Car"/>
    <w:aliases w:val="TSBTWO Car"/>
    <w:basedOn w:val="Policepardfaut"/>
    <w:link w:val="Titre2"/>
    <w:uiPriority w:val="99"/>
    <w:rsid w:val="00AC3C0E"/>
    <w:rPr>
      <w:rFonts w:ascii="Arial" w:hAnsi="Arial" w:cs="Arial"/>
      <w:b/>
      <w:color w:val="000000"/>
      <w:sz w:val="20"/>
      <w:szCs w:val="20"/>
      <w:u w:val="single"/>
    </w:rPr>
  </w:style>
  <w:style w:type="character" w:customStyle="1" w:styleId="Titre3Car">
    <w:name w:val="Titre 3 Car"/>
    <w:aliases w:val="TSBTHREE Car"/>
    <w:basedOn w:val="Policepardfaut"/>
    <w:link w:val="Titre3"/>
    <w:uiPriority w:val="99"/>
    <w:rsid w:val="005977A0"/>
    <w:rPr>
      <w:rFonts w:ascii="Arial" w:hAnsi="Arial" w:cs="Arial"/>
      <w:szCs w:val="20"/>
      <w:u w:val="single"/>
      <w:lang w:val="en-GB"/>
    </w:rPr>
  </w:style>
  <w:style w:type="character" w:customStyle="1" w:styleId="Titre4Car">
    <w:name w:val="Titre 4 Car"/>
    <w:aliases w:val="TSBFOUR Car"/>
    <w:basedOn w:val="Policepardfaut"/>
    <w:link w:val="Titre4"/>
    <w:uiPriority w:val="9"/>
    <w:semiHidden/>
    <w:rsid w:val="005977A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77A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77A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977A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977A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977A0"/>
    <w:rPr>
      <w:rFonts w:asciiTheme="majorHAnsi" w:eastAsiaTheme="majorEastAsia" w:hAnsiTheme="majorHAnsi" w:cstheme="majorBidi"/>
    </w:rPr>
  </w:style>
  <w:style w:type="paragraph" w:styleId="Commentaire">
    <w:name w:val="annotation text"/>
    <w:basedOn w:val="Normal"/>
    <w:link w:val="CommentaireCar"/>
    <w:uiPriority w:val="99"/>
    <w:semiHidden/>
    <w:rsid w:val="009F5040"/>
  </w:style>
  <w:style w:type="character" w:customStyle="1" w:styleId="CommentaireCar">
    <w:name w:val="Commentaire Car"/>
    <w:basedOn w:val="Policepardfaut"/>
    <w:link w:val="Commentaire"/>
    <w:uiPriority w:val="99"/>
    <w:semiHidden/>
    <w:rsid w:val="005977A0"/>
    <w:rPr>
      <w:rFonts w:ascii="Arial" w:hAnsi="Arial" w:cs="Arial"/>
      <w:sz w:val="20"/>
      <w:szCs w:val="20"/>
    </w:rPr>
  </w:style>
  <w:style w:type="paragraph" w:styleId="En-tte">
    <w:name w:val="header"/>
    <w:basedOn w:val="Normal"/>
    <w:link w:val="En-tteC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En-tteCar">
    <w:name w:val="En-tête Car"/>
    <w:basedOn w:val="Policepardfaut"/>
    <w:link w:val="En-tte"/>
    <w:uiPriority w:val="99"/>
    <w:locked/>
    <w:rsid w:val="00BF0462"/>
    <w:rPr>
      <w:rFonts w:ascii="Arial" w:hAnsi="Arial" w:cs="Arial"/>
      <w:sz w:val="56"/>
      <w:shd w:val="pct15" w:color="auto" w:fill="auto"/>
      <w:lang w:val="en-US" w:eastAsia="en-US"/>
    </w:rPr>
  </w:style>
  <w:style w:type="paragraph" w:styleId="Normalcentr">
    <w:name w:val="Block Text"/>
    <w:basedOn w:val="Normal"/>
    <w:link w:val="NormalcentrCar"/>
    <w:uiPriority w:val="99"/>
    <w:rsid w:val="009F5040"/>
    <w:pPr>
      <w:spacing w:after="60"/>
      <w:jc w:val="both"/>
    </w:pPr>
    <w:rPr>
      <w:sz w:val="22"/>
    </w:rPr>
  </w:style>
  <w:style w:type="paragraph" w:styleId="Corpsdetexte">
    <w:name w:val="Body Text"/>
    <w:basedOn w:val="Normal"/>
    <w:link w:val="CorpsdetexteCar"/>
    <w:uiPriority w:val="99"/>
    <w:rsid w:val="009F5040"/>
    <w:pPr>
      <w:tabs>
        <w:tab w:val="left" w:pos="540"/>
        <w:tab w:val="left" w:pos="1800"/>
      </w:tabs>
      <w:outlineLvl w:val="0"/>
    </w:pPr>
    <w:rPr>
      <w:color w:val="0000FF"/>
    </w:rPr>
  </w:style>
  <w:style w:type="character" w:customStyle="1" w:styleId="CorpsdetexteCar">
    <w:name w:val="Corps de texte Car"/>
    <w:basedOn w:val="Policepardfaut"/>
    <w:link w:val="Corpsdetexte"/>
    <w:uiPriority w:val="99"/>
    <w:semiHidden/>
    <w:rsid w:val="005977A0"/>
    <w:rPr>
      <w:rFonts w:ascii="Arial" w:hAnsi="Arial" w:cs="Arial"/>
      <w:sz w:val="20"/>
      <w:szCs w:val="20"/>
    </w:rPr>
  </w:style>
  <w:style w:type="paragraph" w:styleId="Retraitcorpsdetexte">
    <w:name w:val="Body Text Indent"/>
    <w:basedOn w:val="Normal"/>
    <w:link w:val="RetraitcorpsdetexteCar"/>
    <w:uiPriority w:val="99"/>
    <w:rsid w:val="009F5040"/>
    <w:pPr>
      <w:ind w:left="720"/>
    </w:pPr>
    <w:rPr>
      <w:sz w:val="22"/>
    </w:rPr>
  </w:style>
  <w:style w:type="character" w:customStyle="1" w:styleId="RetraitcorpsdetexteCar">
    <w:name w:val="Retrait corps de texte Car"/>
    <w:basedOn w:val="Policepardfaut"/>
    <w:link w:val="Retraitcorpsdetexte"/>
    <w:uiPriority w:val="99"/>
    <w:semiHidden/>
    <w:rsid w:val="005977A0"/>
    <w:rPr>
      <w:rFonts w:ascii="Arial" w:hAnsi="Arial" w:cs="Arial"/>
      <w:sz w:val="20"/>
      <w:szCs w:val="20"/>
    </w:rPr>
  </w:style>
  <w:style w:type="paragraph" w:styleId="Corpsdetexte2">
    <w:name w:val="Body Text 2"/>
    <w:basedOn w:val="Normal"/>
    <w:link w:val="Corpsdetexte2Car"/>
    <w:uiPriority w:val="99"/>
    <w:rsid w:val="009F5040"/>
    <w:rPr>
      <w:color w:val="FF0000"/>
      <w:sz w:val="22"/>
    </w:rPr>
  </w:style>
  <w:style w:type="character" w:customStyle="1" w:styleId="Corpsdetexte2Car">
    <w:name w:val="Corps de texte 2 Car"/>
    <w:basedOn w:val="Policepardfaut"/>
    <w:link w:val="Corpsdetexte2"/>
    <w:uiPriority w:val="99"/>
    <w:semiHidden/>
    <w:rsid w:val="005977A0"/>
    <w:rPr>
      <w:rFonts w:ascii="Arial" w:hAnsi="Arial" w:cs="Arial"/>
      <w:sz w:val="20"/>
      <w:szCs w:val="20"/>
    </w:rPr>
  </w:style>
  <w:style w:type="paragraph" w:styleId="Retraitcorpsdetexte2">
    <w:name w:val="Body Text Indent 2"/>
    <w:basedOn w:val="Normal"/>
    <w:link w:val="Retraitcorpsdetexte2Car"/>
    <w:uiPriority w:val="99"/>
    <w:rsid w:val="009F5040"/>
    <w:pPr>
      <w:ind w:left="720"/>
    </w:pPr>
  </w:style>
  <w:style w:type="character" w:customStyle="1" w:styleId="Retraitcorpsdetexte2Car">
    <w:name w:val="Retrait corps de texte 2 Car"/>
    <w:basedOn w:val="Policepardfaut"/>
    <w:link w:val="Retraitcorpsdetexte2"/>
    <w:uiPriority w:val="99"/>
    <w:semiHidden/>
    <w:rsid w:val="005977A0"/>
    <w:rPr>
      <w:rFonts w:ascii="Arial" w:hAnsi="Arial" w:cs="Arial"/>
      <w:sz w:val="20"/>
      <w:szCs w:val="20"/>
    </w:rPr>
  </w:style>
  <w:style w:type="paragraph" w:styleId="Pieddepage">
    <w:name w:val="footer"/>
    <w:basedOn w:val="Normal"/>
    <w:link w:val="PieddepageCar"/>
    <w:uiPriority w:val="99"/>
    <w:rsid w:val="003549AC"/>
    <w:pPr>
      <w:pBdr>
        <w:top w:val="single" w:sz="4" w:space="1" w:color="auto"/>
      </w:pBdr>
      <w:tabs>
        <w:tab w:val="center" w:pos="4320"/>
        <w:tab w:val="right" w:pos="8640"/>
      </w:tabs>
    </w:pPr>
  </w:style>
  <w:style w:type="character" w:customStyle="1" w:styleId="PieddepageCar">
    <w:name w:val="Pied de page Car"/>
    <w:basedOn w:val="Policepardfaut"/>
    <w:link w:val="Pieddepage"/>
    <w:uiPriority w:val="99"/>
    <w:locked/>
    <w:rsid w:val="003549AC"/>
    <w:rPr>
      <w:rFonts w:ascii="Arial" w:hAnsi="Arial" w:cs="Arial"/>
      <w:sz w:val="22"/>
      <w:szCs w:val="22"/>
      <w:lang w:val="en-US" w:eastAsia="en-US"/>
    </w:rPr>
  </w:style>
  <w:style w:type="character" w:styleId="Numrodepage">
    <w:name w:val="page number"/>
    <w:basedOn w:val="Policepardfaut"/>
    <w:uiPriority w:val="99"/>
    <w:rsid w:val="009F5040"/>
    <w:rPr>
      <w:rFonts w:cs="Times New Roman"/>
    </w:rPr>
  </w:style>
  <w:style w:type="paragraph" w:styleId="Retraitcorpsdetexte3">
    <w:name w:val="Body Text Indent 3"/>
    <w:basedOn w:val="Normal"/>
    <w:link w:val="Retraitcorpsdetexte3Car"/>
    <w:uiPriority w:val="99"/>
    <w:rsid w:val="009F5040"/>
    <w:pPr>
      <w:ind w:left="720"/>
    </w:pPr>
    <w:rPr>
      <w:color w:val="0000FF"/>
    </w:rPr>
  </w:style>
  <w:style w:type="character" w:customStyle="1" w:styleId="Retraitcorpsdetexte3Car">
    <w:name w:val="Retrait corps de texte 3 Car"/>
    <w:basedOn w:val="Policepardfaut"/>
    <w:link w:val="Retraitcorpsdetexte3"/>
    <w:uiPriority w:val="99"/>
    <w:semiHidden/>
    <w:rsid w:val="005977A0"/>
    <w:rPr>
      <w:rFonts w:ascii="Arial" w:hAnsi="Arial" w:cs="Arial"/>
      <w:sz w:val="16"/>
      <w:szCs w:val="16"/>
    </w:rPr>
  </w:style>
  <w:style w:type="paragraph" w:styleId="Notedebasdepage">
    <w:name w:val="footnote text"/>
    <w:basedOn w:val="Normal"/>
    <w:link w:val="NotedebasdepageCar"/>
    <w:uiPriority w:val="99"/>
    <w:semiHidden/>
    <w:rsid w:val="009F5040"/>
    <w:pPr>
      <w:jc w:val="both"/>
    </w:pPr>
    <w:rPr>
      <w:sz w:val="22"/>
    </w:rPr>
  </w:style>
  <w:style w:type="character" w:customStyle="1" w:styleId="NotedebasdepageCar">
    <w:name w:val="Note de bas de page Car"/>
    <w:basedOn w:val="Policepardfaut"/>
    <w:link w:val="Notedebasdepage"/>
    <w:uiPriority w:val="99"/>
    <w:semiHidden/>
    <w:rsid w:val="005977A0"/>
    <w:rPr>
      <w:rFonts w:ascii="Arial" w:hAnsi="Arial" w:cs="Arial"/>
      <w:sz w:val="20"/>
      <w:szCs w:val="20"/>
    </w:rPr>
  </w:style>
  <w:style w:type="character" w:styleId="Lienhypertexte">
    <w:name w:val="Hyperlink"/>
    <w:basedOn w:val="Policepardfaut"/>
    <w:uiPriority w:val="99"/>
    <w:rsid w:val="009F5040"/>
    <w:rPr>
      <w:rFonts w:cs="Times New Roman"/>
      <w:color w:val="0000FF"/>
      <w:u w:val="single"/>
    </w:rPr>
  </w:style>
  <w:style w:type="character" w:styleId="lev">
    <w:name w:val="Strong"/>
    <w:basedOn w:val="Policepardfaut"/>
    <w:uiPriority w:val="99"/>
    <w:qFormat/>
    <w:rsid w:val="009F5040"/>
    <w:rPr>
      <w:rFonts w:cs="Times New Roman"/>
      <w:b/>
      <w:bCs/>
    </w:rPr>
  </w:style>
  <w:style w:type="paragraph" w:styleId="TM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M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M3">
    <w:name w:val="toc 3"/>
    <w:basedOn w:val="Normal"/>
    <w:next w:val="Normal"/>
    <w:autoRedefine/>
    <w:uiPriority w:val="39"/>
    <w:rsid w:val="009F5040"/>
    <w:pPr>
      <w:ind w:left="240"/>
    </w:pPr>
  </w:style>
  <w:style w:type="paragraph" w:styleId="TM4">
    <w:name w:val="toc 4"/>
    <w:basedOn w:val="Normal"/>
    <w:next w:val="Normal"/>
    <w:autoRedefine/>
    <w:uiPriority w:val="99"/>
    <w:semiHidden/>
    <w:rsid w:val="009F5040"/>
    <w:pPr>
      <w:ind w:left="480"/>
    </w:pPr>
  </w:style>
  <w:style w:type="paragraph" w:styleId="TM5">
    <w:name w:val="toc 5"/>
    <w:basedOn w:val="Normal"/>
    <w:next w:val="Normal"/>
    <w:autoRedefine/>
    <w:uiPriority w:val="99"/>
    <w:semiHidden/>
    <w:rsid w:val="009F5040"/>
    <w:pPr>
      <w:ind w:left="720"/>
    </w:pPr>
  </w:style>
  <w:style w:type="paragraph" w:styleId="TM6">
    <w:name w:val="toc 6"/>
    <w:basedOn w:val="Normal"/>
    <w:next w:val="Normal"/>
    <w:autoRedefine/>
    <w:uiPriority w:val="99"/>
    <w:semiHidden/>
    <w:rsid w:val="009F5040"/>
    <w:pPr>
      <w:ind w:left="960"/>
    </w:pPr>
  </w:style>
  <w:style w:type="paragraph" w:styleId="TM7">
    <w:name w:val="toc 7"/>
    <w:basedOn w:val="Normal"/>
    <w:next w:val="Normal"/>
    <w:autoRedefine/>
    <w:uiPriority w:val="99"/>
    <w:semiHidden/>
    <w:rsid w:val="009F5040"/>
    <w:pPr>
      <w:ind w:left="1200"/>
    </w:pPr>
  </w:style>
  <w:style w:type="paragraph" w:styleId="TM8">
    <w:name w:val="toc 8"/>
    <w:basedOn w:val="Normal"/>
    <w:next w:val="Normal"/>
    <w:autoRedefine/>
    <w:uiPriority w:val="99"/>
    <w:semiHidden/>
    <w:rsid w:val="009F5040"/>
    <w:pPr>
      <w:ind w:left="1440"/>
    </w:pPr>
  </w:style>
  <w:style w:type="paragraph" w:styleId="TM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Corpsdetexte3">
    <w:name w:val="Body Text 3"/>
    <w:basedOn w:val="Normal"/>
    <w:link w:val="Corpsdetexte3Car"/>
    <w:uiPriority w:val="99"/>
    <w:rsid w:val="009F5040"/>
    <w:rPr>
      <w:sz w:val="16"/>
      <w:szCs w:val="16"/>
    </w:rPr>
  </w:style>
  <w:style w:type="character" w:customStyle="1" w:styleId="Corpsdetexte3Car">
    <w:name w:val="Corps de texte 3 Car"/>
    <w:basedOn w:val="Policepardfaut"/>
    <w:link w:val="Corpsdetexte3"/>
    <w:uiPriority w:val="99"/>
    <w:semiHidden/>
    <w:rsid w:val="005977A0"/>
    <w:rPr>
      <w:rFonts w:ascii="Arial" w:hAnsi="Arial" w:cs="Arial"/>
      <w:sz w:val="16"/>
      <w:szCs w:val="16"/>
    </w:rPr>
  </w:style>
  <w:style w:type="character" w:styleId="Appelnotedebasdep">
    <w:name w:val="footnote reference"/>
    <w:basedOn w:val="Policepardfaut"/>
    <w:uiPriority w:val="99"/>
    <w:semiHidden/>
    <w:rsid w:val="009F5040"/>
    <w:rPr>
      <w:rFonts w:cs="Times New Roman"/>
      <w:vertAlign w:val="superscript"/>
    </w:rPr>
  </w:style>
  <w:style w:type="paragraph" w:styleId="Titre">
    <w:name w:val="Title"/>
    <w:basedOn w:val="Normal"/>
    <w:next w:val="Normal"/>
    <w:link w:val="TitreCar"/>
    <w:uiPriority w:val="99"/>
    <w:qFormat/>
    <w:rsid w:val="009F5040"/>
    <w:pPr>
      <w:spacing w:before="120" w:after="240"/>
      <w:jc w:val="center"/>
    </w:pPr>
    <w:rPr>
      <w:sz w:val="56"/>
      <w:u w:val="double"/>
      <w:lang w:val="en-GB"/>
    </w:rPr>
  </w:style>
  <w:style w:type="character" w:customStyle="1" w:styleId="TitreCar">
    <w:name w:val="Titre Car"/>
    <w:basedOn w:val="Policepardfaut"/>
    <w:link w:val="Titre"/>
    <w:uiPriority w:val="99"/>
    <w:locked/>
    <w:rsid w:val="00BF0462"/>
    <w:rPr>
      <w:rFonts w:ascii="Arial" w:hAnsi="Arial" w:cs="Arial"/>
      <w:sz w:val="56"/>
      <w:u w:val="double"/>
      <w:lang w:eastAsia="en-US"/>
    </w:rPr>
  </w:style>
  <w:style w:type="character" w:customStyle="1" w:styleId="searchtextresume1">
    <w:name w:val="searchtextresume1"/>
    <w:basedOn w:val="Policepardfaut"/>
    <w:uiPriority w:val="99"/>
    <w:rsid w:val="009F5040"/>
    <w:rPr>
      <w:rFonts w:ascii="Arial" w:hAnsi="Arial" w:cs="Arial"/>
      <w:color w:val="000000"/>
      <w:sz w:val="18"/>
      <w:szCs w:val="18"/>
      <w:u w:val="none"/>
      <w:effect w:val="none"/>
    </w:rPr>
  </w:style>
  <w:style w:type="paragraph" w:styleId="Listepuces">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Policepardfau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Accentuation">
    <w:name w:val="Emphasis"/>
    <w:basedOn w:val="Policepardfaut"/>
    <w:uiPriority w:val="99"/>
    <w:qFormat/>
    <w:rsid w:val="009F5040"/>
    <w:rPr>
      <w:rFonts w:cs="Times New Roman"/>
      <w:i/>
      <w:iCs/>
    </w:rPr>
  </w:style>
  <w:style w:type="table" w:styleId="Grilledutableau">
    <w:name w:val="Table Grid"/>
    <w:basedOn w:val="Tableau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Lienhypertextesuivivisit">
    <w:name w:val="FollowedHyperlink"/>
    <w:basedOn w:val="Policepardfaut"/>
    <w:uiPriority w:val="99"/>
    <w:rsid w:val="000D3E94"/>
    <w:rPr>
      <w:rFonts w:cs="Times New Roman"/>
      <w:color w:val="800080"/>
      <w:u w:val="single"/>
    </w:rPr>
  </w:style>
  <w:style w:type="character" w:customStyle="1" w:styleId="messagetypecontextfrom">
    <w:name w:val="messagetypecontextfrom"/>
    <w:basedOn w:val="Policepardfaut"/>
    <w:uiPriority w:val="99"/>
    <w:rsid w:val="000D4C85"/>
    <w:rPr>
      <w:rFonts w:cs="Times New Roman"/>
    </w:rPr>
  </w:style>
  <w:style w:type="character" w:customStyle="1" w:styleId="messagetypecontextto">
    <w:name w:val="messagetypecontextto"/>
    <w:basedOn w:val="Policepardfaut"/>
    <w:uiPriority w:val="99"/>
    <w:rsid w:val="000D4C85"/>
    <w:rPr>
      <w:rFonts w:cs="Times New Roman"/>
    </w:rPr>
  </w:style>
  <w:style w:type="paragraph" w:styleId="Textedebulles">
    <w:name w:val="Balloon Text"/>
    <w:basedOn w:val="Normal"/>
    <w:link w:val="TextedebullesCar"/>
    <w:uiPriority w:val="99"/>
    <w:semiHidden/>
    <w:rsid w:val="0052689B"/>
    <w:rPr>
      <w:rFonts w:ascii="Tahoma" w:hAnsi="Tahoma" w:cs="Tahoma"/>
      <w:sz w:val="16"/>
      <w:szCs w:val="16"/>
    </w:rPr>
  </w:style>
  <w:style w:type="character" w:customStyle="1" w:styleId="TextedebullesCar">
    <w:name w:val="Texte de bulles Car"/>
    <w:basedOn w:val="Policepardfaut"/>
    <w:link w:val="Textedebulles"/>
    <w:uiPriority w:val="99"/>
    <w:semiHidden/>
    <w:rsid w:val="005977A0"/>
    <w:rPr>
      <w:rFonts w:cs="Arial"/>
      <w:sz w:val="0"/>
      <w:szCs w:val="0"/>
    </w:rPr>
  </w:style>
  <w:style w:type="paragraph" w:styleId="Lgende">
    <w:name w:val="caption"/>
    <w:basedOn w:val="Normal"/>
    <w:next w:val="Normal"/>
    <w:uiPriority w:val="99"/>
    <w:qFormat/>
    <w:rsid w:val="00B1091C"/>
    <w:rPr>
      <w:b/>
      <w:bCs/>
    </w:rPr>
  </w:style>
  <w:style w:type="paragraph" w:styleId="Textebrut">
    <w:name w:val="Plain Text"/>
    <w:basedOn w:val="Normal"/>
    <w:link w:val="TextebrutCar"/>
    <w:uiPriority w:val="99"/>
    <w:rsid w:val="00C67D2C"/>
    <w:rPr>
      <w:rFonts w:ascii="Consolas" w:hAnsi="Consolas"/>
      <w:lang w:val="en-GB" w:eastAsia="en-GB"/>
    </w:rPr>
  </w:style>
  <w:style w:type="character" w:customStyle="1" w:styleId="TextebrutCar">
    <w:name w:val="Texte brut Car"/>
    <w:basedOn w:val="Policepardfaut"/>
    <w:link w:val="Textebru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Normalcentr"/>
    <w:link w:val="DecisionsChar"/>
    <w:uiPriority w:val="99"/>
    <w:rsid w:val="000A0FAC"/>
    <w:rPr>
      <w:color w:val="008000"/>
      <w:sz w:val="20"/>
      <w:lang w:val="en-GB"/>
    </w:rPr>
  </w:style>
  <w:style w:type="character" w:customStyle="1" w:styleId="Title1Char">
    <w:name w:val="Title1 Char"/>
    <w:basedOn w:val="Policepardfaut"/>
    <w:link w:val="Title1"/>
    <w:uiPriority w:val="99"/>
    <w:locked/>
    <w:rsid w:val="00E07780"/>
    <w:rPr>
      <w:rFonts w:ascii="Arial" w:hAnsi="Arial" w:cs="Arial"/>
      <w:b/>
      <w:sz w:val="32"/>
      <w:szCs w:val="32"/>
      <w:u w:val="single"/>
      <w:lang w:eastAsia="en-US"/>
    </w:rPr>
  </w:style>
  <w:style w:type="paragraph" w:customStyle="1" w:styleId="Actions">
    <w:name w:val="Actions"/>
    <w:basedOn w:val="Normalcentr"/>
    <w:link w:val="ActionsChar"/>
    <w:uiPriority w:val="99"/>
    <w:rsid w:val="008F2189"/>
    <w:pPr>
      <w:spacing w:before="120"/>
    </w:pPr>
    <w:rPr>
      <w:color w:val="FF0000"/>
      <w:sz w:val="20"/>
      <w:lang w:val="en-GB"/>
    </w:rPr>
  </w:style>
  <w:style w:type="character" w:customStyle="1" w:styleId="NormalcentrCar">
    <w:name w:val="Normal centré Car"/>
    <w:basedOn w:val="Policepardfaut"/>
    <w:link w:val="Normalcentr"/>
    <w:uiPriority w:val="99"/>
    <w:locked/>
    <w:rsid w:val="00B80712"/>
    <w:rPr>
      <w:rFonts w:ascii="Arial" w:hAnsi="Arial" w:cs="Arial"/>
      <w:sz w:val="22"/>
      <w:lang w:val="en-US" w:eastAsia="en-US"/>
    </w:rPr>
  </w:style>
  <w:style w:type="character" w:customStyle="1" w:styleId="DecisionsChar">
    <w:name w:val="Decisions Char"/>
    <w:basedOn w:val="NormalcentrCar"/>
    <w:link w:val="Decisions"/>
    <w:uiPriority w:val="99"/>
    <w:locked/>
    <w:rsid w:val="000A0FAC"/>
    <w:rPr>
      <w:rFonts w:ascii="Arial" w:hAnsi="Arial" w:cs="Arial"/>
      <w:color w:val="008000"/>
      <w:sz w:val="22"/>
      <w:lang w:val="en-US" w:eastAsia="en-US"/>
    </w:rPr>
  </w:style>
  <w:style w:type="character" w:customStyle="1" w:styleId="ActionsChar">
    <w:name w:val="Actions Char"/>
    <w:basedOn w:val="NormalcentrC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Paragraphedeliste">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Policepardfau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En-ttedetabledesmatires">
    <w:name w:val="TOC Heading"/>
    <w:basedOn w:val="Titre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Document_Microsoft_Word2.doc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Feuille_de_calcul_Microsoft_Excel5.xls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Pr_sentation_Microsoft_PowerPoint_97-20031.ppt"/><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Feuille_de_calcul_Microsoft_Excel1.xlsx"/><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Document_Microsoft_Word3.docx"/><Relationship Id="rId23" Type="http://schemas.openxmlformats.org/officeDocument/2006/relationships/oleObject" Target="embeddings/oleObject1.bin"/><Relationship Id="rId10" Type="http://schemas.openxmlformats.org/officeDocument/2006/relationships/image" Target="media/image2.emf"/><Relationship Id="rId19" Type="http://schemas.openxmlformats.org/officeDocument/2006/relationships/package" Target="embeddings/Document_Microsoft_Word4.doc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6540-5556-457A-A407-03E9DC1E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1619</Words>
  <Characters>8456</Characters>
  <Application>Microsoft Office Word</Application>
  <DocSecurity>4</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Frankfurt_2009_CA_Draft_Minutes_v1</vt:lpstr>
      <vt:lpstr>Frankfurt_2009_CA_Draft_Minutes_v1</vt:lpstr>
    </vt:vector>
  </TitlesOfParts>
  <Company>SWIFT</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e512166</cp:lastModifiedBy>
  <cp:revision>2</cp:revision>
  <cp:lastPrinted>2012-05-10T13:07:00Z</cp:lastPrinted>
  <dcterms:created xsi:type="dcterms:W3CDTF">2014-03-18T15:41:00Z</dcterms:created>
  <dcterms:modified xsi:type="dcterms:W3CDTF">2014-03-18T15:41:00Z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