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3D5BDB" w:rsidP="00A738EA">
      <w:pPr>
        <w:pStyle w:val="Header"/>
        <w:rPr>
          <w:lang w:val="en-GB"/>
        </w:rPr>
      </w:pPr>
      <w:r>
        <w:rPr>
          <w:lang w:val="en-GB"/>
        </w:rPr>
        <w:t>3rd</w:t>
      </w:r>
      <w:r w:rsidR="0051531C">
        <w:rPr>
          <w:lang w:val="en-GB"/>
        </w:rPr>
        <w:t xml:space="preserve"> </w:t>
      </w:r>
      <w:r w:rsidR="00E85787">
        <w:rPr>
          <w:lang w:val="en-GB"/>
        </w:rPr>
        <w:t>Ma</w:t>
      </w:r>
      <w:r>
        <w:rPr>
          <w:lang w:val="en-GB"/>
        </w:rPr>
        <w:t>y</w:t>
      </w:r>
      <w:r w:rsidR="00337524">
        <w:rPr>
          <w:lang w:val="en-GB"/>
        </w:rPr>
        <w:t xml:space="preserve"> 201</w:t>
      </w:r>
      <w:r w:rsidR="0051531C">
        <w:rPr>
          <w:lang w:val="en-GB"/>
        </w:rPr>
        <w:t>8</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3D5BDB">
        <w:rPr>
          <w:lang w:val="en-GB"/>
        </w:rPr>
        <w:t>September</w:t>
      </w:r>
      <w:r w:rsidR="00FF2750">
        <w:rPr>
          <w:lang w:val="en-GB"/>
        </w:rPr>
        <w:t xml:space="preserve"> </w:t>
      </w:r>
      <w:r w:rsidR="00270D0A">
        <w:rPr>
          <w:lang w:val="en-GB"/>
        </w:rPr>
        <w:t>201</w:t>
      </w:r>
      <w:r w:rsidR="00FF2750">
        <w:rPr>
          <w:lang w:val="en-GB"/>
        </w:rPr>
        <w:t>8</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0E1DBE"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524942270" w:history="1">
        <w:r w:rsidR="000E1DBE" w:rsidRPr="00275781">
          <w:rPr>
            <w:rStyle w:val="Hyperlink"/>
          </w:rPr>
          <w:t>Approval / comments on March 15th minutes call</w:t>
        </w:r>
        <w:r w:rsidR="000E1DBE">
          <w:rPr>
            <w:webHidden/>
          </w:rPr>
          <w:tab/>
        </w:r>
        <w:r w:rsidR="000E1DBE">
          <w:rPr>
            <w:webHidden/>
          </w:rPr>
          <w:fldChar w:fldCharType="begin"/>
        </w:r>
        <w:r w:rsidR="000E1DBE">
          <w:rPr>
            <w:webHidden/>
          </w:rPr>
          <w:instrText xml:space="preserve"> PAGEREF _Toc524942270 \h </w:instrText>
        </w:r>
        <w:r w:rsidR="000E1DBE">
          <w:rPr>
            <w:webHidden/>
          </w:rPr>
        </w:r>
        <w:r w:rsidR="000E1DBE">
          <w:rPr>
            <w:webHidden/>
          </w:rPr>
          <w:fldChar w:fldCharType="separate"/>
        </w:r>
        <w:r w:rsidR="000E1DBE">
          <w:rPr>
            <w:webHidden/>
          </w:rPr>
          <w:t>3</w:t>
        </w:r>
        <w:r w:rsidR="000E1DBE">
          <w:rPr>
            <w:webHidden/>
          </w:rPr>
          <w:fldChar w:fldCharType="end"/>
        </w:r>
      </w:hyperlink>
    </w:p>
    <w:p w:rsidR="000E1DBE" w:rsidRDefault="000E1DBE">
      <w:pPr>
        <w:pStyle w:val="TOC1"/>
        <w:rPr>
          <w:rFonts w:asciiTheme="minorHAnsi" w:eastAsiaTheme="minorEastAsia" w:hAnsiTheme="minorHAnsi" w:cstheme="minorBidi"/>
          <w:b w:val="0"/>
          <w:bCs w:val="0"/>
          <w:sz w:val="22"/>
          <w:szCs w:val="22"/>
        </w:rPr>
      </w:pPr>
      <w:hyperlink w:anchor="_Toc524942271" w:history="1">
        <w:r w:rsidRPr="00275781">
          <w:rPr>
            <w:rStyle w:val="Hyperlink"/>
          </w:rPr>
          <w:t>CA 392 - South African SR 2019 Change Request on Foreign Dividend Indicator</w:t>
        </w:r>
        <w:r>
          <w:rPr>
            <w:webHidden/>
          </w:rPr>
          <w:tab/>
        </w:r>
        <w:r>
          <w:rPr>
            <w:webHidden/>
          </w:rPr>
          <w:fldChar w:fldCharType="begin"/>
        </w:r>
        <w:r>
          <w:rPr>
            <w:webHidden/>
          </w:rPr>
          <w:instrText xml:space="preserve"> PAGEREF _Toc524942271 \h </w:instrText>
        </w:r>
        <w:r>
          <w:rPr>
            <w:webHidden/>
          </w:rPr>
        </w:r>
        <w:r>
          <w:rPr>
            <w:webHidden/>
          </w:rPr>
          <w:fldChar w:fldCharType="separate"/>
        </w:r>
        <w:r>
          <w:rPr>
            <w:webHidden/>
          </w:rPr>
          <w:t>4</w:t>
        </w:r>
        <w:r>
          <w:rPr>
            <w:webHidden/>
          </w:rPr>
          <w:fldChar w:fldCharType="end"/>
        </w:r>
      </w:hyperlink>
    </w:p>
    <w:p w:rsidR="000E1DBE" w:rsidRDefault="000E1DBE">
      <w:pPr>
        <w:pStyle w:val="TOC1"/>
        <w:rPr>
          <w:rFonts w:asciiTheme="minorHAnsi" w:eastAsiaTheme="minorEastAsia" w:hAnsiTheme="minorHAnsi" w:cstheme="minorBidi"/>
          <w:b w:val="0"/>
          <w:bCs w:val="0"/>
          <w:sz w:val="22"/>
          <w:szCs w:val="22"/>
        </w:rPr>
      </w:pPr>
      <w:hyperlink w:anchor="_Toc524942272" w:history="1">
        <w:r w:rsidRPr="00275781">
          <w:rPr>
            <w:rStyle w:val="Hyperlink"/>
          </w:rPr>
          <w:t>CA 315 - Extending CA MPs to ISO 20022 - How to tax cash dividend events and reinvest on cash dividend events in the context of an omnibus account.</w:t>
        </w:r>
        <w:r>
          <w:rPr>
            <w:webHidden/>
          </w:rPr>
          <w:tab/>
        </w:r>
        <w:r>
          <w:rPr>
            <w:webHidden/>
          </w:rPr>
          <w:fldChar w:fldCharType="begin"/>
        </w:r>
        <w:r>
          <w:rPr>
            <w:webHidden/>
          </w:rPr>
          <w:instrText xml:space="preserve"> PAGEREF _Toc524942272 \h </w:instrText>
        </w:r>
        <w:r>
          <w:rPr>
            <w:webHidden/>
          </w:rPr>
        </w:r>
        <w:r>
          <w:rPr>
            <w:webHidden/>
          </w:rPr>
          <w:fldChar w:fldCharType="separate"/>
        </w:r>
        <w:r>
          <w:rPr>
            <w:webHidden/>
          </w:rPr>
          <w:t>5</w:t>
        </w:r>
        <w:r>
          <w:rPr>
            <w:webHidden/>
          </w:rPr>
          <w:fldChar w:fldCharType="end"/>
        </w:r>
      </w:hyperlink>
    </w:p>
    <w:p w:rsidR="000E1DBE" w:rsidRDefault="000E1DBE">
      <w:pPr>
        <w:pStyle w:val="TOC1"/>
        <w:rPr>
          <w:rFonts w:asciiTheme="minorHAnsi" w:eastAsiaTheme="minorEastAsia" w:hAnsiTheme="minorHAnsi" w:cstheme="minorBidi"/>
          <w:b w:val="0"/>
          <w:bCs w:val="0"/>
          <w:sz w:val="22"/>
          <w:szCs w:val="22"/>
        </w:rPr>
      </w:pPr>
      <w:hyperlink w:anchor="_Toc524942273" w:history="1">
        <w:r w:rsidRPr="00275781">
          <w:rPr>
            <w:rStyle w:val="Hyperlink"/>
          </w:rPr>
          <w:t>CA387 - MT566 and Tax Breakdown for Omnibus Account</w:t>
        </w:r>
        <w:r>
          <w:rPr>
            <w:webHidden/>
          </w:rPr>
          <w:tab/>
        </w:r>
        <w:r>
          <w:rPr>
            <w:webHidden/>
          </w:rPr>
          <w:fldChar w:fldCharType="begin"/>
        </w:r>
        <w:r>
          <w:rPr>
            <w:webHidden/>
          </w:rPr>
          <w:instrText xml:space="preserve"> PAGEREF _Toc524942273 \h </w:instrText>
        </w:r>
        <w:r>
          <w:rPr>
            <w:webHidden/>
          </w:rPr>
        </w:r>
        <w:r>
          <w:rPr>
            <w:webHidden/>
          </w:rPr>
          <w:fldChar w:fldCharType="separate"/>
        </w:r>
        <w:r>
          <w:rPr>
            <w:webHidden/>
          </w:rPr>
          <w:t>5</w:t>
        </w:r>
        <w:r>
          <w:rPr>
            <w:webHidden/>
          </w:rPr>
          <w:fldChar w:fldCharType="end"/>
        </w:r>
      </w:hyperlink>
    </w:p>
    <w:p w:rsidR="000E1DBE" w:rsidRDefault="000E1DBE">
      <w:pPr>
        <w:pStyle w:val="TOC1"/>
        <w:rPr>
          <w:rFonts w:asciiTheme="minorHAnsi" w:eastAsiaTheme="minorEastAsia" w:hAnsiTheme="minorHAnsi" w:cstheme="minorBidi"/>
          <w:b w:val="0"/>
          <w:bCs w:val="0"/>
          <w:sz w:val="22"/>
          <w:szCs w:val="22"/>
        </w:rPr>
      </w:pPr>
      <w:hyperlink w:anchor="_Toc524942274" w:history="1">
        <w:r w:rsidRPr="00275781">
          <w:rPr>
            <w:rStyle w:val="Hyperlink"/>
          </w:rPr>
          <w:t>Other topics</w:t>
        </w:r>
        <w:r>
          <w:rPr>
            <w:webHidden/>
          </w:rPr>
          <w:tab/>
        </w:r>
        <w:r>
          <w:rPr>
            <w:webHidden/>
          </w:rPr>
          <w:fldChar w:fldCharType="begin"/>
        </w:r>
        <w:r>
          <w:rPr>
            <w:webHidden/>
          </w:rPr>
          <w:instrText xml:space="preserve"> PAGEREF _Toc524942274 \h </w:instrText>
        </w:r>
        <w:r>
          <w:rPr>
            <w:webHidden/>
          </w:rPr>
        </w:r>
        <w:r>
          <w:rPr>
            <w:webHidden/>
          </w:rPr>
          <w:fldChar w:fldCharType="separate"/>
        </w:r>
        <w:r>
          <w:rPr>
            <w:webHidden/>
          </w:rPr>
          <w:t>6</w:t>
        </w:r>
        <w:r>
          <w:rPr>
            <w:webHidden/>
          </w:rPr>
          <w:fldChar w:fldCharType="end"/>
        </w:r>
      </w:hyperlink>
    </w:p>
    <w:p w:rsidR="000E1DBE" w:rsidRDefault="000E1DBE">
      <w:pPr>
        <w:pStyle w:val="TOC1"/>
        <w:rPr>
          <w:rFonts w:asciiTheme="minorHAnsi" w:eastAsiaTheme="minorEastAsia" w:hAnsiTheme="minorHAnsi" w:cstheme="minorBidi"/>
          <w:b w:val="0"/>
          <w:bCs w:val="0"/>
          <w:sz w:val="22"/>
          <w:szCs w:val="22"/>
        </w:rPr>
      </w:pPr>
      <w:hyperlink w:anchor="_Toc524942275" w:history="1">
        <w:r w:rsidRPr="00275781">
          <w:rPr>
            <w:rStyle w:val="Hyperlink"/>
          </w:rPr>
          <w:t>Next Conference Call</w:t>
        </w:r>
        <w:r>
          <w:rPr>
            <w:webHidden/>
          </w:rPr>
          <w:tab/>
        </w:r>
        <w:r>
          <w:rPr>
            <w:webHidden/>
          </w:rPr>
          <w:fldChar w:fldCharType="begin"/>
        </w:r>
        <w:r>
          <w:rPr>
            <w:webHidden/>
          </w:rPr>
          <w:instrText xml:space="preserve"> PAGEREF _Toc524942275 \h </w:instrText>
        </w:r>
        <w:r>
          <w:rPr>
            <w:webHidden/>
          </w:rPr>
        </w:r>
        <w:r>
          <w:rPr>
            <w:webHidden/>
          </w:rPr>
          <w:fldChar w:fldCharType="separate"/>
        </w:r>
        <w:r>
          <w:rPr>
            <w:webHidden/>
          </w:rPr>
          <w:t>7</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1E4538" w:rsidRDefault="001E4538"/>
    <w:p w:rsidR="006E5035" w:rsidRDefault="006E5035"/>
    <w:p w:rsidR="006E5035" w:rsidRDefault="006E5035"/>
    <w:p w:rsidR="006E5035" w:rsidRDefault="006E5035"/>
    <w:p w:rsidR="00E70CF3" w:rsidRDefault="00E70CF3"/>
    <w:p w:rsidR="006E5035" w:rsidRDefault="006E5035"/>
    <w:p w:rsidR="000D0C64" w:rsidRDefault="00E60462" w:rsidP="00EF7F89">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p w:rsidR="003D5BDB" w:rsidRDefault="003D5BDB" w:rsidP="00EF7F89">
      <w:pPr>
        <w:rPr>
          <w:b/>
          <w:sz w:val="24"/>
          <w:szCs w:val="24"/>
          <w:u w:val="single"/>
          <w:lang w:eastAsia="en-GB"/>
        </w:rPr>
      </w:pPr>
    </w:p>
    <w:tbl>
      <w:tblPr>
        <w:tblW w:w="9160" w:type="dxa"/>
        <w:tblInd w:w="108" w:type="dxa"/>
        <w:tblLook w:val="04A0" w:firstRow="1" w:lastRow="0" w:firstColumn="1" w:lastColumn="0" w:noHBand="0" w:noVBand="1"/>
      </w:tblPr>
      <w:tblGrid>
        <w:gridCol w:w="1128"/>
        <w:gridCol w:w="983"/>
        <w:gridCol w:w="567"/>
        <w:gridCol w:w="1359"/>
        <w:gridCol w:w="1658"/>
        <w:gridCol w:w="2037"/>
        <w:gridCol w:w="1428"/>
      </w:tblGrid>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b/>
                <w:bCs/>
                <w:color w:val="000000"/>
              </w:rPr>
            </w:pPr>
            <w:r w:rsidRPr="003D5BDB">
              <w:rPr>
                <w:b/>
                <w:bCs/>
                <w:color w:val="000000"/>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b/>
                <w:bCs/>
                <w:color w:val="000000"/>
              </w:rPr>
            </w:pPr>
            <w:r w:rsidRPr="003D5BDB">
              <w:rPr>
                <w:b/>
                <w:bCs/>
                <w:color w:val="000000"/>
              </w:rPr>
              <w:t> </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b/>
                <w:bCs/>
                <w:color w:val="000000"/>
              </w:rPr>
            </w:pPr>
            <w:r w:rsidRPr="003D5BDB">
              <w:rPr>
                <w:b/>
                <w:bCs/>
                <w:color w:val="000000"/>
              </w:rPr>
              <w:t>First Name</w:t>
            </w:r>
          </w:p>
        </w:tc>
        <w:tc>
          <w:tcPr>
            <w:tcW w:w="1658" w:type="dxa"/>
            <w:tcBorders>
              <w:top w:val="single" w:sz="8" w:space="0" w:color="auto"/>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b/>
                <w:bCs/>
                <w:color w:val="000000"/>
              </w:rPr>
            </w:pPr>
            <w:r w:rsidRPr="003D5BDB">
              <w:rPr>
                <w:b/>
                <w:bCs/>
                <w:color w:val="000000"/>
              </w:rPr>
              <w:t>Last Name</w:t>
            </w:r>
          </w:p>
        </w:tc>
        <w:tc>
          <w:tcPr>
            <w:tcW w:w="2037" w:type="dxa"/>
            <w:tcBorders>
              <w:top w:val="single" w:sz="8" w:space="0" w:color="auto"/>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b/>
                <w:bCs/>
                <w:color w:val="000000"/>
              </w:rPr>
            </w:pPr>
            <w:r w:rsidRPr="003D5BDB">
              <w:rPr>
                <w:b/>
                <w:bCs/>
                <w:color w:val="000000"/>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b/>
                <w:bCs/>
                <w:color w:val="000000"/>
              </w:rPr>
            </w:pPr>
            <w:r w:rsidRPr="003D5BDB">
              <w:rPr>
                <w:b/>
                <w:bCs/>
                <w:color w:val="000000"/>
              </w:rPr>
              <w:t>Participation</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color w:val="000000"/>
              </w:rPr>
            </w:pPr>
            <w:r w:rsidRPr="003D5BDB">
              <w:rPr>
                <w:color w:val="000000"/>
              </w:rPr>
              <w:t>AU</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sz w:val="22"/>
                <w:szCs w:val="22"/>
              </w:rPr>
            </w:pPr>
            <w:r w:rsidRPr="003D5BDB">
              <w:rPr>
                <w:rFonts w:ascii="Calibri" w:hAnsi="Calibri" w:cs="Times New Roman"/>
                <w:sz w:val="22"/>
                <w:szCs w:val="22"/>
              </w:rPr>
              <w:t>Mrs</w:t>
            </w:r>
          </w:p>
        </w:tc>
        <w:tc>
          <w:tcPr>
            <w:tcW w:w="1359" w:type="dxa"/>
            <w:tcBorders>
              <w:top w:val="nil"/>
              <w:left w:val="nil"/>
              <w:bottom w:val="single" w:sz="8" w:space="0" w:color="auto"/>
              <w:right w:val="single" w:sz="8" w:space="0" w:color="auto"/>
            </w:tcBorders>
            <w:shd w:val="clear" w:color="000000" w:fill="01FF74"/>
            <w:noWrap/>
            <w:vAlign w:val="bottom"/>
            <w:hideMark/>
          </w:tcPr>
          <w:p w:rsidR="003D5BDB" w:rsidRPr="003D5BDB" w:rsidRDefault="003D5BDB" w:rsidP="003D5BDB">
            <w:pPr>
              <w:spacing w:after="0"/>
              <w:rPr>
                <w:rFonts w:ascii="Calibri" w:hAnsi="Calibri" w:cs="Times New Roman"/>
                <w:sz w:val="22"/>
                <w:szCs w:val="22"/>
              </w:rPr>
            </w:pPr>
            <w:r w:rsidRPr="003D5BDB">
              <w:rPr>
                <w:rFonts w:ascii="Calibri" w:hAnsi="Calibri" w:cs="Times New Roman"/>
                <w:sz w:val="22"/>
                <w:szCs w:val="22"/>
              </w:rPr>
              <w:t>Narelle</w:t>
            </w:r>
          </w:p>
        </w:tc>
        <w:tc>
          <w:tcPr>
            <w:tcW w:w="1658" w:type="dxa"/>
            <w:tcBorders>
              <w:top w:val="nil"/>
              <w:left w:val="nil"/>
              <w:bottom w:val="single" w:sz="8" w:space="0" w:color="auto"/>
              <w:right w:val="single" w:sz="8" w:space="0" w:color="auto"/>
            </w:tcBorders>
            <w:shd w:val="clear" w:color="000000" w:fill="01FF74"/>
            <w:noWrap/>
            <w:vAlign w:val="bottom"/>
            <w:hideMark/>
          </w:tcPr>
          <w:p w:rsidR="003D5BDB" w:rsidRPr="003D5BDB" w:rsidRDefault="003D5BDB" w:rsidP="003D5BDB">
            <w:pPr>
              <w:spacing w:after="0"/>
              <w:rPr>
                <w:rFonts w:ascii="Calibri" w:hAnsi="Calibri" w:cs="Times New Roman"/>
                <w:sz w:val="22"/>
                <w:szCs w:val="22"/>
              </w:rPr>
            </w:pPr>
            <w:r w:rsidRPr="003D5BDB">
              <w:rPr>
                <w:rFonts w:ascii="Calibri" w:hAnsi="Calibri" w:cs="Times New Roman"/>
                <w:sz w:val="22"/>
                <w:szCs w:val="22"/>
              </w:rPr>
              <w:t>Rutter</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color w:val="000000"/>
              </w:rPr>
            </w:pPr>
            <w:r w:rsidRPr="003D5BDB">
              <w:rPr>
                <w:color w:val="000000"/>
              </w:rPr>
              <w:t>BP2S</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sz w:val="22"/>
                <w:szCs w:val="22"/>
              </w:rPr>
            </w:pPr>
            <w:r w:rsidRPr="003D5BDB">
              <w:rPr>
                <w:rFonts w:ascii="Calibri" w:hAnsi="Calibri" w:cs="Times New Roman"/>
                <w:sz w:val="22"/>
                <w:szCs w:val="22"/>
              </w:rPr>
              <w:t>BE</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sz w:val="22"/>
                <w:szCs w:val="22"/>
              </w:rPr>
            </w:pPr>
            <w:r w:rsidRPr="003D5BDB">
              <w:rPr>
                <w:rFonts w:ascii="Calibri" w:hAnsi="Calibri" w:cs="Times New Roman"/>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sz w:val="22"/>
                <w:szCs w:val="22"/>
              </w:rPr>
            </w:pPr>
            <w:r w:rsidRPr="003D5BDB">
              <w:rPr>
                <w:rFonts w:ascii="Calibri" w:hAnsi="Calibri" w:cs="Times New Roman"/>
                <w:sz w:val="22"/>
                <w:szCs w:val="22"/>
              </w:rPr>
              <w:t>Véronique</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sz w:val="22"/>
                <w:szCs w:val="22"/>
              </w:rPr>
            </w:pPr>
            <w:r w:rsidRPr="003D5BDB">
              <w:rPr>
                <w:rFonts w:ascii="Calibri" w:hAnsi="Calibri" w:cs="Times New Roman"/>
                <w:sz w:val="22"/>
                <w:szCs w:val="22"/>
              </w:rPr>
              <w:t>Peeters</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sz w:val="22"/>
                <w:szCs w:val="22"/>
              </w:rPr>
            </w:pPr>
            <w:r w:rsidRPr="003D5BDB">
              <w:rPr>
                <w:rFonts w:ascii="Calibri" w:hAnsi="Calibri" w:cs="Times New Roman"/>
                <w:sz w:val="22"/>
                <w:szCs w:val="22"/>
              </w:rPr>
              <w:t>BNY Mellon</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N / A</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Jacques</w:t>
            </w:r>
          </w:p>
        </w:tc>
        <w:tc>
          <w:tcPr>
            <w:tcW w:w="165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Littré</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SWIFT</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CA</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Cairbre</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Cowin</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RBC IS</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CH</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Reto</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Baumgartner</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DE</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Daniel</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Schaefer</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HSBC</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DE</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Thomas</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Rockstroh</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SE</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 xml:space="preserve">Urban </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Hane</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Nordea</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Jean-Pierre</w:t>
            </w:r>
          </w:p>
        </w:tc>
        <w:tc>
          <w:tcPr>
            <w:tcW w:w="165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Klak</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State Street</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Karim</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Djenadi</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Celine</w:t>
            </w:r>
          </w:p>
        </w:tc>
        <w:tc>
          <w:tcPr>
            <w:tcW w:w="165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Bohm</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Alexandra</w:t>
            </w:r>
          </w:p>
        </w:tc>
        <w:tc>
          <w:tcPr>
            <w:tcW w:w="165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Sellam</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Ilyas</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Alikoglu</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Bank of NEW-York</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N/A</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IT</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Paola</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Deantoni</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Societe Generale</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LU</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Nicolas</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Godfrey</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SG</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Jyi-Chen</w:t>
            </w:r>
          </w:p>
        </w:tc>
        <w:tc>
          <w:tcPr>
            <w:tcW w:w="165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Chueh</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UK &amp; IE</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Mariangela</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Fumagalli</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BNP Paribas</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UK &amp; IE</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Gabriel</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Sampaio</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BNP Paribas</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Paul</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Fullam</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FIS Global</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Mrs</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Vandana</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Pasricha</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BBH</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Caleb</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Lanfear</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BBH</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Ian</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De Sacia</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DTCC</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Steven</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Sloan</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DTCC</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XS</w:t>
            </w:r>
          </w:p>
        </w:tc>
        <w:tc>
          <w:tcPr>
            <w:tcW w:w="56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Jean-Paul</w:t>
            </w:r>
          </w:p>
        </w:tc>
        <w:tc>
          <w:tcPr>
            <w:tcW w:w="165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Lambotte</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Euroclear</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30"/>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XS</w:t>
            </w:r>
          </w:p>
        </w:tc>
        <w:tc>
          <w:tcPr>
            <w:tcW w:w="567" w:type="dxa"/>
            <w:tcBorders>
              <w:top w:val="nil"/>
              <w:left w:val="nil"/>
              <w:bottom w:val="single" w:sz="8" w:space="0" w:color="auto"/>
              <w:right w:val="single" w:sz="8" w:space="0" w:color="auto"/>
            </w:tcBorders>
            <w:shd w:val="clear" w:color="000000" w:fill="01FF74"/>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Eric</w:t>
            </w:r>
          </w:p>
        </w:tc>
        <w:tc>
          <w:tcPr>
            <w:tcW w:w="1658" w:type="dxa"/>
            <w:tcBorders>
              <w:top w:val="nil"/>
              <w:left w:val="nil"/>
              <w:bottom w:val="single" w:sz="8" w:space="0" w:color="auto"/>
              <w:right w:val="single" w:sz="8" w:space="0" w:color="auto"/>
            </w:tcBorders>
            <w:shd w:val="clear" w:color="000000" w:fill="01FF74"/>
            <w:noWrap/>
            <w:vAlign w:val="bottom"/>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Marega</w:t>
            </w:r>
          </w:p>
        </w:tc>
        <w:tc>
          <w:tcPr>
            <w:tcW w:w="2037"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Euroclear</w:t>
            </w:r>
          </w:p>
        </w:tc>
        <w:tc>
          <w:tcPr>
            <w:tcW w:w="1428" w:type="dxa"/>
            <w:tcBorders>
              <w:top w:val="nil"/>
              <w:left w:val="nil"/>
              <w:bottom w:val="single" w:sz="8" w:space="0" w:color="auto"/>
              <w:right w:val="single" w:sz="8" w:space="0" w:color="auto"/>
            </w:tcBorders>
            <w:shd w:val="clear" w:color="000000" w:fill="01FF74"/>
            <w:vAlign w:val="center"/>
            <w:hideMark/>
          </w:tcPr>
          <w:p w:rsidR="003D5BDB" w:rsidRPr="003D5BDB" w:rsidRDefault="003D5BDB" w:rsidP="003D5BDB">
            <w:pPr>
              <w:spacing w:after="0"/>
              <w:jc w:val="center"/>
              <w:rPr>
                <w:rFonts w:ascii="Webdings" w:hAnsi="Webdings" w:cs="Times New Roman"/>
                <w:color w:val="000000"/>
                <w:sz w:val="22"/>
                <w:szCs w:val="22"/>
              </w:rPr>
            </w:pPr>
            <w:r w:rsidRPr="003D5BDB">
              <w:rPr>
                <w:rFonts w:ascii="Webdings" w:hAnsi="Webdings" w:cs="Times New Roman"/>
                <w:color w:val="000000"/>
                <w:sz w:val="22"/>
                <w:szCs w:val="22"/>
              </w:rPr>
              <w:t></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Sanjeev</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Jayram</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Dale</w:t>
            </w:r>
          </w:p>
        </w:tc>
        <w:tc>
          <w:tcPr>
            <w:tcW w:w="1658"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Van Rayne</w:t>
            </w:r>
          </w:p>
        </w:tc>
        <w:tc>
          <w:tcPr>
            <w:tcW w:w="2037" w:type="dxa"/>
            <w:tcBorders>
              <w:top w:val="nil"/>
              <w:left w:val="nil"/>
              <w:bottom w:val="single" w:sz="8" w:space="0" w:color="auto"/>
              <w:right w:val="single" w:sz="8" w:space="0" w:color="auto"/>
            </w:tcBorders>
            <w:shd w:val="clear" w:color="auto" w:fill="auto"/>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r w:rsidR="003D5BDB" w:rsidRPr="003D5BDB" w:rsidTr="000E1DBE">
        <w:trPr>
          <w:trHeight w:val="315"/>
        </w:trPr>
        <w:tc>
          <w:tcPr>
            <w:tcW w:w="1128" w:type="dxa"/>
            <w:tcBorders>
              <w:top w:val="nil"/>
              <w:left w:val="nil"/>
              <w:bottom w:val="nil"/>
              <w:right w:val="nil"/>
            </w:tcBorders>
            <w:shd w:val="clear" w:color="auto" w:fill="auto"/>
            <w:noWrap/>
            <w:vAlign w:val="bottom"/>
            <w:hideMark/>
          </w:tcPr>
          <w:p w:rsidR="003D5BDB" w:rsidRPr="003D5BDB" w:rsidRDefault="003D5BDB" w:rsidP="003D5BDB">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FFFFFF"/>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000000" w:fill="FFFFFF"/>
            <w:vAlign w:val="center"/>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Mr</w:t>
            </w:r>
          </w:p>
        </w:tc>
        <w:tc>
          <w:tcPr>
            <w:tcW w:w="1359" w:type="dxa"/>
            <w:tcBorders>
              <w:top w:val="nil"/>
              <w:left w:val="nil"/>
              <w:bottom w:val="single" w:sz="8" w:space="0" w:color="auto"/>
              <w:right w:val="single" w:sz="8" w:space="0" w:color="auto"/>
            </w:tcBorders>
            <w:shd w:val="clear" w:color="000000" w:fill="FFFFFF"/>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Yusuf</w:t>
            </w:r>
          </w:p>
        </w:tc>
        <w:tc>
          <w:tcPr>
            <w:tcW w:w="1658" w:type="dxa"/>
            <w:tcBorders>
              <w:top w:val="nil"/>
              <w:left w:val="nil"/>
              <w:bottom w:val="single" w:sz="8" w:space="0" w:color="auto"/>
              <w:right w:val="single" w:sz="8" w:space="0" w:color="auto"/>
            </w:tcBorders>
            <w:shd w:val="clear" w:color="000000" w:fill="FFFFFF"/>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Basha</w:t>
            </w:r>
          </w:p>
        </w:tc>
        <w:tc>
          <w:tcPr>
            <w:tcW w:w="2037" w:type="dxa"/>
            <w:tcBorders>
              <w:top w:val="nil"/>
              <w:left w:val="nil"/>
              <w:bottom w:val="single" w:sz="8" w:space="0" w:color="auto"/>
              <w:right w:val="single" w:sz="8" w:space="0" w:color="auto"/>
            </w:tcBorders>
            <w:shd w:val="clear" w:color="000000" w:fill="FFFFFF"/>
            <w:vAlign w:val="center"/>
            <w:hideMark/>
          </w:tcPr>
          <w:p w:rsidR="003D5BDB" w:rsidRPr="003D5BDB" w:rsidRDefault="003D5BDB" w:rsidP="003D5BDB">
            <w:pPr>
              <w:spacing w:after="0"/>
              <w:rPr>
                <w:rFonts w:ascii="Calibri" w:hAnsi="Calibri" w:cs="Times New Roman"/>
                <w:color w:val="000000"/>
                <w:sz w:val="22"/>
                <w:szCs w:val="22"/>
              </w:rPr>
            </w:pPr>
            <w:r w:rsidRPr="003D5BDB">
              <w:rPr>
                <w:rFonts w:ascii="Calibri" w:hAnsi="Calibri" w:cs="Times New Roman"/>
                <w:color w:val="000000"/>
                <w:sz w:val="22"/>
                <w:szCs w:val="22"/>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3D5BDB" w:rsidRPr="003D5BDB" w:rsidRDefault="003D5BDB" w:rsidP="003D5BDB">
            <w:pPr>
              <w:spacing w:after="0"/>
              <w:jc w:val="center"/>
              <w:rPr>
                <w:rFonts w:ascii="Calibri" w:hAnsi="Calibri" w:cs="Times New Roman"/>
                <w:color w:val="000000"/>
                <w:sz w:val="22"/>
                <w:szCs w:val="22"/>
              </w:rPr>
            </w:pPr>
            <w:r w:rsidRPr="003D5BDB">
              <w:rPr>
                <w:rFonts w:ascii="Calibri" w:hAnsi="Calibri" w:cs="Times New Roman"/>
                <w:color w:val="000000"/>
                <w:sz w:val="22"/>
                <w:szCs w:val="22"/>
              </w:rPr>
              <w:t>Excused</w:t>
            </w:r>
          </w:p>
        </w:tc>
      </w:tr>
    </w:tbl>
    <w:p w:rsidR="003D5BDB" w:rsidRDefault="003D5BDB" w:rsidP="00EF7F89">
      <w:pPr>
        <w:rPr>
          <w:b/>
          <w:sz w:val="24"/>
          <w:szCs w:val="24"/>
          <w:u w:val="single"/>
          <w:lang w:eastAsia="en-GB"/>
        </w:rPr>
      </w:pPr>
    </w:p>
    <w:p w:rsidR="003D5BDB" w:rsidRDefault="003D5BDB" w:rsidP="00EF7F89">
      <w:pPr>
        <w:rPr>
          <w:b/>
          <w:sz w:val="24"/>
          <w:szCs w:val="24"/>
          <w:u w:val="single"/>
          <w:lang w:eastAsia="en-GB"/>
        </w:rPr>
      </w:pPr>
    </w:p>
    <w:p w:rsidR="001545BC" w:rsidRDefault="001545BC" w:rsidP="00EF7F89">
      <w:pPr>
        <w:pStyle w:val="Heading1"/>
        <w:numPr>
          <w:ilvl w:val="0"/>
          <w:numId w:val="0"/>
        </w:numPr>
      </w:pPr>
      <w:bookmarkStart w:id="3" w:name="OLE_LINK5"/>
      <w:bookmarkStart w:id="4" w:name="OLE_LINK8"/>
      <w:bookmarkStart w:id="5" w:name="_Toc524942270"/>
      <w:bookmarkEnd w:id="1"/>
      <w:bookmarkEnd w:id="2"/>
      <w:r>
        <w:t xml:space="preserve">Approval / </w:t>
      </w:r>
      <w:r w:rsidRPr="004F2C52">
        <w:t>comments o</w:t>
      </w:r>
      <w:r w:rsidR="00123CBF">
        <w:t xml:space="preserve">n </w:t>
      </w:r>
      <w:r w:rsidR="003D5BDB">
        <w:t xml:space="preserve">March </w:t>
      </w:r>
      <w:r w:rsidR="00E85787">
        <w:t>1</w:t>
      </w:r>
      <w:r w:rsidR="003D5BDB">
        <w:t>5</w:t>
      </w:r>
      <w:r w:rsidR="00E85787">
        <w:t>th</w:t>
      </w:r>
      <w:r w:rsidR="009C54FA">
        <w:t xml:space="preserve"> </w:t>
      </w:r>
      <w:r w:rsidR="00D127E9">
        <w:t>minutes</w:t>
      </w:r>
      <w:r w:rsidR="009A687E">
        <w:t xml:space="preserve"> call</w:t>
      </w:r>
      <w:bookmarkEnd w:id="5"/>
    </w:p>
    <w:p w:rsidR="00C46D9B" w:rsidRDefault="00C46D9B" w:rsidP="001545BC">
      <w:pPr>
        <w:rPr>
          <w:lang w:eastAsia="en-GB"/>
        </w:rPr>
      </w:pPr>
      <w:r>
        <w:rPr>
          <w:lang w:eastAsia="en-GB"/>
        </w:rPr>
        <w:t>Last minutes approved</w:t>
      </w:r>
    </w:p>
    <w:p w:rsidR="00DD2DFA" w:rsidRDefault="00DD2DFA" w:rsidP="00E70CF3">
      <w:pPr>
        <w:rPr>
          <w:lang w:eastAsia="en-GB"/>
        </w:rPr>
      </w:pPr>
    </w:p>
    <w:p w:rsidR="00E85787" w:rsidRDefault="00E85787" w:rsidP="00E70CF3">
      <w:pPr>
        <w:rPr>
          <w:lang w:eastAsia="en-GB"/>
        </w:rPr>
      </w:pPr>
    </w:p>
    <w:p w:rsidR="00E85787" w:rsidRDefault="00E85787" w:rsidP="00E70CF3">
      <w:pPr>
        <w:rPr>
          <w:lang w:eastAsia="en-GB"/>
        </w:rPr>
      </w:pPr>
    </w:p>
    <w:p w:rsidR="00E85787" w:rsidRDefault="000E1DBE" w:rsidP="00E85787">
      <w:pPr>
        <w:pStyle w:val="Heading1"/>
        <w:numPr>
          <w:ilvl w:val="0"/>
          <w:numId w:val="0"/>
        </w:numPr>
      </w:pPr>
      <w:bookmarkStart w:id="6" w:name="_Toc524942271"/>
      <w:r>
        <w:t xml:space="preserve">CA 392 - </w:t>
      </w:r>
      <w:r w:rsidR="00E85787">
        <w:t>South African SR 2019 Change Request</w:t>
      </w:r>
      <w:r>
        <w:t xml:space="preserve"> </w:t>
      </w:r>
      <w:r>
        <w:t>on Foreign Dividend Indicator</w:t>
      </w:r>
      <w:bookmarkEnd w:id="6"/>
    </w:p>
    <w:p w:rsidR="000E1DBE" w:rsidRDefault="000E1DBE" w:rsidP="00E85787">
      <w:pPr>
        <w:rPr>
          <w:lang w:val="en-ZA"/>
        </w:rPr>
      </w:pPr>
      <w:r>
        <w:rPr>
          <w:lang w:val="en-ZA"/>
        </w:rPr>
        <w:t>Subject discussed during the April SMPG.</w:t>
      </w:r>
    </w:p>
    <w:bookmarkStart w:id="7" w:name="_MON_1586956765"/>
    <w:bookmarkEnd w:id="7"/>
    <w:p w:rsidR="000E1DBE" w:rsidRDefault="000E1DBE" w:rsidP="000E1DBE">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6.5pt;height:49.5pt" o:ole="">
            <v:imagedata r:id="rId10" o:title=""/>
          </v:shape>
          <o:OLEObject Type="Embed" ProgID="Excel.Sheet.12" ShapeID="_x0000_i1061" DrawAspect="Icon" ObjectID="_1598686631" r:id="rId11"/>
        </w:object>
      </w:r>
    </w:p>
    <w:p w:rsidR="000E1DBE" w:rsidRDefault="000E1DBE" w:rsidP="000E1DBE">
      <w:pPr>
        <w:rPr>
          <w:rFonts w:ascii="Noto Sans" w:hAnsi="Noto Sans" w:cs="Noto Sans"/>
          <w:lang w:val="en-GB"/>
        </w:rPr>
      </w:pPr>
      <w:r>
        <w:t>The key issue for South Africa is to be able to distinguish between a local/domestic and a foreign dividend payment as t</w:t>
      </w:r>
      <w:r>
        <w:rPr>
          <w:rFonts w:ascii="Noto Sans" w:hAnsi="Noto Sans" w:cs="Noto Sans"/>
          <w:lang w:val="en-GB"/>
        </w:rPr>
        <w:t>here are different withholding tax implications and then receiver would also be able to distinguish which DTT (Double Taxation Treaty) is applicable.</w:t>
      </w:r>
      <w:r w:rsidRPr="003F030E">
        <w:rPr>
          <w:rFonts w:ascii="Noto Sans" w:hAnsi="Noto Sans" w:cs="Noto Sans"/>
          <w:lang w:val="en-GB"/>
        </w:rPr>
        <w:t xml:space="preserve"> </w:t>
      </w:r>
      <w:r>
        <w:rPr>
          <w:rFonts w:ascii="Noto Sans" w:hAnsi="Noto Sans" w:cs="Noto Sans"/>
          <w:lang w:val="en-GB"/>
        </w:rPr>
        <w:t>ZA is currently using COIN whilst but this should only be used when there are multiple distributions as explained in the GMP1 MP.</w:t>
      </w:r>
    </w:p>
    <w:p w:rsidR="000E1DBE" w:rsidRDefault="000E1DBE" w:rsidP="000E1DBE">
      <w:r>
        <w:t>During a Tax SG conference call it was suggested to also distinguish in which “foreign” country the dividend is paid, hence the second/replacement CR asking for an ICTX qualifier to include the issuer’s country of taxation.</w:t>
      </w:r>
    </w:p>
    <w:p w:rsidR="000E1DBE" w:rsidRDefault="000E1DBE" w:rsidP="000E1DBE">
      <w:pPr>
        <w:rPr>
          <w:rFonts w:ascii="Noto Sans" w:hAnsi="Noto Sans" w:cs="Noto Sans"/>
          <w:lang w:val="en-GB"/>
        </w:rPr>
      </w:pPr>
      <w:r>
        <w:t xml:space="preserve">In general, there is not much support for the CR in the group as this information should normally be part of the </w:t>
      </w:r>
      <w:r w:rsidRPr="000E1DBE">
        <w:t>reference</w:t>
      </w:r>
      <w:r>
        <w:t xml:space="preserve"> data. However, this </w:t>
      </w:r>
      <w:r>
        <w:rPr>
          <w:rFonts w:ascii="Noto Sans" w:hAnsi="Noto Sans" w:cs="Noto Sans"/>
          <w:lang w:val="en-GB"/>
        </w:rPr>
        <w:t>information is not in the corporate action announcement. The CR has come from client demand and ZA has changed the listing rules to say this information must be in the market announcement which generates a high volume of client queries.</w:t>
      </w:r>
    </w:p>
    <w:p w:rsidR="000E1DBE" w:rsidRPr="000E1DBE" w:rsidRDefault="000E1DBE" w:rsidP="000E1DBE">
      <w:pPr>
        <w:pStyle w:val="Decisions"/>
        <w:rPr>
          <w:color w:val="auto"/>
        </w:rPr>
      </w:pPr>
      <w:r w:rsidRPr="000E1DBE">
        <w:rPr>
          <w:b/>
          <w:color w:val="auto"/>
          <w:u w:val="single"/>
        </w:rPr>
        <w:t>Decision</w:t>
      </w:r>
      <w:r w:rsidRPr="000E1DBE">
        <w:rPr>
          <w:b/>
          <w:color w:val="auto"/>
          <w:u w:val="single"/>
        </w:rPr>
        <w:t xml:space="preserve"> of the SMPG</w:t>
      </w:r>
      <w:r w:rsidRPr="000E1DBE">
        <w:rPr>
          <w:color w:val="auto"/>
        </w:rPr>
        <w:t>: The SMPG does not endorse the CR but instead asked the South African NMPG to propose an amendment to GMP1 for using COIN for single payment cases.</w:t>
      </w:r>
    </w:p>
    <w:p w:rsidR="000E1DBE" w:rsidRPr="000E1DBE" w:rsidRDefault="000E1DBE" w:rsidP="000E1DBE">
      <w:pPr>
        <w:pStyle w:val="Actions"/>
        <w:rPr>
          <w:b/>
          <w:color w:val="auto"/>
        </w:rPr>
      </w:pPr>
      <w:r w:rsidRPr="000E1DBE">
        <w:rPr>
          <w:b/>
          <w:color w:val="auto"/>
        </w:rPr>
        <w:t>Action</w:t>
      </w:r>
      <w:r w:rsidRPr="000E1DBE">
        <w:rPr>
          <w:b/>
          <w:color w:val="auto"/>
        </w:rPr>
        <w:t xml:space="preserve"> </w:t>
      </w:r>
      <w:r>
        <w:rPr>
          <w:b/>
          <w:color w:val="auto"/>
        </w:rPr>
        <w:t>decided by</w:t>
      </w:r>
      <w:r w:rsidRPr="008434B2">
        <w:rPr>
          <w:b/>
          <w:color w:val="auto"/>
        </w:rPr>
        <w:t xml:space="preserve"> the global SMPG</w:t>
      </w:r>
      <w:r w:rsidRPr="000E1DBE">
        <w:rPr>
          <w:b/>
          <w:color w:val="auto"/>
        </w:rPr>
        <w:t>: Sanjeev/ZA NMPG to propose amendment to GMP1.</w:t>
      </w:r>
    </w:p>
    <w:p w:rsidR="000E1DBE" w:rsidRPr="000E1DBE" w:rsidRDefault="000E1DBE" w:rsidP="00E85787">
      <w:pPr>
        <w:rPr>
          <w:b/>
          <w:lang w:val="en-ZA"/>
        </w:rPr>
      </w:pPr>
      <w:r w:rsidRPr="000E1DBE">
        <w:rPr>
          <w:b/>
          <w:lang w:val="en-ZA"/>
        </w:rPr>
        <w:t>/////////</w:t>
      </w:r>
    </w:p>
    <w:p w:rsidR="000E1DBE" w:rsidRDefault="000E1DBE" w:rsidP="00E85787">
      <w:pPr>
        <w:rPr>
          <w:lang w:val="en-ZA"/>
        </w:rPr>
      </w:pPr>
      <w:r>
        <w:rPr>
          <w:lang w:val="en-ZA"/>
        </w:rPr>
        <w:t>Initial discussions within the Tax sub-group:</w:t>
      </w:r>
    </w:p>
    <w:p w:rsidR="00E85787" w:rsidRDefault="00E85787" w:rsidP="00E85787">
      <w:pPr>
        <w:rPr>
          <w:lang w:val="en-ZA"/>
        </w:rPr>
      </w:pPr>
      <w:r>
        <w:rPr>
          <w:lang w:val="en-ZA"/>
        </w:rPr>
        <w:t xml:space="preserve">Sanjeev proposed for discussion a Change </w:t>
      </w:r>
      <w:r w:rsidR="00A2097D">
        <w:rPr>
          <w:lang w:val="en-ZA"/>
        </w:rPr>
        <w:t>R</w:t>
      </w:r>
      <w:r>
        <w:rPr>
          <w:lang w:val="en-ZA"/>
        </w:rPr>
        <w:t>equest that South Africa will present for the next SR 2019 Maintenance session.</w:t>
      </w:r>
    </w:p>
    <w:bookmarkStart w:id="8" w:name="_MON_1586794111"/>
    <w:bookmarkEnd w:id="8"/>
    <w:p w:rsidR="00E85787" w:rsidRDefault="00A2097D" w:rsidP="00E85787">
      <w:pPr>
        <w:rPr>
          <w:lang w:eastAsia="en-GB"/>
        </w:rPr>
      </w:pPr>
      <w:r>
        <w:object w:dxaOrig="1550" w:dyaOrig="991">
          <v:shape id="_x0000_i1025" type="#_x0000_t75" style="width:77.25pt;height:49.5pt" o:ole="">
            <v:imagedata r:id="rId12" o:title=""/>
          </v:shape>
          <o:OLEObject Type="Embed" ProgID="Excel.Sheet.12" ShapeID="_x0000_i1025" DrawAspect="Icon" ObjectID="_1598686632" r:id="rId13"/>
        </w:object>
      </w:r>
    </w:p>
    <w:p w:rsidR="00A2097D" w:rsidRDefault="00A2097D" w:rsidP="00E85787">
      <w:pPr>
        <w:rPr>
          <w:lang w:eastAsia="en-GB"/>
        </w:rPr>
      </w:pPr>
    </w:p>
    <w:p w:rsidR="00E85787" w:rsidRDefault="00E85787" w:rsidP="00E85787">
      <w:pPr>
        <w:rPr>
          <w:lang w:eastAsia="en-GB"/>
        </w:rPr>
      </w:pPr>
      <w:r w:rsidRPr="00E85787">
        <w:rPr>
          <w:u w:val="single"/>
          <w:lang w:eastAsia="en-GB"/>
        </w:rPr>
        <w:t>Background:</w:t>
      </w:r>
      <w:r>
        <w:rPr>
          <w:lang w:eastAsia="en-GB"/>
        </w:rPr>
        <w:t xml:space="preserve"> </w:t>
      </w:r>
      <w:r>
        <w:rPr>
          <w:lang w:eastAsia="en-GB"/>
        </w:rPr>
        <w:br/>
      </w:r>
      <w:r>
        <w:t>The usage of COIN has been strictly limited so the proposal of ZA is to distinguish Foreign and Local dividend differently than using COIN.</w:t>
      </w:r>
      <w:r>
        <w:rPr>
          <w:lang w:eastAsia="en-GB"/>
        </w:rPr>
        <w:t xml:space="preserve"> </w:t>
      </w:r>
    </w:p>
    <w:p w:rsidR="00A2097D" w:rsidRDefault="00A2097D" w:rsidP="00A2097D">
      <w:r>
        <w:t>TAXR / WITL are not enough to distinguish what is from the issuing part and the local part of the taxation.</w:t>
      </w:r>
    </w:p>
    <w:p w:rsidR="00E85787" w:rsidRPr="00A2097D" w:rsidRDefault="00E85787" w:rsidP="00E70CF3">
      <w:pPr>
        <w:rPr>
          <w:u w:val="single"/>
        </w:rPr>
      </w:pPr>
      <w:r w:rsidRPr="00A2097D">
        <w:rPr>
          <w:u w:val="single"/>
        </w:rPr>
        <w:t>Discussion during the call:</w:t>
      </w:r>
    </w:p>
    <w:p w:rsidR="00DD2DFA" w:rsidRDefault="00A2097D" w:rsidP="00E70CF3">
      <w:r>
        <w:t xml:space="preserve">=&gt; </w:t>
      </w:r>
      <w:r w:rsidR="00E85787">
        <w:t>Regarding the code, should ZA propose FDIV?</w:t>
      </w:r>
      <w:r w:rsidR="00E85787">
        <w:br/>
      </w:r>
      <w:r w:rsidR="00DD2DFA">
        <w:t xml:space="preserve">FDIV code already exists as Final Dividend </w:t>
      </w:r>
      <w:r>
        <w:t>(to distinguish Final Dividend vs</w:t>
      </w:r>
      <w:r w:rsidR="00DD2DFA">
        <w:t xml:space="preserve"> Partial Dividend</w:t>
      </w:r>
      <w:r>
        <w:t>, PDIV). Another code should be chosen.</w:t>
      </w:r>
    </w:p>
    <w:p w:rsidR="00A2097D" w:rsidRDefault="00A2097D" w:rsidP="00E70CF3">
      <w:r>
        <w:t>Nevertheless, it is confirmed during the call that the exact is reviewed by Standards before implementation and maybe different from the original proposal, so nothing urgent on that topic.</w:t>
      </w:r>
    </w:p>
    <w:p w:rsidR="00A2097D" w:rsidRDefault="00A2097D" w:rsidP="00E70CF3">
      <w:pPr>
        <w:rPr>
          <w:lang w:eastAsia="en-GB"/>
        </w:rPr>
      </w:pPr>
      <w:r>
        <w:rPr>
          <w:lang w:eastAsia="en-GB"/>
        </w:rPr>
        <w:t>Jacques and SWIFT Standards will investigate on their side in due time.</w:t>
      </w:r>
    </w:p>
    <w:p w:rsidR="00E70CF3" w:rsidRDefault="00A2097D" w:rsidP="00E70CF3">
      <w:pPr>
        <w:rPr>
          <w:lang w:eastAsia="en-GB"/>
        </w:rPr>
      </w:pPr>
      <w:r>
        <w:rPr>
          <w:lang w:eastAsia="en-GB"/>
        </w:rPr>
        <w:t>=&gt; Should we have the exact country or only an indicator?</w:t>
      </w:r>
    </w:p>
    <w:p w:rsidR="00FE4324" w:rsidRDefault="00FE4324" w:rsidP="00FE4324">
      <w:r>
        <w:t>Some feedbacks / comments already received from main actors in South Africa is to indicate a country code and not only indicator.</w:t>
      </w:r>
    </w:p>
    <w:p w:rsidR="00FE4324" w:rsidRDefault="00A2097D" w:rsidP="00FE4324">
      <w:r>
        <w:t xml:space="preserve">Regarding </w:t>
      </w:r>
      <w:r w:rsidR="00FE4324">
        <w:t>multi listed</w:t>
      </w:r>
      <w:r>
        <w:t xml:space="preserve"> securities</w:t>
      </w:r>
      <w:r w:rsidR="00FE4324">
        <w:t xml:space="preserve"> in Scandinavian countries</w:t>
      </w:r>
      <w:r>
        <w:t>, Urban said that it may</w:t>
      </w:r>
      <w:r w:rsidR="00FE4324">
        <w:t xml:space="preserve"> be interesting</w:t>
      </w:r>
      <w:r>
        <w:t xml:space="preserve">. To be checked if it could be applicable </w:t>
      </w:r>
      <w:r w:rsidR="00FE4324">
        <w:t xml:space="preserve"> </w:t>
      </w:r>
    </w:p>
    <w:p w:rsidR="00A2097D" w:rsidRDefault="00A2097D" w:rsidP="00FE4324"/>
    <w:p w:rsidR="00A2097D" w:rsidRPr="00F62B1B" w:rsidRDefault="00A2097D" w:rsidP="00A2097D">
      <w:pPr>
        <w:pStyle w:val="Actions"/>
        <w:rPr>
          <w:lang w:val="en-US"/>
        </w:rPr>
      </w:pPr>
      <w:r w:rsidRPr="00F62B1B">
        <w:rPr>
          <w:b/>
          <w:u w:val="single"/>
          <w:lang w:val="en-US"/>
        </w:rPr>
        <w:t>Action</w:t>
      </w:r>
      <w:r w:rsidRPr="00F62B1B">
        <w:rPr>
          <w:lang w:val="en-US"/>
        </w:rPr>
        <w:t xml:space="preserve">: </w:t>
      </w:r>
    </w:p>
    <w:p w:rsidR="00FE4324" w:rsidRPr="00E70CF3" w:rsidRDefault="003D5BDB" w:rsidP="00A2097D">
      <w:pPr>
        <w:pStyle w:val="Actions"/>
      </w:pPr>
      <w:r>
        <w:lastRenderedPageBreak/>
        <w:t>Subject presented during the April SMPG</w:t>
      </w:r>
      <w:r w:rsidR="000E1DBE">
        <w:t>. No more actions related to the Tax sub-group</w:t>
      </w:r>
      <w:r>
        <w:t xml:space="preserve">. </w:t>
      </w:r>
      <w:r w:rsidR="000E1DBE">
        <w:br/>
      </w:r>
      <w:r>
        <w:t xml:space="preserve">Topic </w:t>
      </w:r>
      <w:r w:rsidR="000E1DBE">
        <w:t>closed</w:t>
      </w:r>
      <w:r>
        <w:t xml:space="preserve">. </w:t>
      </w:r>
    </w:p>
    <w:p w:rsidR="003351CE" w:rsidRPr="003351CE" w:rsidRDefault="003351CE" w:rsidP="003351CE">
      <w:pPr>
        <w:pStyle w:val="Heading1"/>
        <w:numPr>
          <w:ilvl w:val="0"/>
          <w:numId w:val="0"/>
        </w:numPr>
        <w:rPr>
          <w:lang w:val="en-GB"/>
        </w:rPr>
      </w:pPr>
      <w:bookmarkStart w:id="9" w:name="_Toc498961566"/>
      <w:bookmarkStart w:id="10" w:name="_Toc524942272"/>
      <w:r>
        <w:t>CA</w:t>
      </w:r>
      <w:r w:rsidR="001E4538">
        <w:t xml:space="preserve"> </w:t>
      </w:r>
      <w:r>
        <w:t xml:space="preserve">315 </w:t>
      </w:r>
      <w:r w:rsidR="00AF055D">
        <w:t xml:space="preserve">- </w:t>
      </w:r>
      <w:r>
        <w:t>Extending CA MPs to ISO 20022</w:t>
      </w:r>
      <w:bookmarkEnd w:id="9"/>
      <w:r>
        <w:t xml:space="preserve"> - H</w:t>
      </w:r>
      <w:r w:rsidRPr="003351CE">
        <w:t>ow to tax cash dividend events and reinvest on cash dividend events in the context of an omnibus account.</w:t>
      </w:r>
      <w:bookmarkEnd w:id="10"/>
    </w:p>
    <w:p w:rsidR="003351CE" w:rsidRPr="00F24BEB" w:rsidRDefault="003351CE" w:rsidP="003351CE">
      <w:pPr>
        <w:rPr>
          <w:lang w:eastAsia="en-GB"/>
        </w:rPr>
      </w:pPr>
      <w:r w:rsidRPr="00F24BEB">
        <w:rPr>
          <w:lang w:eastAsia="en-GB"/>
        </w:rPr>
        <w:t>Topic discussed within the CA SMPG.</w:t>
      </w:r>
    </w:p>
    <w:p w:rsidR="003351CE" w:rsidRPr="00F24BEB" w:rsidRDefault="003351CE" w:rsidP="003351CE">
      <w:pPr>
        <w:rPr>
          <w:lang w:eastAsia="en-GB"/>
        </w:rPr>
      </w:pPr>
      <w:r w:rsidRPr="00F24BEB">
        <w:rPr>
          <w:lang w:eastAsia="en-GB"/>
        </w:rPr>
        <w:t>Below the comments provided during the November CA SMPG call</w:t>
      </w:r>
    </w:p>
    <w:p w:rsidR="003351CE" w:rsidRPr="00F24BEB" w:rsidRDefault="003351CE" w:rsidP="003351CE">
      <w:pPr>
        <w:rPr>
          <w:lang w:eastAsia="en-GB"/>
        </w:rPr>
      </w:pPr>
      <w:r w:rsidRPr="00F24BEB">
        <w:rPr>
          <w:lang w:eastAsia="en-GB"/>
        </w:rPr>
        <w:t>No issues in AU. The omnibus account is split in different categories of tax regimes.</w:t>
      </w:r>
    </w:p>
    <w:p w:rsidR="003351CE" w:rsidRPr="00F24BEB" w:rsidRDefault="003351CE" w:rsidP="003351CE">
      <w:pPr>
        <w:rPr>
          <w:lang w:eastAsia="en-GB"/>
        </w:rPr>
      </w:pPr>
      <w:r w:rsidRPr="00F24BEB">
        <w:rPr>
          <w:lang w:eastAsia="en-GB"/>
        </w:rPr>
        <w:t xml:space="preserve">No issues in SE, the default (highest) tax rate is applied and is followed by a tax breakdown process with domicile certificates requested. </w:t>
      </w:r>
    </w:p>
    <w:p w:rsidR="003351CE" w:rsidRPr="00F24BEB" w:rsidRDefault="003351CE" w:rsidP="003351CE">
      <w:pPr>
        <w:rPr>
          <w:lang w:eastAsia="en-GB"/>
        </w:rPr>
      </w:pPr>
      <w:r w:rsidRPr="00F24BEB">
        <w:rPr>
          <w:lang w:eastAsia="en-GB"/>
        </w:rPr>
        <w:t>No Issue in DE with reinvestments either.</w:t>
      </w:r>
    </w:p>
    <w:p w:rsidR="003351CE" w:rsidRDefault="003351CE" w:rsidP="003351CE">
      <w:pPr>
        <w:rPr>
          <w:lang w:eastAsia="en-GB"/>
        </w:rPr>
      </w:pPr>
      <w:r w:rsidRPr="00F24BEB">
        <w:rPr>
          <w:lang w:eastAsia="en-GB"/>
        </w:rPr>
        <w:t>In RU, according current legislation in Russia we do not have account type «omnibus account». Reinvestment within a CA is not supported by legislation in Russia. Beneficial owners does not have such possibility (t reinvest proceeds) within a CA.</w:t>
      </w:r>
    </w:p>
    <w:p w:rsidR="00A2097D" w:rsidRPr="003D5BDB" w:rsidRDefault="00A2097D" w:rsidP="003351CE">
      <w:pPr>
        <w:rPr>
          <w:lang w:eastAsia="en-GB"/>
        </w:rPr>
      </w:pPr>
      <w:r w:rsidRPr="003D5BDB">
        <w:rPr>
          <w:lang w:eastAsia="en-GB"/>
        </w:rPr>
        <w:t>Comment during March call:</w:t>
      </w:r>
    </w:p>
    <w:p w:rsidR="00A2097D" w:rsidRPr="00A2097D" w:rsidRDefault="00A2097D" w:rsidP="00A2097D">
      <w:pPr>
        <w:pStyle w:val="Actions"/>
        <w:rPr>
          <w:color w:val="auto"/>
        </w:rPr>
      </w:pPr>
      <w:r w:rsidRPr="003D5BDB">
        <w:rPr>
          <w:color w:val="auto"/>
        </w:rPr>
        <w:t>Used very often in Scandinavian countries, Urban would be interested in working on the workflow</w:t>
      </w:r>
    </w:p>
    <w:p w:rsidR="00A2097D" w:rsidRPr="00F24BEB" w:rsidRDefault="00A2097D" w:rsidP="003351CE">
      <w:pPr>
        <w:rPr>
          <w:lang w:eastAsia="en-GB"/>
        </w:rPr>
      </w:pPr>
    </w:p>
    <w:p w:rsidR="00EE5A47" w:rsidRPr="009F668F" w:rsidRDefault="00EE5A47" w:rsidP="00EE5A47">
      <w:pPr>
        <w:pStyle w:val="Actions"/>
        <w:rPr>
          <w:b/>
          <w:u w:val="single"/>
          <w:lang w:val="en-US"/>
        </w:rPr>
      </w:pPr>
      <w:r w:rsidRPr="009F668F">
        <w:rPr>
          <w:b/>
          <w:u w:val="single"/>
          <w:lang w:val="en-US"/>
        </w:rPr>
        <w:t>Action:</w:t>
      </w:r>
    </w:p>
    <w:p w:rsidR="00EE5A47" w:rsidRDefault="00EE5A47" w:rsidP="00EE5A47">
      <w:pPr>
        <w:pStyle w:val="Actions"/>
      </w:pPr>
      <w:r w:rsidRPr="00EE5A47">
        <w:t>The Tax S</w:t>
      </w:r>
      <w:r w:rsidR="00E70CF3">
        <w:t>ub Group</w:t>
      </w:r>
      <w:r w:rsidRPr="00EE5A47">
        <w:t xml:space="preserve"> will deal with the more global “tax breakdown” issue</w:t>
      </w:r>
      <w:r w:rsidR="005709F5">
        <w:t>.</w:t>
      </w:r>
    </w:p>
    <w:p w:rsidR="00F358E8" w:rsidRDefault="00F358E8" w:rsidP="00EE5A47">
      <w:pPr>
        <w:pStyle w:val="Actions"/>
      </w:pPr>
    </w:p>
    <w:p w:rsidR="00AF055D" w:rsidRDefault="00AF055D" w:rsidP="00AF055D">
      <w:pPr>
        <w:pStyle w:val="Heading1"/>
        <w:numPr>
          <w:ilvl w:val="0"/>
          <w:numId w:val="0"/>
        </w:numPr>
      </w:pPr>
      <w:bookmarkStart w:id="11" w:name="_Toc513565031"/>
      <w:bookmarkStart w:id="12" w:name="_Toc524942273"/>
      <w:r>
        <w:t>CA387</w:t>
      </w:r>
      <w:r>
        <w:t xml:space="preserve"> - </w:t>
      </w:r>
      <w:r>
        <w:t>MT566 and Tax Breakdown for Omnibus Account</w:t>
      </w:r>
      <w:bookmarkEnd w:id="11"/>
      <w:bookmarkEnd w:id="12"/>
      <w:r>
        <w:t xml:space="preserve"> </w:t>
      </w:r>
    </w:p>
    <w:p w:rsidR="00AF055D" w:rsidRDefault="008434B2" w:rsidP="008434B2">
      <w:pPr>
        <w:pStyle w:val="Actions"/>
        <w:jc w:val="left"/>
        <w:rPr>
          <w:color w:val="auto"/>
        </w:rPr>
      </w:pPr>
      <w:r w:rsidRPr="008434B2">
        <w:rPr>
          <w:color w:val="auto"/>
        </w:rPr>
        <w:t xml:space="preserve">Subject initially raised </w:t>
      </w:r>
      <w:r>
        <w:rPr>
          <w:color w:val="auto"/>
        </w:rPr>
        <w:t>initially by Delphine within the Tax sub-group.</w:t>
      </w:r>
    </w:p>
    <w:p w:rsidR="008434B2" w:rsidRPr="00AF055D" w:rsidRDefault="008434B2" w:rsidP="008434B2">
      <w:pPr>
        <w:pStyle w:val="Actions"/>
        <w:jc w:val="left"/>
        <w:rPr>
          <w:lang w:val="en-US"/>
        </w:rPr>
      </w:pPr>
      <w:r>
        <w:rPr>
          <w:color w:val="auto"/>
        </w:rPr>
        <w:t>Discussed during April SMPG.</w:t>
      </w:r>
    </w:p>
    <w:p w:rsidR="008434B2" w:rsidRDefault="008434B2" w:rsidP="008434B2">
      <w:pPr>
        <w:spacing w:after="0" w:line="280" w:lineRule="atLeast"/>
        <w:contextualSpacing/>
      </w:pPr>
      <w:r>
        <w:t>Feedback received from remaining NMPGs:</w:t>
      </w:r>
    </w:p>
    <w:p w:rsidR="008434B2" w:rsidRDefault="008434B2" w:rsidP="008434B2">
      <w:r>
        <w:t>FI: One MT566 is sent per account and tax rate</w:t>
      </w:r>
    </w:p>
    <w:p w:rsidR="008434B2" w:rsidRDefault="008434B2" w:rsidP="008434B2">
      <w:r>
        <w:t>PL: KDPW sends an aggregated MX CACO (seev.036) with multiple BO movements. CSD members split that into multiple MT566, one per BO.</w:t>
      </w:r>
    </w:p>
    <w:p w:rsidR="008434B2" w:rsidRDefault="008434B2" w:rsidP="008434B2">
      <w:r>
        <w:t>SE: sends either one MT566 per tax rate or one MT566 per account.</w:t>
      </w:r>
    </w:p>
    <w:p w:rsidR="008434B2" w:rsidRDefault="008434B2" w:rsidP="008434B2">
      <w:r>
        <w:t>DK: Only two NMPG members responded; both send one MT566 per account and tax rate.</w:t>
      </w:r>
    </w:p>
    <w:p w:rsidR="008434B2" w:rsidRDefault="008434B2" w:rsidP="008434B2">
      <w:r>
        <w:t>JP: Depends on the sub custodian, some send one MT566 per account and others send one MT566 per account and tax rate.</w:t>
      </w:r>
    </w:p>
    <w:p w:rsidR="008434B2" w:rsidRDefault="008434B2" w:rsidP="008434B2">
      <w:r>
        <w:t>ZA: Depends on the custodian, some send one MT566 per account and others send one MT566 per account and tax rate.</w:t>
      </w:r>
    </w:p>
    <w:p w:rsidR="008434B2" w:rsidRDefault="008434B2" w:rsidP="008434B2">
      <w:r>
        <w:t>Follows a d</w:t>
      </w:r>
      <w:r w:rsidRPr="00B3529B">
        <w:t>iscussion of what exactly the original question was</w:t>
      </w:r>
      <w:r>
        <w:t xml:space="preserve">: </w:t>
      </w:r>
      <w:r w:rsidRPr="00B3529B">
        <w:t>did it refer to a breakdown received before payment date, a breakdown received after payment date/i.e. a quick refund or a tax reclaim?</w:t>
      </w:r>
    </w:p>
    <w:p w:rsidR="008434B2" w:rsidRDefault="008434B2" w:rsidP="008434B2">
      <w:r>
        <w:t>From a GMP1 market practice perspective, it should not matter, as long as the movements in the messages reconcile with the movements on the account/s, we are fine.</w:t>
      </w:r>
    </w:p>
    <w:p w:rsidR="008434B2" w:rsidRPr="008434B2" w:rsidRDefault="008434B2" w:rsidP="008434B2">
      <w:pPr>
        <w:pStyle w:val="Actions"/>
        <w:numPr>
          <w:ilvl w:val="0"/>
          <w:numId w:val="35"/>
        </w:numPr>
        <w:jc w:val="left"/>
        <w:rPr>
          <w:color w:val="auto"/>
        </w:rPr>
      </w:pPr>
      <w:r w:rsidRPr="008434B2">
        <w:rPr>
          <w:b/>
          <w:color w:val="auto"/>
        </w:rPr>
        <w:t>Action</w:t>
      </w:r>
      <w:r w:rsidRPr="008434B2">
        <w:rPr>
          <w:b/>
          <w:color w:val="auto"/>
        </w:rPr>
        <w:t xml:space="preserve"> mentioned during the global SMPG</w:t>
      </w:r>
      <w:r w:rsidRPr="008434B2">
        <w:rPr>
          <w:color w:val="auto"/>
        </w:rPr>
        <w:t>: The Tax SG to revert in case they wish to create a market practice on use of aggregated tax rate</w:t>
      </w:r>
    </w:p>
    <w:p w:rsidR="00D25BE6" w:rsidRPr="008434B2" w:rsidRDefault="008434B2" w:rsidP="00EF7F89">
      <w:pPr>
        <w:pStyle w:val="Actions"/>
        <w:rPr>
          <w:b/>
          <w:color w:val="auto"/>
        </w:rPr>
      </w:pPr>
      <w:r w:rsidRPr="008434B2">
        <w:rPr>
          <w:b/>
          <w:color w:val="auto"/>
        </w:rPr>
        <w:t>////</w:t>
      </w:r>
    </w:p>
    <w:p w:rsidR="00561405" w:rsidRDefault="008434B2" w:rsidP="00561405">
      <w:pPr>
        <w:pStyle w:val="Actions"/>
        <w:jc w:val="left"/>
        <w:rPr>
          <w:color w:val="auto"/>
        </w:rPr>
      </w:pPr>
      <w:r>
        <w:rPr>
          <w:color w:val="auto"/>
        </w:rPr>
        <w:t>Initial discussions:</w:t>
      </w: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r>
      <w:r w:rsidRPr="00561405">
        <w:rPr>
          <w:color w:val="auto"/>
        </w:rPr>
        <w:lastRenderedPageBreak/>
        <w:t>Can we report several cash moves to be able to provide the breakdown?</w:t>
      </w:r>
      <w:r w:rsidRPr="00561405">
        <w:rPr>
          <w:color w:val="auto"/>
          <w:lang w:val="en-US"/>
        </w:rPr>
        <w:t xml:space="preserve"> </w:t>
      </w:r>
      <w:r w:rsidRPr="00561405">
        <w:rPr>
          <w:color w:val="auto"/>
          <w:lang w:val="en-US"/>
        </w:rPr>
        <w:br/>
      </w:r>
    </w:p>
    <w:p w:rsidR="00561405" w:rsidRPr="00A2097D" w:rsidRDefault="00561405" w:rsidP="00561405">
      <w:pPr>
        <w:pStyle w:val="Actions"/>
        <w:jc w:val="left"/>
        <w:rPr>
          <w:color w:val="auto"/>
        </w:rPr>
      </w:pPr>
      <w:r w:rsidRPr="00A2097D">
        <w:rPr>
          <w:color w:val="auto"/>
        </w:rPr>
        <w:t xml:space="preserve">Comments during March </w:t>
      </w:r>
      <w:r w:rsidR="00A2097D">
        <w:rPr>
          <w:color w:val="auto"/>
        </w:rPr>
        <w:t xml:space="preserve">2017 </w:t>
      </w:r>
      <w:r w:rsidRPr="00A2097D">
        <w:rPr>
          <w:color w:val="auto"/>
        </w:rPr>
        <w:t>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09774E" w:rsidRDefault="0009774E" w:rsidP="00EF7F89">
      <w:pPr>
        <w:pStyle w:val="Actions"/>
        <w:rPr>
          <w:color w:val="auto"/>
        </w:rPr>
      </w:pPr>
    </w:p>
    <w:p w:rsidR="00280575" w:rsidRPr="009F668F" w:rsidRDefault="00280575" w:rsidP="00EF7F89">
      <w:pPr>
        <w:pStyle w:val="Actions"/>
        <w:rPr>
          <w:color w:val="auto"/>
        </w:rPr>
      </w:pPr>
      <w:r w:rsidRPr="009F668F">
        <w:rPr>
          <w:color w:val="auto"/>
        </w:rPr>
        <w:t>Comments during June 15</w:t>
      </w:r>
      <w:r w:rsidRPr="009F668F">
        <w:rPr>
          <w:color w:val="auto"/>
          <w:vertAlign w:val="superscript"/>
        </w:rPr>
        <w:t>th</w:t>
      </w:r>
      <w:r w:rsidRPr="009F668F">
        <w:rPr>
          <w:color w:val="auto"/>
        </w:rPr>
        <w:t xml:space="preserve"> </w:t>
      </w:r>
      <w:r w:rsidR="00A2097D">
        <w:rPr>
          <w:color w:val="auto"/>
        </w:rPr>
        <w:t xml:space="preserve">2017 </w:t>
      </w:r>
      <w:r w:rsidRPr="009F668F">
        <w:rPr>
          <w:color w:val="auto"/>
        </w:rPr>
        <w:t>call:</w:t>
      </w:r>
    </w:p>
    <w:p w:rsidR="0009774E" w:rsidRPr="009F668F" w:rsidRDefault="00280575" w:rsidP="00EF7F89">
      <w:pPr>
        <w:pStyle w:val="Actions"/>
        <w:rPr>
          <w:color w:val="auto"/>
        </w:rPr>
      </w:pPr>
      <w:r w:rsidRPr="009F668F">
        <w:rPr>
          <w:color w:val="auto"/>
        </w:rPr>
        <w:t xml:space="preserve">The issue is that a </w:t>
      </w:r>
      <w:r w:rsidR="0009774E" w:rsidRPr="009F668F">
        <w:rPr>
          <w:color w:val="auto"/>
        </w:rPr>
        <w:t xml:space="preserve">client = </w:t>
      </w:r>
      <w:r w:rsidRPr="009F668F">
        <w:rPr>
          <w:color w:val="auto"/>
        </w:rPr>
        <w:t xml:space="preserve">an </w:t>
      </w:r>
      <w:r w:rsidR="0009774E" w:rsidRPr="009F668F">
        <w:rPr>
          <w:color w:val="auto"/>
        </w:rPr>
        <w:t>omnibus</w:t>
      </w:r>
      <w:r w:rsidRPr="009F668F">
        <w:rPr>
          <w:color w:val="auto"/>
        </w:rPr>
        <w:t xml:space="preserve"> account, Consequently</w:t>
      </w:r>
      <w:r w:rsidR="00A45224" w:rsidRPr="009F668F">
        <w:rPr>
          <w:color w:val="auto"/>
        </w:rPr>
        <w:t>, for the</w:t>
      </w:r>
      <w:r w:rsidR="0009774E" w:rsidRPr="009F668F">
        <w:rPr>
          <w:color w:val="auto"/>
        </w:rPr>
        <w:t xml:space="preserve"> payment </w:t>
      </w:r>
      <w:r w:rsidR="00A45224" w:rsidRPr="009F668F">
        <w:rPr>
          <w:color w:val="auto"/>
        </w:rPr>
        <w:t>: a single</w:t>
      </w:r>
      <w:r w:rsidR="0009774E" w:rsidRPr="009F668F">
        <w:rPr>
          <w:color w:val="auto"/>
        </w:rPr>
        <w:t xml:space="preserve"> MT566 so</w:t>
      </w:r>
      <w:r w:rsidR="00A45224" w:rsidRPr="009F668F">
        <w:rPr>
          <w:color w:val="auto"/>
        </w:rPr>
        <w:t xml:space="preserve"> a</w:t>
      </w:r>
      <w:r w:rsidR="0009774E" w:rsidRPr="009F668F">
        <w:rPr>
          <w:color w:val="auto"/>
        </w:rPr>
        <w:t xml:space="preserve"> breakdown </w:t>
      </w:r>
      <w:r w:rsidR="00A45224" w:rsidRPr="009F668F">
        <w:rPr>
          <w:color w:val="auto"/>
        </w:rPr>
        <w:t xml:space="preserve">is necessary </w:t>
      </w:r>
      <w:r w:rsidR="0009774E" w:rsidRPr="009F668F">
        <w:rPr>
          <w:color w:val="auto"/>
        </w:rPr>
        <w:t xml:space="preserve">to </w:t>
      </w:r>
      <w:r w:rsidR="00A45224" w:rsidRPr="009F668F">
        <w:rPr>
          <w:color w:val="auto"/>
        </w:rPr>
        <w:t xml:space="preserve">be </w:t>
      </w:r>
      <w:r w:rsidR="0009774E" w:rsidRPr="009F668F">
        <w:rPr>
          <w:color w:val="auto"/>
        </w:rPr>
        <w:t>report</w:t>
      </w:r>
      <w:r w:rsidR="00A45224" w:rsidRPr="009F668F">
        <w:rPr>
          <w:color w:val="auto"/>
        </w:rPr>
        <w:t>ed</w:t>
      </w:r>
    </w:p>
    <w:p w:rsidR="0009774E" w:rsidRPr="009F668F" w:rsidRDefault="00A45224" w:rsidP="00EF7F89">
      <w:pPr>
        <w:pStyle w:val="Actions"/>
        <w:rPr>
          <w:color w:val="auto"/>
        </w:rPr>
      </w:pPr>
      <w:r w:rsidRPr="009F668F">
        <w:rPr>
          <w:color w:val="auto"/>
        </w:rPr>
        <w:t>Should we go to manage s</w:t>
      </w:r>
      <w:r w:rsidR="0009774E" w:rsidRPr="009F668F">
        <w:rPr>
          <w:color w:val="auto"/>
        </w:rPr>
        <w:t>everal cashmoves?</w:t>
      </w:r>
    </w:p>
    <w:p w:rsidR="0009774E" w:rsidRPr="009F668F" w:rsidRDefault="00A45224" w:rsidP="00EF7F89">
      <w:pPr>
        <w:pStyle w:val="Actions"/>
        <w:rPr>
          <w:color w:val="auto"/>
        </w:rPr>
      </w:pPr>
      <w:r w:rsidRPr="009F668F">
        <w:rPr>
          <w:color w:val="auto"/>
        </w:rPr>
        <w:t xml:space="preserve">It seems that BBH has already a similar case, </w:t>
      </w:r>
      <w:r w:rsidR="0009774E" w:rsidRPr="009F668F">
        <w:rPr>
          <w:color w:val="auto"/>
        </w:rPr>
        <w:t>Dana will investigate internally</w:t>
      </w:r>
    </w:p>
    <w:p w:rsidR="0009774E" w:rsidRPr="009F668F" w:rsidRDefault="0009774E" w:rsidP="00EF7F89">
      <w:pPr>
        <w:pStyle w:val="Actions"/>
        <w:rPr>
          <w:color w:val="auto"/>
        </w:rPr>
      </w:pPr>
      <w:r w:rsidRPr="009F668F">
        <w:rPr>
          <w:color w:val="auto"/>
        </w:rPr>
        <w:t xml:space="preserve">What Market Practice </w:t>
      </w:r>
      <w:r w:rsidR="00A45224" w:rsidRPr="009F668F">
        <w:rPr>
          <w:color w:val="auto"/>
        </w:rPr>
        <w:t xml:space="preserve">should we put in place </w:t>
      </w:r>
      <w:r w:rsidRPr="009F668F">
        <w:rPr>
          <w:color w:val="auto"/>
        </w:rPr>
        <w:t xml:space="preserve">and how </w:t>
      </w:r>
      <w:r w:rsidR="00A45224" w:rsidRPr="009F668F">
        <w:rPr>
          <w:color w:val="auto"/>
        </w:rPr>
        <w:t xml:space="preserve">should we </w:t>
      </w:r>
      <w:r w:rsidRPr="009F668F">
        <w:rPr>
          <w:color w:val="auto"/>
        </w:rPr>
        <w:t>document the GMP1</w:t>
      </w:r>
      <w:r w:rsidR="00A45224" w:rsidRPr="009F668F">
        <w:rPr>
          <w:color w:val="auto"/>
        </w:rPr>
        <w:t>?</w:t>
      </w:r>
    </w:p>
    <w:p w:rsidR="0009774E" w:rsidRDefault="00A45224" w:rsidP="00EF7F89">
      <w:pPr>
        <w:pStyle w:val="Actions"/>
        <w:rPr>
          <w:color w:val="auto"/>
        </w:rPr>
      </w:pPr>
      <w:r w:rsidRPr="009F668F">
        <w:rPr>
          <w:color w:val="auto"/>
        </w:rPr>
        <w:t xml:space="preserve">For </w:t>
      </w:r>
      <w:r w:rsidR="0009774E" w:rsidRPr="009F668F">
        <w:rPr>
          <w:color w:val="auto"/>
        </w:rPr>
        <w:t xml:space="preserve">Global Custodians linked to BP2S : </w:t>
      </w:r>
      <w:r w:rsidRPr="009F668F">
        <w:rPr>
          <w:color w:val="auto"/>
        </w:rPr>
        <w:t xml:space="preserve">there are </w:t>
      </w:r>
      <w:r w:rsidR="0009774E" w:rsidRPr="009F668F">
        <w:rPr>
          <w:color w:val="auto"/>
        </w:rPr>
        <w:t>several cashmoves</w:t>
      </w:r>
    </w:p>
    <w:p w:rsidR="0009774E" w:rsidRDefault="0009774E" w:rsidP="00EF7F89">
      <w:pPr>
        <w:pStyle w:val="Actions"/>
        <w:rPr>
          <w:color w:val="auto"/>
        </w:rPr>
      </w:pP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E70CF3" w:rsidRDefault="008434B2" w:rsidP="00EF7F89">
      <w:pPr>
        <w:pStyle w:val="Actions"/>
        <w:rPr>
          <w:lang w:val="en-US"/>
        </w:rPr>
      </w:pPr>
      <w:r>
        <w:rPr>
          <w:lang w:val="en-US"/>
        </w:rPr>
        <w:t xml:space="preserve">To review within the Tax sub-group with a wider audience if a specific Market Practice is  necessary otherwise the subject will be closed. </w:t>
      </w:r>
    </w:p>
    <w:p w:rsidR="00AF055D" w:rsidRPr="00964659" w:rsidRDefault="00AF055D" w:rsidP="00AF055D">
      <w:pPr>
        <w:pStyle w:val="Heading1"/>
        <w:numPr>
          <w:ilvl w:val="0"/>
          <w:numId w:val="0"/>
        </w:numPr>
      </w:pPr>
      <w:bookmarkStart w:id="13" w:name="_Toc524942274"/>
      <w:r>
        <w:t>Other topics</w:t>
      </w:r>
      <w:bookmarkEnd w:id="13"/>
    </w:p>
    <w:p w:rsidR="006D78FA" w:rsidRPr="009F668F" w:rsidRDefault="006D78FA" w:rsidP="00940B62">
      <w:pPr>
        <w:pStyle w:val="Actions"/>
        <w:numPr>
          <w:ilvl w:val="0"/>
          <w:numId w:val="17"/>
        </w:numPr>
        <w:rPr>
          <w:b/>
          <w:color w:val="auto"/>
          <w:u w:val="single"/>
        </w:rPr>
      </w:pPr>
      <w:r w:rsidRPr="009F668F">
        <w:rPr>
          <w:b/>
          <w:color w:val="auto"/>
          <w:u w:val="single"/>
        </w:rPr>
        <w:t>Information about the German Market</w:t>
      </w:r>
    </w:p>
    <w:p w:rsidR="006D78FA" w:rsidRDefault="00E24EF7" w:rsidP="00E70CF3">
      <w:pPr>
        <w:pStyle w:val="Actions"/>
        <w:rPr>
          <w:color w:val="auto"/>
        </w:rPr>
      </w:pPr>
      <w:r w:rsidRPr="00F649AC">
        <w:rPr>
          <w:color w:val="auto"/>
        </w:rPr>
        <w:t>Presentation</w:t>
      </w:r>
      <w:r w:rsidR="00F649AC" w:rsidRPr="00F649AC">
        <w:rPr>
          <w:color w:val="auto"/>
        </w:rPr>
        <w:t xml:space="preserve"> made</w:t>
      </w:r>
      <w:r w:rsidRPr="00F649AC">
        <w:rPr>
          <w:color w:val="auto"/>
        </w:rPr>
        <w:t xml:space="preserve"> by Thomas</w:t>
      </w:r>
      <w:r w:rsidR="00E70CF3" w:rsidRPr="00F649AC">
        <w:rPr>
          <w:color w:val="auto"/>
        </w:rPr>
        <w:t xml:space="preserve"> regarding the </w:t>
      </w:r>
      <w:r w:rsidR="00F649AC" w:rsidRPr="00F649AC">
        <w:rPr>
          <w:color w:val="auto"/>
        </w:rPr>
        <w:t>c</w:t>
      </w:r>
      <w:r w:rsidR="00E70CF3" w:rsidRPr="00F649AC">
        <w:rPr>
          <w:color w:val="auto"/>
        </w:rPr>
        <w:t>hanges of the Tax law (known as new regulation “InvStG”) and a presentation regarding ‘Tax issues’ on T2S</w:t>
      </w:r>
      <w:r w:rsidR="00155CDD" w:rsidRPr="00F649AC">
        <w:rPr>
          <w:color w:val="auto"/>
        </w:rPr>
        <w:t xml:space="preserve"> (focus on Market claims).</w:t>
      </w:r>
    </w:p>
    <w:p w:rsidR="00F649AC" w:rsidRDefault="00F649AC" w:rsidP="00E70CF3">
      <w:pPr>
        <w:pStyle w:val="Actions"/>
        <w:rPr>
          <w:color w:val="auto"/>
        </w:rPr>
      </w:pPr>
      <w:r>
        <w:rPr>
          <w:color w:val="auto"/>
        </w:rPr>
        <w:t>Major highlights:</w:t>
      </w:r>
    </w:p>
    <w:p w:rsidR="00F649AC" w:rsidRDefault="00F649AC" w:rsidP="00F649AC">
      <w:pPr>
        <w:pStyle w:val="Actions"/>
        <w:numPr>
          <w:ilvl w:val="0"/>
          <w:numId w:val="30"/>
        </w:numPr>
        <w:rPr>
          <w:color w:val="auto"/>
        </w:rPr>
      </w:pPr>
      <w:r>
        <w:rPr>
          <w:color w:val="auto"/>
        </w:rPr>
        <w:t xml:space="preserve">No more cash events on accumulation funds </w:t>
      </w:r>
      <w:r w:rsidRPr="00F649AC">
        <w:rPr>
          <w:color w:val="auto"/>
        </w:rPr>
        <w:t>(Thesaurierenden Fonds)</w:t>
      </w:r>
    </w:p>
    <w:p w:rsidR="00F649AC" w:rsidRDefault="00AE2F33" w:rsidP="00F649AC">
      <w:pPr>
        <w:pStyle w:val="Actions"/>
        <w:numPr>
          <w:ilvl w:val="0"/>
          <w:numId w:val="30"/>
        </w:numPr>
        <w:rPr>
          <w:color w:val="auto"/>
        </w:rPr>
      </w:pPr>
      <w:r>
        <w:rPr>
          <w:color w:val="auto"/>
        </w:rPr>
        <w:t>Due to the new rules, there will be some obligations for the foreign investment funds related to the Fund Status Certificate that they will have to manage.</w:t>
      </w:r>
    </w:p>
    <w:p w:rsidR="00AE2F33" w:rsidRDefault="00AE2F33" w:rsidP="00AE2F33">
      <w:pPr>
        <w:pStyle w:val="Actions"/>
        <w:rPr>
          <w:color w:val="auto"/>
        </w:rPr>
      </w:pPr>
      <w:r>
        <w:rPr>
          <w:color w:val="auto"/>
        </w:rPr>
        <w:t>Advantages of the law:</w:t>
      </w:r>
    </w:p>
    <w:p w:rsidR="00AE2F33" w:rsidRDefault="00AE2F33" w:rsidP="00AE2F33">
      <w:pPr>
        <w:pStyle w:val="Actions"/>
        <w:rPr>
          <w:color w:val="auto"/>
        </w:rPr>
      </w:pPr>
      <w:r>
        <w:rPr>
          <w:color w:val="auto"/>
        </w:rPr>
        <w:t>- For shareholders, no more tax for incomes distributed by the fund</w:t>
      </w:r>
    </w:p>
    <w:p w:rsidR="00156917" w:rsidRDefault="00AE2F33" w:rsidP="00AE2F33">
      <w:pPr>
        <w:pStyle w:val="Actions"/>
        <w:rPr>
          <w:color w:val="auto"/>
        </w:rPr>
      </w:pPr>
      <w:r>
        <w:rPr>
          <w:color w:val="auto"/>
        </w:rPr>
        <w:t>- For the fund itself: taxation moving from 26%</w:t>
      </w:r>
      <w:r w:rsidR="00156917">
        <w:rPr>
          <w:color w:val="auto"/>
        </w:rPr>
        <w:t xml:space="preserve"> to 15%</w:t>
      </w:r>
    </w:p>
    <w:p w:rsidR="00156917" w:rsidRDefault="00156917" w:rsidP="00AE2F33">
      <w:pPr>
        <w:pStyle w:val="Actions"/>
        <w:rPr>
          <w:color w:val="auto"/>
        </w:rPr>
      </w:pPr>
    </w:p>
    <w:p w:rsidR="00156917" w:rsidRDefault="00156917" w:rsidP="00AE2F33">
      <w:pPr>
        <w:pStyle w:val="Actions"/>
        <w:rPr>
          <w:color w:val="auto"/>
        </w:rPr>
      </w:pPr>
      <w:r>
        <w:rPr>
          <w:color w:val="auto"/>
        </w:rPr>
        <w:t>More generally, the goal of the new law is to remove the Tax discrimination between German funds vs non-German funds.</w:t>
      </w:r>
    </w:p>
    <w:p w:rsidR="00D66A3E" w:rsidRDefault="00156917" w:rsidP="00AE2F33">
      <w:pPr>
        <w:pStyle w:val="Actions"/>
        <w:rPr>
          <w:color w:val="auto"/>
        </w:rPr>
      </w:pPr>
      <w:r>
        <w:rPr>
          <w:color w:val="auto"/>
        </w:rPr>
        <w:t xml:space="preserve">Open issues: Market claims. Thomas explained that the key point is to identify for whom the transactions have been made. The Custodian can identify the Financial Institutions and not the final client. </w:t>
      </w:r>
      <w:r w:rsidR="00AE2F33">
        <w:rPr>
          <w:color w:val="auto"/>
        </w:rPr>
        <w:t xml:space="preserve"> </w:t>
      </w:r>
      <w:r w:rsidR="00D66A3E">
        <w:rPr>
          <w:color w:val="auto"/>
        </w:rPr>
        <w:t>Current proposal is that Market Claims settle as gross in T2S.</w:t>
      </w:r>
    </w:p>
    <w:p w:rsidR="00AE2F33" w:rsidRPr="00F649AC" w:rsidRDefault="00D66A3E" w:rsidP="00AE2F33">
      <w:pPr>
        <w:pStyle w:val="Actions"/>
        <w:rPr>
          <w:color w:val="auto"/>
        </w:rPr>
      </w:pPr>
      <w:r>
        <w:rPr>
          <w:color w:val="auto"/>
        </w:rPr>
        <w:t xml:space="preserve">FAQ related to the new law should be published by German authorities. </w:t>
      </w:r>
    </w:p>
    <w:p w:rsidR="00F649AC" w:rsidRPr="00155CDD" w:rsidRDefault="00F649AC" w:rsidP="00E70CF3">
      <w:pPr>
        <w:pStyle w:val="Actions"/>
        <w:rPr>
          <w:color w:val="auto"/>
          <w:highlight w:val="green"/>
        </w:rPr>
      </w:pPr>
    </w:p>
    <w:p w:rsidR="00CD02B5" w:rsidRDefault="00D66A3E" w:rsidP="00E70CF3">
      <w:pPr>
        <w:pStyle w:val="Actions"/>
        <w:rPr>
          <w:color w:val="auto"/>
        </w:rPr>
      </w:pPr>
      <w:r>
        <w:rPr>
          <w:color w:val="auto"/>
        </w:rPr>
        <w:object w:dxaOrig="1550" w:dyaOrig="991">
          <v:shape id="_x0000_i1030" type="#_x0000_t75" style="width:77.25pt;height:49.5pt" o:ole="">
            <v:imagedata r:id="rId14" o:title=""/>
          </v:shape>
          <o:OLEObject Type="Embed" ProgID="AcroExch.Document.2017" ShapeID="_x0000_i1030" DrawAspect="Icon" ObjectID="_1598686633" r:id="rId15"/>
        </w:object>
      </w:r>
      <w:r w:rsidR="00CD02B5">
        <w:rPr>
          <w:color w:val="auto"/>
        </w:rPr>
        <w:tab/>
      </w:r>
      <w:r>
        <w:rPr>
          <w:color w:val="auto"/>
        </w:rPr>
        <w:object w:dxaOrig="1550" w:dyaOrig="991">
          <v:shape id="_x0000_i1031" type="#_x0000_t75" style="width:77.25pt;height:49.5pt" o:ole="">
            <v:imagedata r:id="rId16" o:title=""/>
          </v:shape>
          <o:OLEObject Type="Embed" ProgID="AcroExch.Document.2017" ShapeID="_x0000_i1031" DrawAspect="Icon" ObjectID="_1598686634" r:id="rId17"/>
        </w:object>
      </w:r>
    </w:p>
    <w:p w:rsidR="00E70CF3" w:rsidRPr="00F62B1B" w:rsidRDefault="00E70CF3" w:rsidP="00E70CF3">
      <w:pPr>
        <w:pStyle w:val="Actions"/>
        <w:rPr>
          <w:lang w:val="en-US"/>
        </w:rPr>
      </w:pPr>
      <w:r w:rsidRPr="00F62B1B">
        <w:rPr>
          <w:b/>
          <w:u w:val="single"/>
          <w:lang w:val="en-US"/>
        </w:rPr>
        <w:t>Action</w:t>
      </w:r>
      <w:r w:rsidRPr="00F62B1B">
        <w:rPr>
          <w:lang w:val="en-US"/>
        </w:rPr>
        <w:t xml:space="preserve">: </w:t>
      </w:r>
    </w:p>
    <w:p w:rsidR="00E70CF3" w:rsidRDefault="008434B2" w:rsidP="00E70CF3">
      <w:pPr>
        <w:pStyle w:val="Actions"/>
        <w:rPr>
          <w:lang w:val="en-US"/>
        </w:rPr>
      </w:pPr>
      <w:r>
        <w:rPr>
          <w:lang w:val="en-US"/>
        </w:rPr>
        <w:t xml:space="preserve">No </w:t>
      </w:r>
      <w:r w:rsidR="00666A56">
        <w:rPr>
          <w:lang w:val="en-US"/>
        </w:rPr>
        <w:t>additional</w:t>
      </w:r>
      <w:r>
        <w:rPr>
          <w:lang w:val="en-US"/>
        </w:rPr>
        <w:t xml:space="preserve"> questions raised on the new German law</w:t>
      </w:r>
      <w:r w:rsidR="00666A56">
        <w:rPr>
          <w:lang w:val="en-US"/>
        </w:rPr>
        <w:t>.</w:t>
      </w:r>
      <w:r>
        <w:rPr>
          <w:lang w:val="en-US"/>
        </w:rPr>
        <w:t xml:space="preserve"> topic to close.</w:t>
      </w:r>
      <w:bookmarkStart w:id="14" w:name="_GoBack"/>
      <w:bookmarkEnd w:id="14"/>
    </w:p>
    <w:p w:rsidR="00155CDD" w:rsidRDefault="00155CDD" w:rsidP="00E70CF3">
      <w:pPr>
        <w:pStyle w:val="Actions"/>
        <w:rPr>
          <w:lang w:val="en-US"/>
        </w:rPr>
      </w:pPr>
    </w:p>
    <w:p w:rsidR="00E60462" w:rsidRDefault="00E60462" w:rsidP="00EF7F89">
      <w:pPr>
        <w:pStyle w:val="Heading1"/>
        <w:numPr>
          <w:ilvl w:val="0"/>
          <w:numId w:val="0"/>
        </w:numPr>
      </w:pPr>
      <w:bookmarkStart w:id="15" w:name="_Toc524942275"/>
      <w:r>
        <w:t xml:space="preserve">Next </w:t>
      </w:r>
      <w:r w:rsidR="00AC3C0E">
        <w:t>Conference Call</w:t>
      </w:r>
      <w:bookmarkEnd w:id="15"/>
    </w:p>
    <w:p w:rsidR="00AF12D0" w:rsidRDefault="00AF12D0" w:rsidP="0026493B">
      <w:pPr>
        <w:pStyle w:val="ListParagraph"/>
        <w:rPr>
          <w:bCs/>
          <w:iCs/>
          <w:sz w:val="20"/>
        </w:rPr>
      </w:pPr>
    </w:p>
    <w:p w:rsidR="00D66A3E" w:rsidRDefault="00D66A3E" w:rsidP="00D66A3E">
      <w:pPr>
        <w:rPr>
          <w:lang w:val="en-AU"/>
        </w:rPr>
      </w:pPr>
      <w:r>
        <w:t xml:space="preserve">- Thursday </w:t>
      </w:r>
      <w:r w:rsidR="008434B2">
        <w:t>20</w:t>
      </w:r>
      <w:r w:rsidR="008434B2" w:rsidRPr="008434B2">
        <w:rPr>
          <w:vertAlign w:val="superscript"/>
        </w:rPr>
        <w:t>th</w:t>
      </w:r>
      <w:r w:rsidR="008434B2">
        <w:t xml:space="preserve"> September</w:t>
      </w:r>
      <w:r>
        <w:t xml:space="preserve"> 2018</w:t>
      </w:r>
      <w:r w:rsidR="00A2097D" w:rsidRPr="00A2097D">
        <w:rPr>
          <w:lang w:val="en-AU"/>
        </w:rPr>
        <w:t xml:space="preserve"> </w:t>
      </w:r>
      <w:r w:rsidR="00A2097D" w:rsidRPr="00E277AC">
        <w:rPr>
          <w:lang w:val="en-AU"/>
        </w:rPr>
        <w:t>from 2 to 4 pm CET</w:t>
      </w:r>
    </w:p>
    <w:p w:rsidR="000E1DBE" w:rsidRDefault="000E1DBE" w:rsidP="000E1DBE">
      <w:pPr>
        <w:rPr>
          <w:lang w:val="en-AU"/>
        </w:rPr>
      </w:pPr>
      <w:r>
        <w:t>- Thursday 2</w:t>
      </w:r>
      <w:r>
        <w:t>2</w:t>
      </w:r>
      <w:r w:rsidRPr="000E1DBE">
        <w:rPr>
          <w:vertAlign w:val="superscript"/>
        </w:rPr>
        <w:t>nd</w:t>
      </w:r>
      <w:r>
        <w:t xml:space="preserve"> </w:t>
      </w:r>
      <w:r>
        <w:t>November</w:t>
      </w:r>
      <w:r>
        <w:t xml:space="preserve"> 2018</w:t>
      </w:r>
      <w:r w:rsidRPr="00A2097D">
        <w:rPr>
          <w:lang w:val="en-AU"/>
        </w:rPr>
        <w:t xml:space="preserve"> </w:t>
      </w:r>
      <w:r w:rsidRPr="00E277AC">
        <w:rPr>
          <w:lang w:val="en-AU"/>
        </w:rPr>
        <w:t>from 2 to 4 pm CET</w:t>
      </w:r>
    </w:p>
    <w:p w:rsidR="000E1DBE" w:rsidRPr="000E1DBE" w:rsidRDefault="000E1DBE" w:rsidP="00D66A3E">
      <w:pPr>
        <w:rPr>
          <w:lang w:val="en-AU"/>
        </w:rPr>
      </w:pPr>
    </w:p>
    <w:p w:rsidR="002A6142" w:rsidRPr="00FC0782" w:rsidRDefault="002A6142" w:rsidP="0018110E">
      <w:pPr>
        <w:rPr>
          <w:bCs/>
          <w:iCs/>
        </w:rPr>
      </w:pPr>
    </w:p>
    <w:bookmarkEnd w:id="3"/>
    <w:bookmarkEnd w:id="4"/>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18"/>
      <w:headerReference w:type="default" r:id="rId19"/>
      <w:footerReference w:type="even" r:id="rId20"/>
      <w:footerReference w:type="default" r:id="rId21"/>
      <w:headerReference w:type="first" r:id="rId22"/>
      <w:footerReference w:type="first" r:id="rId23"/>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E7C" w:rsidRDefault="00F61E7C" w:rsidP="00592037">
      <w:r>
        <w:separator/>
      </w:r>
    </w:p>
    <w:p w:rsidR="00F61E7C" w:rsidRDefault="00F61E7C" w:rsidP="00592037"/>
  </w:endnote>
  <w:endnote w:type="continuationSeparator" w:id="0">
    <w:p w:rsidR="00F61E7C" w:rsidRDefault="00F61E7C" w:rsidP="00592037">
      <w:r>
        <w:continuationSeparator/>
      </w:r>
    </w:p>
    <w:p w:rsidR="00F61E7C" w:rsidRDefault="00F61E7C"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A5" w:rsidRDefault="004D62A5" w:rsidP="004D62A5">
    <w:pPr>
      <w:pStyle w:val="Footer"/>
      <w:spacing w:after="0"/>
      <w:rPr>
        <w:color w:val="000000"/>
        <w:sz w:val="18"/>
      </w:rPr>
    </w:pPr>
    <w:bookmarkStart w:id="16" w:name="SSCStd1FooterEvenPages"/>
    <w:r w:rsidRPr="004D62A5">
      <w:rPr>
        <w:color w:val="000000"/>
        <w:sz w:val="18"/>
      </w:rPr>
      <w:t>Information Classification: General</w:t>
    </w:r>
  </w:p>
  <w:bookmarkEnd w:id="16"/>
  <w:p w:rsidR="00087C38" w:rsidRDefault="00087C38">
    <w:pPr>
      <w:pStyle w:val="Footer"/>
    </w:pPr>
    <w:r>
      <w:tab/>
      <w:t xml:space="preserve">Page </w:t>
    </w:r>
    <w:r>
      <w:fldChar w:fldCharType="begin"/>
    </w:r>
    <w:r>
      <w:instrText xml:space="preserve"> PAGE   \* MERGEFORMAT </w:instrText>
    </w:r>
    <w:r>
      <w:fldChar w:fldCharType="separate"/>
    </w:r>
    <w:r w:rsidR="004D62A5">
      <w:rPr>
        <w:noProof/>
      </w:rPr>
      <w:t>6</w:t>
    </w:r>
    <w:r>
      <w:rPr>
        <w:noProof/>
      </w:rPr>
      <w:fldChar w:fldCharType="end"/>
    </w:r>
  </w:p>
  <w:p w:rsidR="00087C38" w:rsidRDefault="00087C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A5" w:rsidRDefault="004D62A5" w:rsidP="004D62A5">
    <w:pPr>
      <w:pStyle w:val="Footer"/>
      <w:spacing w:after="0"/>
      <w:rPr>
        <w:color w:val="000000"/>
        <w:sz w:val="18"/>
      </w:rPr>
    </w:pPr>
    <w:bookmarkStart w:id="17" w:name="SSCStd1FooterPrimary"/>
    <w:r w:rsidRPr="004D62A5">
      <w:rPr>
        <w:color w:val="000000"/>
        <w:sz w:val="18"/>
      </w:rPr>
      <w:t>Information Classification: General</w:t>
    </w:r>
  </w:p>
  <w:bookmarkEnd w:id="17"/>
  <w:p w:rsidR="00087C38" w:rsidRDefault="00087C38">
    <w:pPr>
      <w:pStyle w:val="Footer"/>
    </w:pPr>
    <w:r>
      <w:tab/>
      <w:t xml:space="preserve">Page </w:t>
    </w:r>
    <w:r>
      <w:fldChar w:fldCharType="begin"/>
    </w:r>
    <w:r>
      <w:instrText xml:space="preserve"> PAGE   \* MERGEFORMAT </w:instrText>
    </w:r>
    <w:r>
      <w:fldChar w:fldCharType="separate"/>
    </w:r>
    <w:r w:rsidR="004D62A5">
      <w:rPr>
        <w:noProof/>
      </w:rPr>
      <w:t>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56" w:rsidRDefault="00666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E7C" w:rsidRDefault="00F61E7C" w:rsidP="00592037">
      <w:r>
        <w:separator/>
      </w:r>
    </w:p>
    <w:p w:rsidR="00F61E7C" w:rsidRDefault="00F61E7C" w:rsidP="00592037"/>
  </w:footnote>
  <w:footnote w:type="continuationSeparator" w:id="0">
    <w:p w:rsidR="00F61E7C" w:rsidRDefault="00F61E7C" w:rsidP="00592037">
      <w:r>
        <w:continuationSeparator/>
      </w:r>
    </w:p>
    <w:p w:rsidR="00F61E7C" w:rsidRDefault="00F61E7C"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E85787">
      <w:rPr>
        <w:b/>
      </w:rPr>
      <w:t>March</w:t>
    </w:r>
    <w:r>
      <w:rPr>
        <w:b/>
      </w:rPr>
      <w:t xml:space="preserve"> 15</w:t>
    </w:r>
    <w:r w:rsidRPr="00337524">
      <w:rPr>
        <w:b/>
        <w:vertAlign w:val="superscript"/>
      </w:rPr>
      <w:t>th</w:t>
    </w:r>
    <w:r>
      <w:rPr>
        <w:b/>
      </w:rPr>
      <w:t>, 201</w:t>
    </w:r>
    <w:r w:rsidR="00E85787">
      <w:rPr>
        <w:b/>
      </w:rPr>
      <w:t>8</w:t>
    </w:r>
  </w:p>
  <w:p w:rsidR="00087C38" w:rsidRPr="00B747C8" w:rsidRDefault="00087C38" w:rsidP="00B747C8">
    <w:pPr>
      <w:ind w:left="6480" w:firstLine="720"/>
      <w:rPr>
        <w:b/>
      </w:rPr>
    </w:pPr>
  </w:p>
  <w:p w:rsidR="00087C38" w:rsidRDefault="00087C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E85787">
      <w:rPr>
        <w:b/>
      </w:rPr>
      <w:t>Ma</w:t>
    </w:r>
    <w:r w:rsidR="003D5BDB">
      <w:rPr>
        <w:b/>
      </w:rPr>
      <w:t>y 3rd</w:t>
    </w:r>
    <w:r>
      <w:rPr>
        <w:b/>
      </w:rPr>
      <w:t>, 201</w:t>
    </w:r>
    <w:r w:rsidR="0051531C">
      <w:rPr>
        <w:b/>
      </w:rPr>
      <w:t>8</w:t>
    </w:r>
  </w:p>
  <w:p w:rsidR="00087C38" w:rsidRPr="00B747C8" w:rsidRDefault="00087C38" w:rsidP="00B747C8">
    <w:pPr>
      <w:ind w:left="6480" w:firstLine="72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56" w:rsidRDefault="00666A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7EA8"/>
    <w:multiLevelType w:val="hybridMultilevel"/>
    <w:tmpl w:val="2424CD0E"/>
    <w:lvl w:ilvl="0" w:tplc="E1B2F810">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16159"/>
    <w:multiLevelType w:val="hybridMultilevel"/>
    <w:tmpl w:val="A87E77F6"/>
    <w:lvl w:ilvl="0" w:tplc="7DF0D73C">
      <w:numFmt w:val="bullet"/>
      <w:lvlText w:val=""/>
      <w:lvlJc w:val="left"/>
      <w:pPr>
        <w:ind w:left="720" w:hanging="360"/>
      </w:pPr>
      <w:rPr>
        <w:rFonts w:ascii="Wingdings" w:eastAsia="Times New Roman" w:hAnsi="Wingdings" w:cs="Arial"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1E82A8F"/>
    <w:multiLevelType w:val="hybridMultilevel"/>
    <w:tmpl w:val="9AA2C27A"/>
    <w:lvl w:ilvl="0" w:tplc="072EB91A">
      <w:numFmt w:val="bullet"/>
      <w:lvlText w:val=""/>
      <w:lvlJc w:val="left"/>
      <w:pPr>
        <w:ind w:left="720" w:hanging="360"/>
      </w:pPr>
      <w:rPr>
        <w:rFonts w:ascii="Wingdings" w:eastAsia="Times New Roman" w:hAnsi="Wingdings" w:cs="Arial"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B35E5"/>
    <w:multiLevelType w:val="hybridMultilevel"/>
    <w:tmpl w:val="A2288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A400663"/>
    <w:multiLevelType w:val="hybridMultilevel"/>
    <w:tmpl w:val="D5EA2E48"/>
    <w:lvl w:ilvl="0" w:tplc="07767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3">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A21A38"/>
    <w:multiLevelType w:val="hybridMultilevel"/>
    <w:tmpl w:val="78D4F8CA"/>
    <w:lvl w:ilvl="0" w:tplc="FA1EDC64">
      <w:numFmt w:val="bullet"/>
      <w:lvlText w:val=""/>
      <w:lvlJc w:val="left"/>
      <w:pPr>
        <w:ind w:left="360" w:hanging="360"/>
      </w:pPr>
      <w:rPr>
        <w:rFonts w:ascii="Wingdings" w:eastAsia="Times New Roman" w:hAnsi="Wingdings"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54FF7B02"/>
    <w:multiLevelType w:val="hybridMultilevel"/>
    <w:tmpl w:val="1062D284"/>
    <w:lvl w:ilvl="0" w:tplc="DEAC2306">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AF50F4"/>
    <w:multiLevelType w:val="hybridMultilevel"/>
    <w:tmpl w:val="20583CCE"/>
    <w:lvl w:ilvl="0" w:tplc="E41A55DA">
      <w:numFmt w:val="bullet"/>
      <w:lvlText w:val=""/>
      <w:lvlJc w:val="left"/>
      <w:pPr>
        <w:ind w:left="720" w:hanging="360"/>
      </w:pPr>
      <w:rPr>
        <w:rFonts w:ascii="Wingdings" w:eastAsia="Times New Roman" w:hAnsi="Wingdings"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2"/>
  </w:num>
  <w:num w:numId="3">
    <w:abstractNumId w:val="7"/>
  </w:num>
  <w:num w:numId="4">
    <w:abstractNumId w:val="2"/>
  </w:num>
  <w:num w:numId="5">
    <w:abstractNumId w:val="21"/>
  </w:num>
  <w:num w:numId="6">
    <w:abstractNumId w:val="20"/>
  </w:num>
  <w:num w:numId="7">
    <w:abstractNumId w:val="17"/>
  </w:num>
  <w:num w:numId="8">
    <w:abstractNumId w:val="10"/>
  </w:num>
  <w:num w:numId="9">
    <w:abstractNumId w:val="27"/>
  </w:num>
  <w:num w:numId="10">
    <w:abstractNumId w:val="24"/>
  </w:num>
  <w:num w:numId="11">
    <w:abstractNumId w:val="6"/>
  </w:num>
  <w:num w:numId="12">
    <w:abstractNumId w:val="22"/>
  </w:num>
  <w:num w:numId="13">
    <w:abstractNumId w:val="23"/>
  </w:num>
  <w:num w:numId="14">
    <w:abstractNumId w:val="9"/>
  </w:num>
  <w:num w:numId="15">
    <w:abstractNumId w:val="5"/>
  </w:num>
  <w:num w:numId="16">
    <w:abstractNumId w:val="28"/>
  </w:num>
  <w:num w:numId="17">
    <w:abstractNumId w:val="25"/>
  </w:num>
  <w:num w:numId="18">
    <w:abstractNumId w:val="15"/>
  </w:num>
  <w:num w:numId="19">
    <w:abstractNumId w:val="14"/>
  </w:num>
  <w:num w:numId="20">
    <w:abstractNumId w:val="2"/>
  </w:num>
  <w:num w:numId="21">
    <w:abstractNumId w:val="11"/>
  </w:num>
  <w:num w:numId="22">
    <w:abstractNumId w:val="13"/>
  </w:num>
  <w:num w:numId="23">
    <w:abstractNumId w:val="2"/>
  </w:num>
  <w:num w:numId="24">
    <w:abstractNumId w:val="2"/>
  </w:num>
  <w:num w:numId="25">
    <w:abstractNumId w:val="0"/>
  </w:num>
  <w:num w:numId="26">
    <w:abstractNumId w:val="18"/>
  </w:num>
  <w:num w:numId="27">
    <w:abstractNumId w:val="1"/>
  </w:num>
  <w:num w:numId="28">
    <w:abstractNumId w:val="26"/>
  </w:num>
  <w:num w:numId="29">
    <w:abstractNumId w:val="2"/>
  </w:num>
  <w:num w:numId="30">
    <w:abstractNumId w:val="8"/>
  </w:num>
  <w:num w:numId="31">
    <w:abstractNumId w:val="4"/>
  </w:num>
  <w:num w:numId="32">
    <w:abstractNumId w:val="2"/>
  </w:num>
  <w:num w:numId="33">
    <w:abstractNumId w:val="2"/>
  </w:num>
  <w:num w:numId="34">
    <w:abstractNumId w:val="3"/>
  </w:num>
  <w:num w:numId="3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B7F95"/>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1DBE"/>
    <w:rsid w:val="000E20CE"/>
    <w:rsid w:val="000E2A55"/>
    <w:rsid w:val="000E2F7A"/>
    <w:rsid w:val="000E44F6"/>
    <w:rsid w:val="000E4ABD"/>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19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009"/>
    <w:rsid w:val="00155A05"/>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6C8"/>
    <w:rsid w:val="00167719"/>
    <w:rsid w:val="00167ADC"/>
    <w:rsid w:val="001712B1"/>
    <w:rsid w:val="00171BF1"/>
    <w:rsid w:val="0017306F"/>
    <w:rsid w:val="00174310"/>
    <w:rsid w:val="001753F9"/>
    <w:rsid w:val="001775DF"/>
    <w:rsid w:val="001800E6"/>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61CF"/>
    <w:rsid w:val="00326BA7"/>
    <w:rsid w:val="00327C15"/>
    <w:rsid w:val="00330A55"/>
    <w:rsid w:val="00330C7E"/>
    <w:rsid w:val="0033211A"/>
    <w:rsid w:val="003324B4"/>
    <w:rsid w:val="00332F91"/>
    <w:rsid w:val="00333A87"/>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65D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D62A5"/>
    <w:rsid w:val="004E0357"/>
    <w:rsid w:val="004E0F76"/>
    <w:rsid w:val="004E0F93"/>
    <w:rsid w:val="004E12E6"/>
    <w:rsid w:val="004E1DAE"/>
    <w:rsid w:val="004E1F19"/>
    <w:rsid w:val="004E210B"/>
    <w:rsid w:val="004E359F"/>
    <w:rsid w:val="004E4036"/>
    <w:rsid w:val="004E4BA3"/>
    <w:rsid w:val="004E616F"/>
    <w:rsid w:val="004E62F4"/>
    <w:rsid w:val="004E646D"/>
    <w:rsid w:val="004E7261"/>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715F"/>
    <w:rsid w:val="00530BA3"/>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364D"/>
    <w:rsid w:val="00563E5D"/>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2809"/>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3869"/>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47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4B9C"/>
    <w:rsid w:val="006E5035"/>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3AB4"/>
    <w:rsid w:val="00734DE6"/>
    <w:rsid w:val="007359F5"/>
    <w:rsid w:val="0073707E"/>
    <w:rsid w:val="0073772C"/>
    <w:rsid w:val="00737BF1"/>
    <w:rsid w:val="0074191F"/>
    <w:rsid w:val="00742ADC"/>
    <w:rsid w:val="00743759"/>
    <w:rsid w:val="00743766"/>
    <w:rsid w:val="00743D57"/>
    <w:rsid w:val="007444CA"/>
    <w:rsid w:val="00745404"/>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96602"/>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EB5"/>
    <w:rsid w:val="009072EB"/>
    <w:rsid w:val="009104DB"/>
    <w:rsid w:val="0091181A"/>
    <w:rsid w:val="009119AB"/>
    <w:rsid w:val="009122A6"/>
    <w:rsid w:val="009127BC"/>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1D42"/>
    <w:rsid w:val="00A129A4"/>
    <w:rsid w:val="00A1308D"/>
    <w:rsid w:val="00A13549"/>
    <w:rsid w:val="00A16682"/>
    <w:rsid w:val="00A2097D"/>
    <w:rsid w:val="00A2179F"/>
    <w:rsid w:val="00A22B3A"/>
    <w:rsid w:val="00A232E0"/>
    <w:rsid w:val="00A233BB"/>
    <w:rsid w:val="00A24769"/>
    <w:rsid w:val="00A24AA4"/>
    <w:rsid w:val="00A2517A"/>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38C7"/>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2F33"/>
    <w:rsid w:val="00AE414F"/>
    <w:rsid w:val="00AE5261"/>
    <w:rsid w:val="00AE6450"/>
    <w:rsid w:val="00AE679C"/>
    <w:rsid w:val="00AF055D"/>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146"/>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6BC6"/>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C89"/>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66AF"/>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16BCF"/>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5818"/>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6A3E"/>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2DFA"/>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7D2"/>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CF3"/>
    <w:rsid w:val="00E70E7D"/>
    <w:rsid w:val="00E7119E"/>
    <w:rsid w:val="00E71632"/>
    <w:rsid w:val="00E73BDD"/>
    <w:rsid w:val="00E747CA"/>
    <w:rsid w:val="00E80485"/>
    <w:rsid w:val="00E81D81"/>
    <w:rsid w:val="00E82007"/>
    <w:rsid w:val="00E82056"/>
    <w:rsid w:val="00E82181"/>
    <w:rsid w:val="00E83286"/>
    <w:rsid w:val="00E83D92"/>
    <w:rsid w:val="00E8461C"/>
    <w:rsid w:val="00E8505E"/>
    <w:rsid w:val="00E85094"/>
    <w:rsid w:val="00E85420"/>
    <w:rsid w:val="00E85593"/>
    <w:rsid w:val="00E85787"/>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5F7"/>
    <w:rsid w:val="00EE0AC8"/>
    <w:rsid w:val="00EE1123"/>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F5"/>
    <w:rsid w:val="00F358E8"/>
    <w:rsid w:val="00F40A7D"/>
    <w:rsid w:val="00F4133C"/>
    <w:rsid w:val="00F413AB"/>
    <w:rsid w:val="00F42AEB"/>
    <w:rsid w:val="00F42F2A"/>
    <w:rsid w:val="00F43945"/>
    <w:rsid w:val="00F43B5B"/>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344"/>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C3C6F-995E-4C0A-8228-F84A8D300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1580</Words>
  <Characters>7727</Characters>
  <Application>Microsoft Office Word</Application>
  <DocSecurity>0</DocSecurity>
  <Lines>415</Lines>
  <Paragraphs>270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General</cp:keywords>
  <cp:lastModifiedBy>KLAK, Jean-Pierre</cp:lastModifiedBy>
  <cp:revision>4</cp:revision>
  <cp:lastPrinted>2018-05-02T17:38:00Z</cp:lastPrinted>
  <dcterms:created xsi:type="dcterms:W3CDTF">2018-05-03T11:48:00Z</dcterms:created>
  <dcterms:modified xsi:type="dcterms:W3CDTF">2018-09-17T08:50:00Z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72aeffc5-f9ab-4683-a7d3-080d6b2b85cf</vt:lpwstr>
  </property>
  <property fmtid="{D5CDD505-2E9C-101B-9397-08002B2CF9AE}" pid="4" name="SSCClassification">
    <vt:lpwstr>G</vt:lpwstr>
  </property>
  <property fmtid="{D5CDD505-2E9C-101B-9397-08002B2CF9AE}" pid="5" name="SSCVisualMarks">
    <vt:lpwstr>Y</vt:lpwstr>
  </property>
  <property fmtid="{D5CDD505-2E9C-101B-9397-08002B2CF9AE}" pid="6" name="_AdHocReviewCycleID">
    <vt:i4>1091525175</vt:i4>
  </property>
  <property fmtid="{D5CDD505-2E9C-101B-9397-08002B2CF9AE}" pid="7" name="_EmailSubject">
    <vt:lpwstr>CA SMPG Tax sub-group call September / minutes of May call</vt:lpwstr>
  </property>
  <property fmtid="{D5CDD505-2E9C-101B-9397-08002B2CF9AE}" pid="8" name="_AuthorEmail">
    <vt:lpwstr>JKLAK@statestreet.com</vt:lpwstr>
  </property>
  <property fmtid="{D5CDD505-2E9C-101B-9397-08002B2CF9AE}" pid="9" name="_AuthorEmailDisplayName">
    <vt:lpwstr>KLAK, Jean-Pierre</vt:lpwstr>
  </property>
</Properties>
</file>