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6F" w:rsidRDefault="00EA5BED" w:rsidP="00D3186F">
      <w:bookmarkStart w:id="0" w:name="_Toc25158742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286.5pt;margin-top:-32.25pt;width:221.1pt;height:108.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SMPG_logo_low_resolution"/>
          </v:shape>
        </w:pict>
      </w:r>
    </w:p>
    <w:p w:rsidR="00D3186F" w:rsidRDefault="00D3186F" w:rsidP="00101CC5">
      <w:pPr>
        <w:ind w:right="-720"/>
        <w:jc w:val="right"/>
      </w:pPr>
    </w:p>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D3186F" w:rsidRDefault="00D3186F" w:rsidP="00D3186F"/>
    <w:p w:rsidR="00D3186F" w:rsidRDefault="00425A4A" w:rsidP="00425A4A">
      <w:pPr>
        <w:pStyle w:val="Title"/>
        <w:pBdr>
          <w:top w:val="single" w:sz="4" w:space="1" w:color="auto"/>
          <w:left w:val="single" w:sz="4" w:space="4" w:color="auto"/>
          <w:bottom w:val="single" w:sz="4" w:space="1" w:color="auto"/>
          <w:right w:val="single" w:sz="4" w:space="4" w:color="auto"/>
        </w:pBdr>
        <w:shd w:val="clear" w:color="auto" w:fill="D9D9D9"/>
        <w:spacing w:before="0"/>
        <w:rPr>
          <w:szCs w:val="56"/>
          <w:u w:val="none"/>
        </w:rPr>
      </w:pPr>
      <w:r>
        <w:rPr>
          <w:szCs w:val="56"/>
          <w:u w:val="none"/>
        </w:rPr>
        <w:t xml:space="preserve">SMPG </w:t>
      </w:r>
      <w:r w:rsidR="00D3186F" w:rsidRPr="004A27A8">
        <w:rPr>
          <w:szCs w:val="56"/>
          <w:u w:val="none"/>
        </w:rPr>
        <w:t>Corporate Action</w:t>
      </w:r>
      <w:r>
        <w:rPr>
          <w:szCs w:val="56"/>
          <w:u w:val="none"/>
        </w:rPr>
        <w:t>s</w:t>
      </w:r>
      <w:r w:rsidR="006746A1">
        <w:rPr>
          <w:szCs w:val="56"/>
          <w:u w:val="none"/>
        </w:rPr>
        <w:t xml:space="preserve"> WG</w:t>
      </w:r>
      <w:r>
        <w:rPr>
          <w:szCs w:val="56"/>
          <w:u w:val="none"/>
        </w:rPr>
        <w:t xml:space="preserve"> </w:t>
      </w:r>
    </w:p>
    <w:p w:rsidR="00425A4A" w:rsidRDefault="00331F95" w:rsidP="00425A4A">
      <w:pPr>
        <w:pBdr>
          <w:top w:val="single" w:sz="4" w:space="1" w:color="auto"/>
          <w:left w:val="single" w:sz="4" w:space="4" w:color="auto"/>
          <w:bottom w:val="single" w:sz="4" w:space="1" w:color="auto"/>
          <w:right w:val="single" w:sz="4" w:space="4" w:color="auto"/>
        </w:pBdr>
        <w:shd w:val="clear" w:color="auto" w:fill="D9D9D9"/>
        <w:spacing w:after="0"/>
        <w:jc w:val="center"/>
        <w:rPr>
          <w:sz w:val="56"/>
          <w:szCs w:val="56"/>
        </w:rPr>
      </w:pPr>
      <w:r>
        <w:rPr>
          <w:sz w:val="56"/>
          <w:szCs w:val="56"/>
        </w:rPr>
        <w:t>SR201</w:t>
      </w:r>
      <w:r w:rsidR="00EC23F8">
        <w:rPr>
          <w:sz w:val="56"/>
          <w:szCs w:val="56"/>
        </w:rPr>
        <w:t>6</w:t>
      </w:r>
      <w:r w:rsidR="00425A4A">
        <w:rPr>
          <w:sz w:val="56"/>
          <w:szCs w:val="56"/>
        </w:rPr>
        <w:t xml:space="preserve"> SMPG </w:t>
      </w:r>
      <w:r w:rsidR="007E0A68">
        <w:rPr>
          <w:sz w:val="56"/>
          <w:szCs w:val="56"/>
        </w:rPr>
        <w:t>Temporary MP on Taxability Indicator TXAP//TXBL</w:t>
      </w:r>
      <w:r w:rsidR="006746A1">
        <w:rPr>
          <w:sz w:val="56"/>
          <w:szCs w:val="56"/>
        </w:rPr>
        <w:t xml:space="preserve"> </w:t>
      </w:r>
    </w:p>
    <w:p w:rsidR="006746A1" w:rsidRPr="006746A1" w:rsidRDefault="006746A1" w:rsidP="00425A4A">
      <w:pPr>
        <w:pBdr>
          <w:top w:val="single" w:sz="4" w:space="1" w:color="auto"/>
          <w:left w:val="single" w:sz="4" w:space="4" w:color="auto"/>
          <w:bottom w:val="single" w:sz="4" w:space="1" w:color="auto"/>
          <w:right w:val="single" w:sz="4" w:space="4" w:color="auto"/>
        </w:pBdr>
        <w:shd w:val="clear" w:color="auto" w:fill="D9D9D9"/>
        <w:spacing w:after="0"/>
        <w:jc w:val="center"/>
        <w:rPr>
          <w:sz w:val="44"/>
          <w:szCs w:val="44"/>
        </w:rPr>
      </w:pPr>
      <w:r w:rsidRPr="006746A1">
        <w:rPr>
          <w:sz w:val="44"/>
          <w:szCs w:val="44"/>
        </w:rPr>
        <w:t>(Follow up on CR 09</w:t>
      </w:r>
      <w:r w:rsidR="00C12989">
        <w:rPr>
          <w:sz w:val="44"/>
          <w:szCs w:val="44"/>
        </w:rPr>
        <w:t>8</w:t>
      </w:r>
      <w:r w:rsidRPr="006746A1">
        <w:rPr>
          <w:sz w:val="44"/>
          <w:szCs w:val="44"/>
        </w:rPr>
        <w:t>3)</w:t>
      </w:r>
    </w:p>
    <w:p w:rsidR="00425A4A" w:rsidRPr="00425A4A" w:rsidRDefault="00425A4A" w:rsidP="00425A4A">
      <w:pPr>
        <w:rPr>
          <w:lang w:val="en-GB"/>
        </w:rPr>
      </w:pPr>
    </w:p>
    <w:p w:rsidR="00D3186F" w:rsidRPr="004A27A8" w:rsidRDefault="00D3186F" w:rsidP="00D3186F"/>
    <w:p w:rsidR="00823762" w:rsidRPr="005A5B47" w:rsidRDefault="00823762" w:rsidP="00823762">
      <w:pPr>
        <w:jc w:val="center"/>
        <w:rPr>
          <w:b/>
          <w:i/>
          <w:lang w:val="en-GB"/>
        </w:rPr>
      </w:pPr>
      <w:r w:rsidRPr="005A5B47">
        <w:rPr>
          <w:b/>
          <w:i/>
          <w:lang w:val="en-GB"/>
        </w:rPr>
        <w:t>Disclaimer</w:t>
      </w:r>
    </w:p>
    <w:p w:rsidR="00823762" w:rsidRPr="005A5B47" w:rsidRDefault="00823762" w:rsidP="00823762">
      <w:pPr>
        <w:rPr>
          <w:i/>
          <w:lang w:val="en-GB"/>
        </w:rPr>
      </w:pPr>
    </w:p>
    <w:p w:rsidR="00B854FB" w:rsidRPr="005A5B47" w:rsidRDefault="00B854FB" w:rsidP="00B854FB">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rsidR="00B854FB" w:rsidRDefault="00B854FB" w:rsidP="00B854FB">
      <w:pPr>
        <w:pStyle w:val="PlainText"/>
        <w:rPr>
          <w:rFonts w:eastAsia="Times New Roman"/>
          <w:szCs w:val="20"/>
        </w:rPr>
      </w:pPr>
    </w:p>
    <w:p w:rsidR="00B854FB" w:rsidRPr="00944D86" w:rsidRDefault="00B854FB" w:rsidP="00B854FB">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rsidR="00B854FB" w:rsidRPr="00944D86" w:rsidRDefault="00B854FB" w:rsidP="00B854FB">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rsidR="00823762" w:rsidRPr="005A5B47" w:rsidRDefault="00B854FB" w:rsidP="00B854FB">
      <w:pPr>
        <w:rPr>
          <w:i/>
          <w:lang w:val="en-GB"/>
        </w:rPr>
      </w:pPr>
      <w:r w:rsidRPr="00944D86">
        <w:rPr>
          <w:rFonts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rsidR="00D3186F" w:rsidRPr="004A27A8" w:rsidRDefault="00D3186F" w:rsidP="00D3186F"/>
    <w:p w:rsidR="00D3186F" w:rsidRPr="004A27A8" w:rsidRDefault="00D3186F" w:rsidP="00D3186F">
      <w:pPr>
        <w:ind w:left="6480" w:hanging="1377"/>
        <w:rPr>
          <w:color w:val="0000FF"/>
          <w:sz w:val="28"/>
        </w:rPr>
      </w:pPr>
      <w:r w:rsidRPr="004A27A8">
        <w:rPr>
          <w:sz w:val="28"/>
        </w:rPr>
        <w:t xml:space="preserve">Status: </w:t>
      </w:r>
      <w:r w:rsidRPr="004A27A8">
        <w:rPr>
          <w:sz w:val="28"/>
        </w:rPr>
        <w:tab/>
      </w:r>
      <w:r w:rsidR="007E0A68">
        <w:rPr>
          <w:sz w:val="28"/>
        </w:rPr>
        <w:t>Draft</w:t>
      </w:r>
    </w:p>
    <w:p w:rsidR="00D3186F" w:rsidRPr="004A27A8" w:rsidRDefault="00D3186F" w:rsidP="00D3186F">
      <w:pPr>
        <w:ind w:left="5103"/>
        <w:rPr>
          <w:color w:val="0000FF"/>
          <w:sz w:val="28"/>
        </w:rPr>
      </w:pPr>
      <w:r w:rsidRPr="004A27A8">
        <w:rPr>
          <w:sz w:val="28"/>
        </w:rPr>
        <w:t xml:space="preserve">Prep date: </w:t>
      </w:r>
      <w:r w:rsidRPr="004A27A8">
        <w:rPr>
          <w:color w:val="0000FF"/>
          <w:sz w:val="28"/>
        </w:rPr>
        <w:tab/>
      </w:r>
      <w:r w:rsidR="007E0A68">
        <w:rPr>
          <w:color w:val="0000FF"/>
          <w:sz w:val="28"/>
        </w:rPr>
        <w:t>May 17</w:t>
      </w:r>
      <w:r w:rsidR="0028068B">
        <w:rPr>
          <w:color w:val="0000FF"/>
          <w:sz w:val="28"/>
        </w:rPr>
        <w:t xml:space="preserve"> 2016</w:t>
      </w:r>
    </w:p>
    <w:p w:rsidR="00D3186F" w:rsidRPr="004A27A8" w:rsidRDefault="00D3186F" w:rsidP="00D3186F">
      <w:pPr>
        <w:ind w:left="5103"/>
        <w:rPr>
          <w:color w:val="0000FF"/>
          <w:sz w:val="28"/>
        </w:rPr>
      </w:pPr>
      <w:r w:rsidRPr="004A27A8">
        <w:rPr>
          <w:sz w:val="28"/>
        </w:rPr>
        <w:t>Update:</w:t>
      </w:r>
      <w:r w:rsidRPr="004A27A8">
        <w:rPr>
          <w:color w:val="0000FF"/>
          <w:sz w:val="28"/>
        </w:rPr>
        <w:tab/>
      </w:r>
      <w:r w:rsidR="00331F95">
        <w:rPr>
          <w:color w:val="0000FF"/>
          <w:sz w:val="28"/>
        </w:rPr>
        <w:t>V</w:t>
      </w:r>
      <w:r w:rsidR="00425A4A">
        <w:rPr>
          <w:color w:val="0000FF"/>
          <w:sz w:val="28"/>
        </w:rPr>
        <w:t xml:space="preserve">ersion </w:t>
      </w:r>
      <w:r w:rsidR="007E0A68">
        <w:rPr>
          <w:color w:val="0000FF"/>
          <w:sz w:val="28"/>
        </w:rPr>
        <w:t>0</w:t>
      </w:r>
      <w:r w:rsidR="00EA27E0">
        <w:rPr>
          <w:color w:val="0000FF"/>
          <w:sz w:val="28"/>
        </w:rPr>
        <w:t>.</w:t>
      </w:r>
      <w:r w:rsidR="007E0A68">
        <w:rPr>
          <w:color w:val="0000FF"/>
          <w:sz w:val="28"/>
        </w:rPr>
        <w:t>1</w:t>
      </w:r>
    </w:p>
    <w:p w:rsidR="00D3186F" w:rsidRPr="004A27A8" w:rsidRDefault="00D3186F" w:rsidP="00D3186F">
      <w:pPr>
        <w:ind w:left="5103"/>
        <w:rPr>
          <w:color w:val="0000FF"/>
          <w:sz w:val="28"/>
        </w:rPr>
      </w:pPr>
      <w:r w:rsidRPr="004A27A8">
        <w:rPr>
          <w:sz w:val="28"/>
        </w:rPr>
        <w:t xml:space="preserve">Author: </w:t>
      </w:r>
      <w:r w:rsidRPr="004A27A8">
        <w:rPr>
          <w:sz w:val="28"/>
        </w:rPr>
        <w:tab/>
      </w:r>
      <w:r w:rsidRPr="004A27A8">
        <w:rPr>
          <w:color w:val="0000FF"/>
          <w:sz w:val="28"/>
        </w:rPr>
        <w:t>SMPG</w:t>
      </w:r>
    </w:p>
    <w:p w:rsidR="00A40C72" w:rsidRDefault="00A40C72" w:rsidP="00CF7B5B">
      <w:pPr>
        <w:spacing w:after="0"/>
        <w:jc w:val="center"/>
        <w:rPr>
          <w:b/>
          <w:sz w:val="24"/>
          <w:szCs w:val="24"/>
        </w:rPr>
        <w:sectPr w:rsidR="00A40C72" w:rsidSect="00A40C72">
          <w:headerReference w:type="default" r:id="rId9"/>
          <w:footerReference w:type="default" r:id="rId10"/>
          <w:pgSz w:w="12240" w:h="15840" w:code="1"/>
          <w:pgMar w:top="1440" w:right="1440" w:bottom="1440" w:left="1440" w:header="706" w:footer="706" w:gutter="0"/>
          <w:cols w:space="708"/>
          <w:titlePg/>
          <w:docGrid w:linePitch="360"/>
        </w:sectPr>
      </w:pPr>
    </w:p>
    <w:bookmarkEnd w:id="0"/>
    <w:p w:rsidR="00665395" w:rsidRPr="009F3095" w:rsidRDefault="007E0A68" w:rsidP="009F3095">
      <w:pPr>
        <w:pStyle w:val="Heading1"/>
        <w:numPr>
          <w:ilvl w:val="0"/>
          <w:numId w:val="0"/>
        </w:numPr>
        <w:rPr>
          <w:sz w:val="28"/>
          <w:szCs w:val="28"/>
        </w:rPr>
      </w:pPr>
      <w:r w:rsidRPr="009F3095">
        <w:rPr>
          <w:sz w:val="28"/>
          <w:szCs w:val="28"/>
        </w:rPr>
        <w:lastRenderedPageBreak/>
        <w:t xml:space="preserve">Temporary Market Practice </w:t>
      </w:r>
      <w:r w:rsidR="009F3095">
        <w:rPr>
          <w:sz w:val="28"/>
          <w:szCs w:val="28"/>
        </w:rPr>
        <w:t>for SR2016 for the U</w:t>
      </w:r>
      <w:r w:rsidRPr="009F3095">
        <w:rPr>
          <w:sz w:val="28"/>
          <w:szCs w:val="28"/>
        </w:rPr>
        <w:t xml:space="preserve">sage of the </w:t>
      </w:r>
      <w:r w:rsidR="009F3095">
        <w:rPr>
          <w:sz w:val="28"/>
          <w:szCs w:val="28"/>
        </w:rPr>
        <w:t>Taxability I</w:t>
      </w:r>
      <w:r w:rsidRPr="009F3095">
        <w:rPr>
          <w:sz w:val="28"/>
          <w:szCs w:val="28"/>
        </w:rPr>
        <w:t>ndicator TXAP//TXBL</w:t>
      </w:r>
    </w:p>
    <w:p w:rsidR="006746A1" w:rsidRDefault="006746A1" w:rsidP="005F2113"/>
    <w:p w:rsidR="006746A1" w:rsidRPr="006746A1" w:rsidRDefault="00106A86" w:rsidP="005F2113">
      <w:pPr>
        <w:rPr>
          <w:b/>
          <w:u w:val="single"/>
        </w:rPr>
      </w:pPr>
      <w:r>
        <w:rPr>
          <w:b/>
          <w:u w:val="single"/>
        </w:rPr>
        <w:t xml:space="preserve">1. </w:t>
      </w:r>
      <w:r w:rsidR="006746A1" w:rsidRPr="006746A1">
        <w:rPr>
          <w:b/>
          <w:u w:val="single"/>
        </w:rPr>
        <w:t>Background information</w:t>
      </w:r>
    </w:p>
    <w:p w:rsidR="006746A1" w:rsidRDefault="006746A1" w:rsidP="005F2113">
      <w:r>
        <w:t xml:space="preserve">The SR2016 approved change request CR0983 was requesting the creation of additional taxability indicator codes </w:t>
      </w:r>
      <w:r w:rsidR="009F3095">
        <w:t>(:22H::TXAP) in the movements sequences of the MT564 and M</w:t>
      </w:r>
      <w:bookmarkStart w:id="1" w:name="_GoBack"/>
      <w:bookmarkEnd w:id="1"/>
      <w:r w:rsidR="009F3095">
        <w:t xml:space="preserve">T566 </w:t>
      </w:r>
      <w:r>
        <w:t>to indicate the taxabilit</w:t>
      </w:r>
      <w:r w:rsidR="009F3095">
        <w:t xml:space="preserve">y of an event (for instance to indicate the eligibility for the IRS section 302) </w:t>
      </w:r>
      <w:r>
        <w:t xml:space="preserve">in addition to the existing </w:t>
      </w:r>
      <w:r w:rsidR="009F3095">
        <w:t xml:space="preserve">more generic </w:t>
      </w:r>
      <w:r>
        <w:t>TXBL code (:22H:</w:t>
      </w:r>
      <w:proofErr w:type="gramStart"/>
      <w:r>
        <w:t>:TXAP</w:t>
      </w:r>
      <w:proofErr w:type="gramEnd"/>
      <w:r>
        <w:t>//TXBL)</w:t>
      </w:r>
      <w:r w:rsidR="009F3095">
        <w:t>.</w:t>
      </w:r>
    </w:p>
    <w:p w:rsidR="009F3095" w:rsidRDefault="009F3095" w:rsidP="005F2113"/>
    <w:p w:rsidR="009F3095" w:rsidRDefault="006746A1" w:rsidP="005F2113">
      <w:r>
        <w:t xml:space="preserve">The </w:t>
      </w:r>
      <w:r w:rsidR="009F3095">
        <w:t xml:space="preserve">CA MWG agreed </w:t>
      </w:r>
      <w:r>
        <w:t xml:space="preserve">implementation of the CR </w:t>
      </w:r>
      <w:r w:rsidR="009F3095">
        <w:t xml:space="preserve">resulted in the change of the format option for the TXAP qualifier, i.e. replacing the format :22H: by the format :22F: allowing for the definition of a Data Source Scheme for the usage of local /country specific taxability codes as illustrated below in </w:t>
      </w:r>
      <w:r w:rsidR="00D235B7">
        <w:t xml:space="preserve">appendix A for </w:t>
      </w:r>
      <w:r w:rsidR="009F3095">
        <w:t>the MT564 seq. E1</w:t>
      </w:r>
      <w:r w:rsidR="00D235B7">
        <w:t>.</w:t>
      </w:r>
    </w:p>
    <w:p w:rsidR="009F3095" w:rsidRDefault="009F3095" w:rsidP="005F2113"/>
    <w:p w:rsidR="009F3095" w:rsidRPr="00106A86" w:rsidRDefault="009F3095" w:rsidP="005F2113">
      <w:pPr>
        <w:rPr>
          <w:b/>
        </w:rPr>
      </w:pPr>
      <w:r w:rsidRPr="00106A86">
        <w:rPr>
          <w:b/>
        </w:rPr>
        <w:t xml:space="preserve">However, the implementation resulted </w:t>
      </w:r>
      <w:r w:rsidR="00106A86">
        <w:rPr>
          <w:b/>
        </w:rPr>
        <w:t>(erroneously)</w:t>
      </w:r>
      <w:r w:rsidRPr="00106A86">
        <w:rPr>
          <w:b/>
        </w:rPr>
        <w:t xml:space="preserve"> in the removal of the TXBL indicator code value </w:t>
      </w:r>
      <w:r w:rsidR="00106A86">
        <w:rPr>
          <w:b/>
        </w:rPr>
        <w:t xml:space="preserve">itself </w:t>
      </w:r>
      <w:r w:rsidRPr="00106A86">
        <w:rPr>
          <w:b/>
        </w:rPr>
        <w:t xml:space="preserve">which was ultimately not </w:t>
      </w:r>
      <w:r w:rsidR="00106A86">
        <w:rPr>
          <w:b/>
        </w:rPr>
        <w:t xml:space="preserve">at all </w:t>
      </w:r>
      <w:r w:rsidRPr="00106A86">
        <w:rPr>
          <w:b/>
        </w:rPr>
        <w:t>in the intention of the CA MWG.</w:t>
      </w:r>
    </w:p>
    <w:p w:rsidR="009F3095" w:rsidRDefault="009F3095" w:rsidP="005F2113"/>
    <w:p w:rsidR="00106A86" w:rsidRPr="00C12989" w:rsidRDefault="00106A86" w:rsidP="005F2113">
      <w:pPr>
        <w:rPr>
          <w:b/>
        </w:rPr>
      </w:pPr>
      <w:r w:rsidRPr="00C12989">
        <w:rPr>
          <w:b/>
        </w:rPr>
        <w:t>Therefore the SMPG CA WG has agreed at its April 2016 meeting in Helsinki to submit a change request to SWIFT for SR2017 requesting to reinstate the deleted TXBL code value and to provide for a temporary market practice</w:t>
      </w:r>
      <w:r w:rsidR="00C12989">
        <w:rPr>
          <w:b/>
        </w:rPr>
        <w:t xml:space="preserve"> as a workaround </w:t>
      </w:r>
      <w:r w:rsidRPr="00C12989">
        <w:rPr>
          <w:b/>
        </w:rPr>
        <w:t>for the usage of the TXBL code until SR2017 as described in the section below.</w:t>
      </w:r>
    </w:p>
    <w:p w:rsidR="00106A86" w:rsidRDefault="00106A86" w:rsidP="005F2113"/>
    <w:p w:rsidR="00106A86" w:rsidRPr="00775367" w:rsidRDefault="00106A86" w:rsidP="005F2113">
      <w:pPr>
        <w:rPr>
          <w:b/>
          <w:u w:val="single"/>
        </w:rPr>
      </w:pPr>
      <w:r w:rsidRPr="00775367">
        <w:rPr>
          <w:b/>
          <w:u w:val="single"/>
        </w:rPr>
        <w:t xml:space="preserve">2. </w:t>
      </w:r>
      <w:r w:rsidR="00775367" w:rsidRPr="00775367">
        <w:rPr>
          <w:b/>
          <w:u w:val="single"/>
        </w:rPr>
        <w:t xml:space="preserve">Temporary Market Practice for the usage of TXBL in movement sequences of the MT564 and MT566 </w:t>
      </w:r>
    </w:p>
    <w:p w:rsidR="00106A86" w:rsidRDefault="00106A86" w:rsidP="005F2113"/>
    <w:p w:rsidR="00106A86" w:rsidRDefault="00B57499" w:rsidP="005F2113">
      <w:r>
        <w:t>During SR2016, the SMPG CA WG recommends to use the TXBL indicator code in sequence E1 and E2 of the MT564 and in the sequence D1 and D2 of the MT566 as follows:</w:t>
      </w:r>
    </w:p>
    <w:p w:rsidR="00B57499" w:rsidRDefault="00B57499" w:rsidP="005F2113"/>
    <w:p w:rsidR="00B57499" w:rsidRPr="00B57499" w:rsidRDefault="00B57499" w:rsidP="005F2113">
      <w:pPr>
        <w:rPr>
          <w:b/>
          <w:i/>
          <w:sz w:val="24"/>
          <w:szCs w:val="24"/>
        </w:rPr>
      </w:pPr>
      <w:proofErr w:type="gramStart"/>
      <w:r w:rsidRPr="00B57499">
        <w:rPr>
          <w:b/>
          <w:i/>
          <w:sz w:val="24"/>
          <w:szCs w:val="24"/>
        </w:rPr>
        <w:t>:22F</w:t>
      </w:r>
      <w:proofErr w:type="gramEnd"/>
      <w:r w:rsidRPr="00B57499">
        <w:rPr>
          <w:b/>
          <w:i/>
          <w:sz w:val="24"/>
          <w:szCs w:val="24"/>
        </w:rPr>
        <w:t>::TXAP//TXBL</w:t>
      </w:r>
    </w:p>
    <w:p w:rsidR="00106A86" w:rsidRDefault="00106A86" w:rsidP="005F2113"/>
    <w:p w:rsidR="005F2113" w:rsidRDefault="00B57499" w:rsidP="005F2113">
      <w:r>
        <w:t>This will not be rejected by the SWIFT validation even if the TXBL code is no longer explicitly defined in the Standards.</w:t>
      </w:r>
    </w:p>
    <w:p w:rsidR="00D235B7" w:rsidRDefault="00D235B7" w:rsidP="005F2113"/>
    <w:p w:rsidR="00D235B7" w:rsidRPr="00D235B7" w:rsidRDefault="00D235B7" w:rsidP="005F2113">
      <w:pPr>
        <w:rPr>
          <w:b/>
          <w:sz w:val="28"/>
          <w:szCs w:val="28"/>
          <w:u w:val="single"/>
        </w:rPr>
      </w:pPr>
      <w:r w:rsidRPr="00D235B7">
        <w:rPr>
          <w:b/>
          <w:sz w:val="28"/>
          <w:szCs w:val="28"/>
          <w:u w:val="single"/>
        </w:rPr>
        <w:t>Appendix A</w:t>
      </w:r>
    </w:p>
    <w:p w:rsidR="00D235B7" w:rsidRPr="00D235B7" w:rsidRDefault="00D235B7" w:rsidP="00D235B7">
      <w:r>
        <w:t xml:space="preserve">Illustration of the SR2016 CR0983 implementation for the TXAP qualifier in sequence E1 of the MT564: </w:t>
      </w:r>
    </w:p>
    <w:p w:rsidR="00D235B7" w:rsidRPr="00C37A65" w:rsidRDefault="00D235B7" w:rsidP="00D235B7">
      <w:pPr>
        <w:pBdr>
          <w:bottom w:val="single" w:sz="6" w:space="0" w:color="013B80"/>
        </w:pBdr>
        <w:spacing w:before="100" w:beforeAutospacing="1" w:after="100" w:afterAutospacing="1"/>
        <w:outlineLvl w:val="2"/>
        <w:rPr>
          <w:rFonts w:cs="Arial"/>
          <w:b/>
          <w:bCs/>
          <w:color w:val="013B80"/>
          <w:sz w:val="36"/>
          <w:szCs w:val="36"/>
          <w:lang w:eastAsia="en-GB"/>
        </w:rPr>
      </w:pPr>
      <w:r w:rsidRPr="00C37A65">
        <w:rPr>
          <w:rFonts w:cs="Arial"/>
          <w:b/>
          <w:bCs/>
          <w:color w:val="013B80"/>
          <w:sz w:val="36"/>
          <w:szCs w:val="36"/>
          <w:lang w:eastAsia="en-GB"/>
        </w:rPr>
        <w:t>MT 564 Field Specifications</w:t>
      </w:r>
    </w:p>
    <w:p w:rsidR="00D235B7" w:rsidRPr="00C37A65" w:rsidRDefault="00D235B7" w:rsidP="00D235B7">
      <w:pPr>
        <w:pBdr>
          <w:bottom w:val="single" w:sz="6" w:space="0" w:color="013B80"/>
        </w:pBdr>
        <w:spacing w:after="0"/>
        <w:outlineLvl w:val="3"/>
        <w:rPr>
          <w:rFonts w:cs="Arial"/>
          <w:color w:val="013B80"/>
          <w:lang w:eastAsia="en-GB"/>
        </w:rPr>
      </w:pPr>
      <w:r w:rsidRPr="00C37A65">
        <w:rPr>
          <w:rFonts w:cs="Arial"/>
          <w:color w:val="013B80"/>
          <w:lang w:eastAsia="en-GB"/>
        </w:rPr>
        <w:t>68. Field 22a: Indicator</w:t>
      </w:r>
    </w:p>
    <w:p w:rsidR="00D235B7" w:rsidRPr="00C37A65" w:rsidRDefault="00D235B7" w:rsidP="00D235B7">
      <w:pPr>
        <w:pBdr>
          <w:bottom w:val="single" w:sz="6" w:space="0" w:color="013B80"/>
        </w:pBdr>
        <w:spacing w:after="0"/>
        <w:outlineLvl w:val="4"/>
        <w:rPr>
          <w:rFonts w:cs="Arial"/>
          <w:color w:val="013B80"/>
          <w:lang w:eastAsia="en-GB"/>
        </w:rPr>
      </w:pPr>
      <w:r w:rsidRPr="00C37A65">
        <w:rPr>
          <w:rFonts w:cs="Arial"/>
          <w:color w:val="013B80"/>
          <w:lang w:eastAsia="en-GB"/>
        </w:rPr>
        <w:t>FORMAT</w:t>
      </w:r>
    </w:p>
    <w:tbl>
      <w:tblPr>
        <w:tblW w:w="4900" w:type="pct"/>
        <w:tblCellSpacing w:w="15" w:type="dxa"/>
        <w:tblCellMar>
          <w:left w:w="0" w:type="dxa"/>
          <w:right w:w="0" w:type="dxa"/>
        </w:tblCellMar>
        <w:tblLook w:val="04A0" w:firstRow="1" w:lastRow="0" w:firstColumn="1" w:lastColumn="0" w:noHBand="0" w:noVBand="1"/>
      </w:tblPr>
      <w:tblGrid>
        <w:gridCol w:w="1867"/>
        <w:gridCol w:w="2764"/>
        <w:gridCol w:w="4601"/>
      </w:tblGrid>
      <w:tr w:rsidR="00D235B7" w:rsidRPr="00C37A65" w:rsidTr="00F52420">
        <w:trPr>
          <w:tblCellSpacing w:w="15" w:type="dxa"/>
        </w:trPr>
        <w:tc>
          <w:tcPr>
            <w:tcW w:w="10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Option F</w:t>
            </w:r>
          </w:p>
        </w:tc>
        <w:tc>
          <w:tcPr>
            <w:tcW w:w="15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:4!c/[8c]/4!c</w:t>
            </w:r>
          </w:p>
        </w:tc>
        <w:tc>
          <w:tcPr>
            <w:tcW w:w="25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(Qualifier)(Data Source Scheme)(Indicator)</w:t>
            </w:r>
          </w:p>
        </w:tc>
      </w:tr>
      <w:tr w:rsidR="00D235B7" w:rsidRPr="00C37A65" w:rsidTr="00F52420">
        <w:trPr>
          <w:tblCellSpacing w:w="15" w:type="dxa"/>
        </w:trPr>
        <w:tc>
          <w:tcPr>
            <w:tcW w:w="10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Option H</w:t>
            </w:r>
          </w:p>
        </w:tc>
        <w:tc>
          <w:tcPr>
            <w:tcW w:w="15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:4!c//4!c</w:t>
            </w:r>
          </w:p>
        </w:tc>
        <w:tc>
          <w:tcPr>
            <w:tcW w:w="25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(Qualifier)(Indicator)</w:t>
            </w:r>
          </w:p>
        </w:tc>
      </w:tr>
    </w:tbl>
    <w:p w:rsidR="00D235B7" w:rsidRPr="00C37A65" w:rsidRDefault="00D235B7" w:rsidP="00D235B7">
      <w:pPr>
        <w:pBdr>
          <w:bottom w:val="single" w:sz="6" w:space="0" w:color="013B80"/>
        </w:pBdr>
        <w:spacing w:after="0"/>
        <w:outlineLvl w:val="4"/>
        <w:rPr>
          <w:rFonts w:cs="Arial"/>
          <w:color w:val="013B80"/>
          <w:lang w:eastAsia="en-GB"/>
        </w:rPr>
      </w:pPr>
      <w:r w:rsidRPr="00C37A65">
        <w:rPr>
          <w:rFonts w:cs="Arial"/>
          <w:color w:val="013B80"/>
          <w:lang w:eastAsia="en-GB"/>
        </w:rPr>
        <w:t>PRESENCE</w:t>
      </w:r>
    </w:p>
    <w:p w:rsidR="00D235B7" w:rsidRPr="00C37A65" w:rsidRDefault="00D235B7" w:rsidP="00D235B7">
      <w:pPr>
        <w:spacing w:after="0"/>
        <w:rPr>
          <w:rFonts w:cs="Arial"/>
          <w:color w:val="000000"/>
          <w:lang w:eastAsia="en-GB"/>
        </w:rPr>
      </w:pPr>
      <w:r w:rsidRPr="00C37A65">
        <w:rPr>
          <w:rFonts w:cs="Arial"/>
          <w:color w:val="000000"/>
          <w:lang w:eastAsia="en-GB"/>
        </w:rPr>
        <w:t xml:space="preserve">Mandatory in optional subsequence E1 </w:t>
      </w:r>
    </w:p>
    <w:p w:rsidR="00D235B7" w:rsidRPr="00C37A65" w:rsidRDefault="00D235B7" w:rsidP="00D235B7">
      <w:pPr>
        <w:pBdr>
          <w:bottom w:val="single" w:sz="6" w:space="0" w:color="013B80"/>
        </w:pBdr>
        <w:spacing w:after="0"/>
        <w:outlineLvl w:val="4"/>
        <w:rPr>
          <w:rFonts w:cs="Arial"/>
          <w:color w:val="013B80"/>
          <w:lang w:eastAsia="en-GB"/>
        </w:rPr>
      </w:pPr>
      <w:r w:rsidRPr="00C37A65">
        <w:rPr>
          <w:rFonts w:cs="Arial"/>
          <w:color w:val="013B80"/>
          <w:lang w:eastAsia="en-GB"/>
        </w:rPr>
        <w:t>QUALIFIER</w:t>
      </w:r>
    </w:p>
    <w:p w:rsidR="00D235B7" w:rsidRPr="00C37A65" w:rsidRDefault="00D235B7" w:rsidP="00D235B7">
      <w:pPr>
        <w:spacing w:after="0"/>
        <w:rPr>
          <w:rFonts w:cs="Arial"/>
          <w:color w:val="000000"/>
          <w:lang w:eastAsia="en-GB"/>
        </w:rPr>
      </w:pPr>
      <w:r w:rsidRPr="00C37A65">
        <w:rPr>
          <w:rFonts w:cs="Arial"/>
          <w:color w:val="000000"/>
          <w:lang w:eastAsia="en-GB"/>
        </w:rPr>
        <w:t xml:space="preserve">(Error code(s): T89)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58"/>
        <w:gridCol w:w="760"/>
        <w:gridCol w:w="1219"/>
        <w:gridCol w:w="577"/>
        <w:gridCol w:w="760"/>
        <w:gridCol w:w="966"/>
        <w:gridCol w:w="4168"/>
      </w:tblGrid>
      <w:tr w:rsidR="00D235B7" w:rsidRPr="00C37A65" w:rsidTr="00F52420">
        <w:trPr>
          <w:trHeight w:val="445"/>
          <w:tblHeade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D235B7" w:rsidRPr="00C37A65" w:rsidRDefault="00D235B7" w:rsidP="00F52420">
            <w:pPr>
              <w:spacing w:after="0"/>
              <w:jc w:val="center"/>
              <w:rPr>
                <w:rFonts w:cs="Arial"/>
                <w:b/>
                <w:bCs/>
                <w:color w:val="013B80"/>
                <w:lang w:eastAsia="en-GB"/>
              </w:rPr>
            </w:pPr>
            <w:r w:rsidRPr="00C37A65">
              <w:rPr>
                <w:rFonts w:cs="Arial"/>
                <w:b/>
                <w:bCs/>
                <w:color w:val="013B80"/>
                <w:lang w:eastAsia="en-GB"/>
              </w:rPr>
              <w:lastRenderedPageBreak/>
              <w:t>Order</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D235B7" w:rsidRPr="00C37A65" w:rsidRDefault="00D235B7" w:rsidP="00F52420">
            <w:pPr>
              <w:spacing w:after="0"/>
              <w:jc w:val="center"/>
              <w:rPr>
                <w:rFonts w:cs="Arial"/>
                <w:b/>
                <w:bCs/>
                <w:color w:val="013B80"/>
                <w:lang w:eastAsia="en-GB"/>
              </w:rPr>
            </w:pPr>
            <w:r w:rsidRPr="00C37A65">
              <w:rPr>
                <w:rFonts w:cs="Arial"/>
                <w:b/>
                <w:bCs/>
                <w:color w:val="013B80"/>
                <w:lang w:eastAsia="en-GB"/>
              </w:rPr>
              <w:t>M/O</w:t>
            </w:r>
          </w:p>
        </w:tc>
        <w:tc>
          <w:tcPr>
            <w:tcW w:w="650" w:type="pct"/>
            <w:tcBorders>
              <w:top w:val="outset" w:sz="6" w:space="0" w:color="auto"/>
              <w:left w:val="outset" w:sz="6" w:space="0" w:color="auto"/>
              <w:bottom w:val="outset" w:sz="6" w:space="0" w:color="auto"/>
              <w:right w:val="outset" w:sz="6" w:space="0" w:color="auto"/>
            </w:tcBorders>
            <w:shd w:val="clear" w:color="auto" w:fill="EEEEEE"/>
            <w:hideMark/>
          </w:tcPr>
          <w:p w:rsidR="00D235B7" w:rsidRPr="00C37A65" w:rsidRDefault="00D235B7" w:rsidP="00F52420">
            <w:pPr>
              <w:spacing w:after="0"/>
              <w:jc w:val="center"/>
              <w:rPr>
                <w:rFonts w:cs="Arial"/>
                <w:b/>
                <w:bCs/>
                <w:color w:val="013B80"/>
                <w:lang w:eastAsia="en-GB"/>
              </w:rPr>
            </w:pPr>
            <w:r w:rsidRPr="00C37A65">
              <w:rPr>
                <w:rFonts w:cs="Arial"/>
                <w:b/>
                <w:bCs/>
                <w:color w:val="013B80"/>
                <w:lang w:eastAsia="en-GB"/>
              </w:rPr>
              <w:t>Qualifier</w:t>
            </w:r>
          </w:p>
        </w:tc>
        <w:tc>
          <w:tcPr>
            <w:tcW w:w="300" w:type="pct"/>
            <w:tcBorders>
              <w:top w:val="outset" w:sz="6" w:space="0" w:color="auto"/>
              <w:left w:val="outset" w:sz="6" w:space="0" w:color="auto"/>
              <w:bottom w:val="outset" w:sz="6" w:space="0" w:color="auto"/>
              <w:right w:val="outset" w:sz="6" w:space="0" w:color="auto"/>
            </w:tcBorders>
            <w:shd w:val="clear" w:color="auto" w:fill="EEEEEE"/>
            <w:hideMark/>
          </w:tcPr>
          <w:p w:rsidR="00D235B7" w:rsidRPr="00C37A65" w:rsidRDefault="00D235B7" w:rsidP="00F52420">
            <w:pPr>
              <w:spacing w:after="0"/>
              <w:jc w:val="center"/>
              <w:rPr>
                <w:rFonts w:cs="Arial"/>
                <w:b/>
                <w:bCs/>
                <w:color w:val="013B80"/>
                <w:lang w:eastAsia="en-GB"/>
              </w:rPr>
            </w:pPr>
            <w:r w:rsidRPr="00C37A65">
              <w:rPr>
                <w:rFonts w:cs="Arial"/>
                <w:b/>
                <w:bCs/>
                <w:color w:val="013B80"/>
                <w:lang w:eastAsia="en-GB"/>
              </w:rPr>
              <w:t>R/N</w:t>
            </w:r>
          </w:p>
        </w:tc>
        <w:tc>
          <w:tcPr>
            <w:tcW w:w="400" w:type="pct"/>
            <w:tcBorders>
              <w:top w:val="outset" w:sz="6" w:space="0" w:color="auto"/>
              <w:left w:val="outset" w:sz="6" w:space="0" w:color="auto"/>
              <w:bottom w:val="outset" w:sz="6" w:space="0" w:color="auto"/>
              <w:right w:val="outset" w:sz="6" w:space="0" w:color="auto"/>
            </w:tcBorders>
            <w:shd w:val="clear" w:color="auto" w:fill="EEEEEE"/>
            <w:hideMark/>
          </w:tcPr>
          <w:p w:rsidR="00D235B7" w:rsidRPr="00C37A65" w:rsidRDefault="00D235B7" w:rsidP="00F52420">
            <w:pPr>
              <w:spacing w:after="0"/>
              <w:jc w:val="center"/>
              <w:rPr>
                <w:rFonts w:cs="Arial"/>
                <w:b/>
                <w:bCs/>
                <w:color w:val="013B80"/>
                <w:lang w:eastAsia="en-GB"/>
              </w:rPr>
            </w:pPr>
            <w:r w:rsidRPr="00C37A65">
              <w:rPr>
                <w:rFonts w:cs="Arial"/>
                <w:b/>
                <w:bCs/>
                <w:color w:val="013B80"/>
                <w:lang w:eastAsia="en-GB"/>
              </w:rPr>
              <w:t>CR</w:t>
            </w:r>
          </w:p>
        </w:tc>
        <w:tc>
          <w:tcPr>
            <w:tcW w:w="500" w:type="pct"/>
            <w:tcBorders>
              <w:top w:val="outset" w:sz="6" w:space="0" w:color="auto"/>
              <w:left w:val="outset" w:sz="6" w:space="0" w:color="auto"/>
              <w:bottom w:val="outset" w:sz="6" w:space="0" w:color="auto"/>
              <w:right w:val="outset" w:sz="6" w:space="0" w:color="auto"/>
            </w:tcBorders>
            <w:shd w:val="clear" w:color="auto" w:fill="EEEEEE"/>
            <w:hideMark/>
          </w:tcPr>
          <w:p w:rsidR="00D235B7" w:rsidRPr="00C37A65" w:rsidRDefault="00D235B7" w:rsidP="00F52420">
            <w:pPr>
              <w:spacing w:after="0"/>
              <w:jc w:val="center"/>
              <w:rPr>
                <w:rFonts w:cs="Arial"/>
                <w:b/>
                <w:bCs/>
                <w:color w:val="013B80"/>
                <w:lang w:eastAsia="en-GB"/>
              </w:rPr>
            </w:pPr>
            <w:r w:rsidRPr="00C37A65">
              <w:rPr>
                <w:rFonts w:cs="Arial"/>
                <w:b/>
                <w:bCs/>
                <w:color w:val="013B80"/>
                <w:lang w:eastAsia="en-GB"/>
              </w:rPr>
              <w:t>Options</w:t>
            </w:r>
          </w:p>
        </w:tc>
        <w:tc>
          <w:tcPr>
            <w:tcW w:w="2250" w:type="pct"/>
            <w:tcBorders>
              <w:top w:val="outset" w:sz="6" w:space="0" w:color="auto"/>
              <w:left w:val="outset" w:sz="6" w:space="0" w:color="auto"/>
              <w:bottom w:val="outset" w:sz="6" w:space="0" w:color="auto"/>
              <w:right w:val="outset" w:sz="6" w:space="0" w:color="auto"/>
            </w:tcBorders>
            <w:shd w:val="clear" w:color="auto" w:fill="EEEEEE"/>
            <w:hideMark/>
          </w:tcPr>
          <w:p w:rsidR="00D235B7" w:rsidRPr="00C37A65" w:rsidRDefault="00D235B7" w:rsidP="00F52420">
            <w:pPr>
              <w:spacing w:after="0"/>
              <w:jc w:val="center"/>
              <w:rPr>
                <w:rFonts w:cs="Arial"/>
                <w:b/>
                <w:bCs/>
                <w:color w:val="013B80"/>
                <w:lang w:eastAsia="en-GB"/>
              </w:rPr>
            </w:pPr>
            <w:r w:rsidRPr="00C37A65">
              <w:rPr>
                <w:rFonts w:cs="Arial"/>
                <w:b/>
                <w:bCs/>
                <w:color w:val="013B80"/>
                <w:lang w:eastAsia="en-GB"/>
              </w:rPr>
              <w:t>Qualifier Description</w:t>
            </w:r>
          </w:p>
        </w:tc>
      </w:tr>
      <w:tr w:rsidR="00D235B7" w:rsidRPr="00C37A65" w:rsidTr="00F52420">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M</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CRDB</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H</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Credit/Debit Indicator</w:t>
            </w:r>
          </w:p>
        </w:tc>
      </w:tr>
      <w:tr w:rsidR="00D235B7" w:rsidRPr="00C37A65" w:rsidTr="00F52420">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2</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TEMP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F</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Temporary Indicator</w:t>
            </w:r>
          </w:p>
        </w:tc>
      </w:tr>
      <w:tr w:rsidR="00D235B7" w:rsidRPr="00C37A65" w:rsidTr="00F52420">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3</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NELP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F</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Non Eligible Proceeds Indicator</w:t>
            </w:r>
          </w:p>
        </w:tc>
      </w:tr>
      <w:tr w:rsidR="00D235B7" w:rsidRPr="00C37A65" w:rsidTr="00D235B7">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4</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TXAP</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D9D9D9"/>
            <w:hideMark/>
          </w:tcPr>
          <w:p w:rsidR="00D235B7" w:rsidRPr="00C60E13" w:rsidRDefault="00D235B7" w:rsidP="00F52420">
            <w:pPr>
              <w:spacing w:after="0"/>
              <w:rPr>
                <w:rFonts w:cs="Arial"/>
                <w:b/>
                <w:strike/>
                <w:color w:val="000000"/>
                <w:lang w:eastAsia="en-GB"/>
              </w:rPr>
            </w:pPr>
            <w:r w:rsidRPr="00C60E13">
              <w:rPr>
                <w:rFonts w:cs="Arial"/>
                <w:b/>
                <w:strike/>
                <w:color w:val="FF0000"/>
                <w:lang w:eastAsia="en-GB"/>
              </w:rPr>
              <w:t>H</w:t>
            </w:r>
            <w:r>
              <w:rPr>
                <w:rFonts w:cs="Arial"/>
                <w:b/>
                <w:strike/>
                <w:color w:val="FF0000"/>
                <w:lang w:eastAsia="en-GB"/>
              </w:rPr>
              <w:t xml:space="preserve"> </w:t>
            </w:r>
            <w:r w:rsidRPr="00C60E13">
              <w:rPr>
                <w:rFonts w:cs="Arial"/>
                <w:b/>
                <w:color w:val="0000FF"/>
                <w:u w:val="single"/>
                <w:lang w:eastAsia="en-GB"/>
              </w:rPr>
              <w:t>F</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Issuer/Offeror Taxability Indicator</w:t>
            </w:r>
          </w:p>
        </w:tc>
      </w:tr>
      <w:tr w:rsidR="00D235B7" w:rsidRPr="00C37A65" w:rsidTr="00F52420">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5</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O</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NSIS</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H</w:t>
            </w:r>
          </w:p>
        </w:tc>
        <w:tc>
          <w:tcPr>
            <w:tcW w:w="2250" w:type="pct"/>
            <w:tcBorders>
              <w:top w:val="outset" w:sz="6" w:space="0" w:color="auto"/>
              <w:left w:val="outset" w:sz="6" w:space="0" w:color="auto"/>
              <w:bottom w:val="outset" w:sz="6" w:space="0" w:color="auto"/>
              <w:right w:val="outset" w:sz="6" w:space="0" w:color="auto"/>
            </w:tcBorders>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New Securities Issuance Indicator</w:t>
            </w:r>
          </w:p>
        </w:tc>
      </w:tr>
    </w:tbl>
    <w:p w:rsidR="00D235B7" w:rsidRPr="00C37A65" w:rsidRDefault="00D235B7" w:rsidP="00D235B7">
      <w:pPr>
        <w:pBdr>
          <w:bottom w:val="single" w:sz="6" w:space="0" w:color="013B80"/>
        </w:pBdr>
        <w:spacing w:after="0"/>
        <w:outlineLvl w:val="4"/>
        <w:rPr>
          <w:rFonts w:cs="Arial"/>
          <w:color w:val="013B80"/>
          <w:lang w:eastAsia="en-GB"/>
        </w:rPr>
      </w:pPr>
      <w:r w:rsidRPr="00C37A65">
        <w:rPr>
          <w:rFonts w:cs="Arial"/>
          <w:color w:val="013B80"/>
          <w:lang w:eastAsia="en-GB"/>
        </w:rPr>
        <w:t>DEFINITION</w:t>
      </w:r>
    </w:p>
    <w:p w:rsidR="00D235B7" w:rsidRPr="00C37A65" w:rsidRDefault="00D235B7" w:rsidP="00D235B7">
      <w:pPr>
        <w:spacing w:after="0"/>
        <w:rPr>
          <w:rFonts w:cs="Arial"/>
          <w:color w:val="000000"/>
          <w:lang w:eastAsia="en-GB"/>
        </w:rPr>
      </w:pPr>
      <w:r w:rsidRPr="00C37A65">
        <w:rPr>
          <w:rFonts w:cs="Arial"/>
          <w:color w:val="000000"/>
          <w:lang w:eastAsia="en-GB"/>
        </w:rPr>
        <w:t xml:space="preserve">This qualified generic field specifies: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48"/>
        <w:gridCol w:w="1882"/>
        <w:gridCol w:w="6249"/>
      </w:tblGrid>
      <w:tr w:rsidR="00D235B7" w:rsidRPr="00C37A65" w:rsidTr="00F52420">
        <w:trPr>
          <w:tblCellSpacing w:w="15" w:type="dxa"/>
        </w:trPr>
        <w:tc>
          <w:tcPr>
            <w:tcW w:w="6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CRDB</w:t>
            </w:r>
          </w:p>
        </w:tc>
        <w:tc>
          <w:tcPr>
            <w:tcW w:w="10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Credit/Debit Indicator</w:t>
            </w:r>
          </w:p>
        </w:tc>
        <w:tc>
          <w:tcPr>
            <w:tcW w:w="33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Specifies whether the value is a debit or credit.</w:t>
            </w:r>
          </w:p>
        </w:tc>
      </w:tr>
      <w:tr w:rsidR="00D235B7" w:rsidRPr="00C37A65" w:rsidTr="00F52420">
        <w:trPr>
          <w:tblCellSpacing w:w="15" w:type="dxa"/>
        </w:trPr>
        <w:tc>
          <w:tcPr>
            <w:tcW w:w="6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NELP</w:t>
            </w:r>
          </w:p>
        </w:tc>
        <w:tc>
          <w:tcPr>
            <w:tcW w:w="10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Non Eligible Proceeds Indicator</w:t>
            </w:r>
          </w:p>
        </w:tc>
        <w:tc>
          <w:tcPr>
            <w:tcW w:w="33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Specifies information regarding outturn resources that cannot be processed by the CSD. Special delivery instruction is required from the account owner for the CA outcome to be credited.</w:t>
            </w:r>
          </w:p>
        </w:tc>
      </w:tr>
      <w:tr w:rsidR="00D235B7" w:rsidRPr="00C37A65" w:rsidTr="00F52420">
        <w:trPr>
          <w:tblCellSpacing w:w="15" w:type="dxa"/>
        </w:trPr>
        <w:tc>
          <w:tcPr>
            <w:tcW w:w="6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NSIS</w:t>
            </w:r>
          </w:p>
        </w:tc>
        <w:tc>
          <w:tcPr>
            <w:tcW w:w="10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New Securities Issuance Indicator</w:t>
            </w:r>
          </w:p>
        </w:tc>
        <w:tc>
          <w:tcPr>
            <w:tcW w:w="33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Indicates whether the securities are newly issued or not.</w:t>
            </w:r>
          </w:p>
        </w:tc>
      </w:tr>
      <w:tr w:rsidR="00D235B7" w:rsidRPr="00C37A65" w:rsidTr="00F52420">
        <w:trPr>
          <w:tblCellSpacing w:w="15" w:type="dxa"/>
        </w:trPr>
        <w:tc>
          <w:tcPr>
            <w:tcW w:w="6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TEMP</w:t>
            </w:r>
          </w:p>
        </w:tc>
        <w:tc>
          <w:tcPr>
            <w:tcW w:w="10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Temporary Indicator</w:t>
            </w:r>
          </w:p>
        </w:tc>
        <w:tc>
          <w:tcPr>
            <w:tcW w:w="33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Specifies that the security identified is a temporary security identification used for processing reasons, for example, contra security used in the US.</w:t>
            </w:r>
          </w:p>
        </w:tc>
      </w:tr>
      <w:tr w:rsidR="00D235B7" w:rsidRPr="00C37A65" w:rsidTr="00F52420">
        <w:trPr>
          <w:tblCellSpacing w:w="15" w:type="dxa"/>
        </w:trPr>
        <w:tc>
          <w:tcPr>
            <w:tcW w:w="6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TXAP</w:t>
            </w:r>
          </w:p>
        </w:tc>
        <w:tc>
          <w:tcPr>
            <w:tcW w:w="100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Issuer/Offeror Taxability Indicator</w:t>
            </w:r>
          </w:p>
        </w:tc>
        <w:tc>
          <w:tcPr>
            <w:tcW w:w="3350" w:type="pct"/>
            <w:shd w:val="clear" w:color="auto" w:fill="FFFFFF"/>
            <w:hideMark/>
          </w:tcPr>
          <w:p w:rsidR="00D235B7" w:rsidRPr="00C37A65" w:rsidRDefault="00D235B7" w:rsidP="00F52420">
            <w:pPr>
              <w:spacing w:after="0"/>
              <w:rPr>
                <w:rFonts w:cs="Arial"/>
                <w:color w:val="000000"/>
                <w:lang w:eastAsia="en-GB"/>
              </w:rPr>
            </w:pPr>
            <w:r w:rsidRPr="00C37A65">
              <w:rPr>
                <w:rFonts w:cs="Arial"/>
                <w:color w:val="000000"/>
                <w:lang w:eastAsia="en-GB"/>
              </w:rPr>
              <w:t>Proceeds are taxable according to the information provided by the issuer/offeror.</w:t>
            </w:r>
          </w:p>
        </w:tc>
      </w:tr>
    </w:tbl>
    <w:p w:rsidR="00D235B7" w:rsidRDefault="00D235B7" w:rsidP="00D235B7">
      <w:pPr>
        <w:pBdr>
          <w:bottom w:val="single" w:sz="6" w:space="0" w:color="013B80"/>
        </w:pBdr>
        <w:spacing w:after="0"/>
        <w:outlineLvl w:val="4"/>
        <w:rPr>
          <w:rFonts w:cs="Arial"/>
          <w:color w:val="013B80"/>
          <w:lang w:eastAsia="en-GB"/>
        </w:rPr>
      </w:pPr>
    </w:p>
    <w:p w:rsidR="00D235B7" w:rsidRPr="00C60E13" w:rsidRDefault="00D235B7" w:rsidP="00D235B7">
      <w:pPr>
        <w:pBdr>
          <w:bottom w:val="single" w:sz="6" w:space="0" w:color="013B80"/>
        </w:pBdr>
        <w:shd w:val="clear" w:color="auto" w:fill="D9D9D9"/>
        <w:spacing w:after="0"/>
        <w:outlineLvl w:val="4"/>
        <w:rPr>
          <w:rFonts w:cs="Arial"/>
          <w:b/>
          <w:strike/>
          <w:color w:val="FF0000"/>
          <w:lang w:eastAsia="en-GB"/>
        </w:rPr>
      </w:pPr>
      <w:r w:rsidRPr="00C60E13">
        <w:rPr>
          <w:rFonts w:cs="Arial"/>
          <w:b/>
          <w:strike/>
          <w:color w:val="FF0000"/>
          <w:lang w:eastAsia="en-GB"/>
        </w:rPr>
        <w:t>CODES</w:t>
      </w:r>
    </w:p>
    <w:p w:rsidR="00D235B7" w:rsidRPr="00C60E13" w:rsidRDefault="00D235B7" w:rsidP="00D235B7">
      <w:pPr>
        <w:shd w:val="clear" w:color="auto" w:fill="D9D9D9"/>
        <w:spacing w:after="0"/>
        <w:rPr>
          <w:rFonts w:cs="Arial"/>
          <w:b/>
          <w:strike/>
          <w:color w:val="FF0000"/>
          <w:lang w:eastAsia="en-GB"/>
        </w:rPr>
      </w:pPr>
      <w:r w:rsidRPr="00C60E13">
        <w:rPr>
          <w:rFonts w:cs="Arial"/>
          <w:b/>
          <w:strike/>
          <w:color w:val="FF0000"/>
          <w:lang w:eastAsia="en-GB"/>
        </w:rPr>
        <w:t xml:space="preserve">In option H, if Qualifier is TXAP, Indicator must contain the following code (Error code(s): K22):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48"/>
        <w:gridCol w:w="1883"/>
        <w:gridCol w:w="6248"/>
      </w:tblGrid>
      <w:tr w:rsidR="00D235B7" w:rsidRPr="00C60E13" w:rsidTr="00F52420">
        <w:trPr>
          <w:tblCellSpacing w:w="15" w:type="dxa"/>
        </w:trPr>
        <w:tc>
          <w:tcPr>
            <w:tcW w:w="641" w:type="pct"/>
            <w:shd w:val="clear" w:color="auto" w:fill="FFFFFF"/>
            <w:hideMark/>
          </w:tcPr>
          <w:p w:rsidR="00D235B7" w:rsidRPr="00C60E13" w:rsidRDefault="00D235B7" w:rsidP="00D235B7">
            <w:pPr>
              <w:shd w:val="clear" w:color="auto" w:fill="D9D9D9"/>
              <w:spacing w:after="0"/>
              <w:rPr>
                <w:rFonts w:cs="Arial"/>
                <w:b/>
                <w:strike/>
                <w:color w:val="FF0000"/>
                <w:lang w:eastAsia="en-GB"/>
              </w:rPr>
            </w:pPr>
            <w:r w:rsidRPr="00C60E13">
              <w:rPr>
                <w:rFonts w:cs="Arial"/>
                <w:b/>
                <w:strike/>
                <w:color w:val="FF0000"/>
                <w:lang w:eastAsia="en-GB"/>
              </w:rPr>
              <w:t>TXBL</w:t>
            </w:r>
          </w:p>
        </w:tc>
        <w:tc>
          <w:tcPr>
            <w:tcW w:w="987" w:type="pct"/>
            <w:shd w:val="clear" w:color="auto" w:fill="FFFFFF"/>
            <w:hideMark/>
          </w:tcPr>
          <w:p w:rsidR="00D235B7" w:rsidRPr="00C60E13" w:rsidRDefault="00D235B7" w:rsidP="00D235B7">
            <w:pPr>
              <w:shd w:val="clear" w:color="auto" w:fill="D9D9D9"/>
              <w:spacing w:after="0"/>
              <w:rPr>
                <w:rFonts w:cs="Arial"/>
                <w:b/>
                <w:strike/>
                <w:color w:val="FF0000"/>
                <w:lang w:eastAsia="en-GB"/>
              </w:rPr>
            </w:pPr>
            <w:r w:rsidRPr="00C60E13">
              <w:rPr>
                <w:rFonts w:cs="Arial"/>
                <w:b/>
                <w:strike/>
                <w:color w:val="FF0000"/>
                <w:lang w:eastAsia="en-GB"/>
              </w:rPr>
              <w:t>Taxable</w:t>
            </w:r>
          </w:p>
        </w:tc>
        <w:tc>
          <w:tcPr>
            <w:tcW w:w="3304" w:type="pct"/>
            <w:shd w:val="clear" w:color="auto" w:fill="FFFFFF"/>
            <w:hideMark/>
          </w:tcPr>
          <w:p w:rsidR="00D235B7" w:rsidRPr="00C60E13" w:rsidRDefault="00D235B7" w:rsidP="00D235B7">
            <w:pPr>
              <w:shd w:val="clear" w:color="auto" w:fill="D9D9D9"/>
              <w:spacing w:after="0"/>
              <w:rPr>
                <w:rFonts w:cs="Arial"/>
                <w:b/>
                <w:strike/>
                <w:color w:val="FF0000"/>
                <w:lang w:eastAsia="en-GB"/>
              </w:rPr>
            </w:pPr>
            <w:r w:rsidRPr="00C60E13">
              <w:rPr>
                <w:rFonts w:cs="Arial"/>
                <w:b/>
                <w:strike/>
                <w:color w:val="FF0000"/>
                <w:lang w:eastAsia="en-GB"/>
              </w:rPr>
              <w:t>The securities proceeds are taxable.</w:t>
            </w:r>
          </w:p>
        </w:tc>
      </w:tr>
    </w:tbl>
    <w:p w:rsidR="00D235B7" w:rsidRPr="00C60E13" w:rsidRDefault="00D235B7" w:rsidP="00D235B7">
      <w:pPr>
        <w:pBdr>
          <w:bottom w:val="single" w:sz="6" w:space="0" w:color="013B80"/>
        </w:pBdr>
        <w:shd w:val="clear" w:color="auto" w:fill="D9D9D9"/>
        <w:spacing w:before="100" w:beforeAutospacing="1" w:after="100" w:afterAutospacing="1"/>
        <w:outlineLvl w:val="4"/>
        <w:rPr>
          <w:rFonts w:cs="Arial"/>
          <w:b/>
          <w:color w:val="0000FF"/>
          <w:u w:val="single"/>
          <w:lang w:eastAsia="en-GB"/>
        </w:rPr>
      </w:pPr>
      <w:r w:rsidRPr="00C60E13">
        <w:rPr>
          <w:rFonts w:cs="Arial"/>
          <w:b/>
          <w:color w:val="0000FF"/>
          <w:u w:val="single"/>
          <w:lang w:eastAsia="en-GB"/>
        </w:rPr>
        <w:t>CODES</w:t>
      </w:r>
    </w:p>
    <w:p w:rsidR="00D235B7" w:rsidRPr="00C60E13" w:rsidRDefault="00D235B7" w:rsidP="00D235B7">
      <w:pPr>
        <w:shd w:val="clear" w:color="auto" w:fill="D9D9D9"/>
        <w:spacing w:before="100" w:beforeAutospacing="1" w:after="100" w:afterAutospacing="1"/>
        <w:rPr>
          <w:rFonts w:cs="Arial"/>
          <w:b/>
          <w:color w:val="0000FF"/>
          <w:u w:val="single"/>
          <w:lang w:eastAsia="en-GB"/>
        </w:rPr>
      </w:pPr>
      <w:r w:rsidRPr="00C60E13">
        <w:rPr>
          <w:rFonts w:cs="Arial"/>
          <w:b/>
          <w:color w:val="0000FF"/>
          <w:u w:val="single"/>
          <w:lang w:eastAsia="en-GB"/>
        </w:rPr>
        <w:t xml:space="preserve">If Qualifier is </w:t>
      </w:r>
      <w:r>
        <w:rPr>
          <w:rFonts w:cs="Arial"/>
          <w:b/>
          <w:color w:val="0000FF"/>
          <w:u w:val="single"/>
          <w:lang w:eastAsia="en-GB"/>
        </w:rPr>
        <w:t>TXAP</w:t>
      </w:r>
      <w:r w:rsidRPr="00C60E13">
        <w:rPr>
          <w:rFonts w:cs="Arial"/>
          <w:b/>
          <w:color w:val="0000FF"/>
          <w:u w:val="single"/>
          <w:lang w:eastAsia="en-GB"/>
        </w:rPr>
        <w:t xml:space="preserve">, Data Source Scheme must be used, for example, IRSX in the United States. The lists of </w:t>
      </w:r>
      <w:r>
        <w:rPr>
          <w:rFonts w:cs="Arial"/>
          <w:b/>
          <w:color w:val="0000FF"/>
          <w:u w:val="single"/>
          <w:lang w:eastAsia="en-GB"/>
        </w:rPr>
        <w:t>Issuer/Offeror taxability</w:t>
      </w:r>
      <w:r w:rsidRPr="00C60E13">
        <w:rPr>
          <w:rFonts w:cs="Arial"/>
          <w:b/>
          <w:color w:val="0000FF"/>
          <w:u w:val="single"/>
          <w:lang w:eastAsia="en-GB"/>
        </w:rPr>
        <w:t xml:space="preserve"> codes to be used in Indicator are provided in the document titled "</w:t>
      </w:r>
      <w:r>
        <w:rPr>
          <w:rFonts w:cs="Arial"/>
          <w:b/>
          <w:color w:val="0000FF"/>
          <w:u w:val="single"/>
          <w:lang w:eastAsia="en-GB"/>
        </w:rPr>
        <w:t>TXAP</w:t>
      </w:r>
      <w:r w:rsidRPr="00C60E13">
        <w:rPr>
          <w:rFonts w:cs="Arial"/>
          <w:b/>
          <w:color w:val="0000FF"/>
          <w:u w:val="single"/>
          <w:lang w:eastAsia="en-GB"/>
        </w:rPr>
        <w:t xml:space="preserve"> </w:t>
      </w:r>
      <w:r>
        <w:rPr>
          <w:rFonts w:cs="Arial"/>
          <w:b/>
          <w:color w:val="0000FF"/>
          <w:u w:val="single"/>
          <w:lang w:eastAsia="en-GB"/>
        </w:rPr>
        <w:t xml:space="preserve">Taxability </w:t>
      </w:r>
      <w:r w:rsidRPr="00C60E13">
        <w:rPr>
          <w:rFonts w:cs="Arial"/>
          <w:b/>
          <w:color w:val="0000FF"/>
          <w:u w:val="single"/>
          <w:lang w:eastAsia="en-GB"/>
        </w:rPr>
        <w:t xml:space="preserve">Codes" that is available on the SMPG website at </w:t>
      </w:r>
      <w:r w:rsidRPr="00C60E13">
        <w:rPr>
          <w:rFonts w:cs="Arial"/>
          <w:b/>
          <w:bCs/>
          <w:color w:val="0000FF"/>
          <w:u w:val="single"/>
          <w:lang w:eastAsia="en-GB"/>
        </w:rPr>
        <w:t>www.smpg.info</w:t>
      </w:r>
      <w:r w:rsidRPr="00C60E13">
        <w:rPr>
          <w:rFonts w:cs="Arial"/>
          <w:b/>
          <w:color w:val="0000FF"/>
          <w:u w:val="single"/>
          <w:lang w:eastAsia="en-GB"/>
        </w:rPr>
        <w:t xml:space="preserve">. </w:t>
      </w:r>
    </w:p>
    <w:p w:rsidR="00D235B7" w:rsidRPr="00C37A65" w:rsidRDefault="00D235B7" w:rsidP="00D235B7">
      <w:pPr>
        <w:pBdr>
          <w:bottom w:val="single" w:sz="6" w:space="0" w:color="013B80"/>
        </w:pBdr>
        <w:spacing w:after="0"/>
        <w:outlineLvl w:val="4"/>
        <w:rPr>
          <w:rFonts w:cs="Arial"/>
          <w:color w:val="013B80"/>
          <w:lang w:eastAsia="en-GB"/>
        </w:rPr>
      </w:pPr>
      <w:r w:rsidRPr="00C37A65">
        <w:rPr>
          <w:rFonts w:cs="Arial"/>
          <w:color w:val="013B80"/>
          <w:lang w:eastAsia="en-GB"/>
        </w:rPr>
        <w:t>USAGE RULES</w:t>
      </w:r>
    </w:p>
    <w:p w:rsidR="00D235B7" w:rsidRPr="00C37A65" w:rsidRDefault="00D235B7" w:rsidP="00D235B7">
      <w:pPr>
        <w:spacing w:after="0"/>
        <w:rPr>
          <w:rFonts w:cs="Arial"/>
          <w:color w:val="000000"/>
          <w:lang w:eastAsia="en-GB"/>
        </w:rPr>
      </w:pPr>
      <w:r w:rsidRPr="00C37A65">
        <w:rPr>
          <w:rFonts w:cs="Arial"/>
          <w:color w:val="000000"/>
          <w:lang w:eastAsia="en-GB"/>
        </w:rPr>
        <w:t xml:space="preserve">The Issuer/Offeror Taxability Indicator (TXAP) may only be used when no tax rate is provided in the message. It must not be used in events such as dividend or interest. </w:t>
      </w:r>
    </w:p>
    <w:p w:rsidR="00D235B7" w:rsidRPr="005F2113" w:rsidRDefault="00D235B7" w:rsidP="005F2113"/>
    <w:sectPr w:rsidR="00D235B7" w:rsidRPr="005F2113" w:rsidSect="00425A4A">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01" w:rsidRDefault="004B1C01" w:rsidP="00AD728A">
      <w:pPr>
        <w:spacing w:after="0"/>
      </w:pPr>
      <w:r>
        <w:separator/>
      </w:r>
    </w:p>
  </w:endnote>
  <w:endnote w:type="continuationSeparator" w:id="0">
    <w:p w:rsidR="004B1C01" w:rsidRDefault="004B1C01" w:rsidP="00AD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21" w:rsidRPr="00DD704B" w:rsidRDefault="001E4821" w:rsidP="00807E41">
    <w:pPr>
      <w:pStyle w:val="Footer"/>
      <w:tabs>
        <w:tab w:val="clear" w:pos="9026"/>
        <w:tab w:val="right" w:pos="9360"/>
      </w:tabs>
      <w:rPr>
        <w:lang w:val="fr-BE"/>
      </w:rPr>
    </w:pPr>
    <w:r>
      <w:rPr>
        <w:lang w:val="fr-BE"/>
      </w:rPr>
      <w:t>V</w:t>
    </w:r>
    <w:r w:rsidR="00F508A4">
      <w:rPr>
        <w:lang w:val="fr-BE"/>
      </w:rPr>
      <w:t xml:space="preserve">ersion </w:t>
    </w:r>
    <w:r w:rsidR="007E0A68">
      <w:rPr>
        <w:lang w:val="fr-BE"/>
      </w:rPr>
      <w:t>0.1</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sidR="009C0CFE">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9C0CFE">
      <w:rPr>
        <w:noProof/>
        <w:lang w:val="fr-BE"/>
      </w:rPr>
      <w:t>3</w:t>
    </w:r>
    <w:r>
      <w:rPr>
        <w:lang w:val="fr-BE"/>
      </w:rPr>
      <w:fldChar w:fldCharType="end"/>
    </w:r>
    <w:r w:rsidR="00807E41">
      <w:rPr>
        <w:lang w:val="fr-BE"/>
      </w:rPr>
      <w:tab/>
    </w:r>
    <w:r w:rsidR="007E0A68">
      <w:rPr>
        <w:lang w:val="fr-BE"/>
      </w:rPr>
      <w:t>17</w:t>
    </w:r>
    <w:r w:rsidR="00807E41" w:rsidRPr="00C96AC6">
      <w:rPr>
        <w:lang w:val="en-GB"/>
      </w:rPr>
      <w:t xml:space="preserve"> </w:t>
    </w:r>
    <w:r w:rsidR="007E0A68">
      <w:rPr>
        <w:lang w:val="en-GB"/>
      </w:rPr>
      <w:t>May</w:t>
    </w:r>
    <w:r w:rsidR="00807E41">
      <w:rPr>
        <w:lang w:val="fr-BE"/>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01" w:rsidRDefault="004B1C01" w:rsidP="00AD728A">
      <w:pPr>
        <w:spacing w:after="0"/>
      </w:pPr>
      <w:r>
        <w:separator/>
      </w:r>
    </w:p>
  </w:footnote>
  <w:footnote w:type="continuationSeparator" w:id="0">
    <w:p w:rsidR="004B1C01" w:rsidRDefault="004B1C01" w:rsidP="00AD72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21" w:rsidRPr="00B854FB" w:rsidRDefault="00775367" w:rsidP="00A40C72">
    <w:pPr>
      <w:pStyle w:val="Header"/>
      <w:jc w:val="center"/>
      <w:rPr>
        <w:b/>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697" type="#_x0000_t75" style="position:absolute;left:0;text-align:left;margin-left:408.95pt;margin-top:-27.05pt;width:118.5pt;height:55.95pt;z-index:251659264;mso-position-horizontal-relative:text;mso-position-vertical-relative:text">
          <v:imagedata r:id="rId1" o:title="SMPG_logo_Extra_low_resolution"/>
        </v:shape>
      </w:pict>
    </w:r>
    <w:r w:rsidR="001E4821" w:rsidRPr="00B854FB">
      <w:rPr>
        <w:b/>
        <w:lang w:val="en-GB"/>
      </w:rPr>
      <w:t>CA SMPG – SR 201</w:t>
    </w:r>
    <w:r w:rsidR="00EC23F8" w:rsidRPr="00B854FB">
      <w:rPr>
        <w:b/>
        <w:lang w:val="en-GB"/>
      </w:rPr>
      <w:t>6</w:t>
    </w:r>
    <w:r w:rsidR="001E4821" w:rsidRPr="00B854FB">
      <w:rPr>
        <w:b/>
        <w:lang w:val="en-GB"/>
      </w:rPr>
      <w:t xml:space="preserve"> </w:t>
    </w:r>
    <w:r w:rsidR="007E0A68">
      <w:rPr>
        <w:b/>
        <w:lang w:val="en-GB"/>
      </w:rPr>
      <w:t>Temporary MP on Taxability Indicator TXAP//TXBL</w:t>
    </w:r>
    <w:r w:rsidR="001E4821" w:rsidRPr="00B854FB">
      <w:rPr>
        <w:b/>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F4D5A"/>
    <w:multiLevelType w:val="hybridMultilevel"/>
    <w:tmpl w:val="594636BA"/>
    <w:lvl w:ilvl="0" w:tplc="FF10ACDA">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D086E"/>
    <w:multiLevelType w:val="singleLevel"/>
    <w:tmpl w:val="04090017"/>
    <w:lvl w:ilvl="0">
      <w:start w:val="1"/>
      <w:numFmt w:val="lowerLetter"/>
      <w:lvlText w:val="%1)"/>
      <w:lvlJc w:val="left"/>
      <w:pPr>
        <w:tabs>
          <w:tab w:val="num" w:pos="360"/>
        </w:tabs>
        <w:ind w:left="360" w:hanging="360"/>
      </w:pPr>
    </w:lvl>
  </w:abstractNum>
  <w:abstractNum w:abstractNumId="3">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DF53DD"/>
    <w:multiLevelType w:val="hybridMultilevel"/>
    <w:tmpl w:val="23D8898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4A5BA7"/>
    <w:multiLevelType w:val="multilevel"/>
    <w:tmpl w:val="6BEA8E8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638D60C5"/>
    <w:multiLevelType w:val="multilevel"/>
    <w:tmpl w:val="52306A36"/>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lang w:val="en-US"/>
      </w:rPr>
    </w:lvl>
    <w:lvl w:ilvl="2">
      <w:start w:val="1"/>
      <w:numFmt w:val="decimal"/>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6F0066"/>
    <w:multiLevelType w:val="hybridMultilevel"/>
    <w:tmpl w:val="EEC6C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4"/>
  </w:num>
  <w:num w:numId="5">
    <w:abstractNumId w:val="0"/>
  </w:num>
  <w:num w:numId="6">
    <w:abstractNumId w:val="2"/>
  </w:num>
  <w:num w:numId="7">
    <w:abstractNumId w:val="7"/>
  </w:num>
  <w:num w:numId="8">
    <w:abstractNumId w:val="6"/>
  </w:num>
  <w:num w:numId="9">
    <w:abstractNumId w:val="9"/>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9698"/>
    <o:shapelayout v:ext="edit">
      <o:idmap v:ext="edit" data="29"/>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FC6"/>
    <w:rsid w:val="0005574B"/>
    <w:rsid w:val="000822E6"/>
    <w:rsid w:val="000C0F47"/>
    <w:rsid w:val="00101CC5"/>
    <w:rsid w:val="00106A86"/>
    <w:rsid w:val="00113D55"/>
    <w:rsid w:val="00176EC5"/>
    <w:rsid w:val="001921DC"/>
    <w:rsid w:val="001B025D"/>
    <w:rsid w:val="001D5A87"/>
    <w:rsid w:val="001E4821"/>
    <w:rsid w:val="001F4427"/>
    <w:rsid w:val="00203C9E"/>
    <w:rsid w:val="002574E0"/>
    <w:rsid w:val="0028068B"/>
    <w:rsid w:val="002B08AF"/>
    <w:rsid w:val="002B2622"/>
    <w:rsid w:val="00306D71"/>
    <w:rsid w:val="00331F95"/>
    <w:rsid w:val="00342AAA"/>
    <w:rsid w:val="0037355E"/>
    <w:rsid w:val="00383D63"/>
    <w:rsid w:val="00393C64"/>
    <w:rsid w:val="003A4A62"/>
    <w:rsid w:val="003E53C2"/>
    <w:rsid w:val="003F3B3C"/>
    <w:rsid w:val="00401FC6"/>
    <w:rsid w:val="0041450F"/>
    <w:rsid w:val="00424C3D"/>
    <w:rsid w:val="00425A4A"/>
    <w:rsid w:val="00444892"/>
    <w:rsid w:val="00445F65"/>
    <w:rsid w:val="004477E9"/>
    <w:rsid w:val="00453A49"/>
    <w:rsid w:val="00455B38"/>
    <w:rsid w:val="00464061"/>
    <w:rsid w:val="004A14F3"/>
    <w:rsid w:val="004A3EDE"/>
    <w:rsid w:val="004B1C01"/>
    <w:rsid w:val="004B502E"/>
    <w:rsid w:val="004C6651"/>
    <w:rsid w:val="004D6B7A"/>
    <w:rsid w:val="005101A6"/>
    <w:rsid w:val="00541943"/>
    <w:rsid w:val="00555978"/>
    <w:rsid w:val="00560B4B"/>
    <w:rsid w:val="00573887"/>
    <w:rsid w:val="005801E3"/>
    <w:rsid w:val="005818A7"/>
    <w:rsid w:val="00595445"/>
    <w:rsid w:val="00596DF5"/>
    <w:rsid w:val="005A206E"/>
    <w:rsid w:val="005E5FD8"/>
    <w:rsid w:val="005F2113"/>
    <w:rsid w:val="005F279E"/>
    <w:rsid w:val="006072E0"/>
    <w:rsid w:val="00647968"/>
    <w:rsid w:val="00663BE8"/>
    <w:rsid w:val="00665395"/>
    <w:rsid w:val="006746A1"/>
    <w:rsid w:val="006A1DE1"/>
    <w:rsid w:val="006E4E80"/>
    <w:rsid w:val="006F76C8"/>
    <w:rsid w:val="00775367"/>
    <w:rsid w:val="007C6788"/>
    <w:rsid w:val="007E0A68"/>
    <w:rsid w:val="007E4B4A"/>
    <w:rsid w:val="00807E41"/>
    <w:rsid w:val="00823762"/>
    <w:rsid w:val="0082469E"/>
    <w:rsid w:val="008E38C2"/>
    <w:rsid w:val="00912802"/>
    <w:rsid w:val="00940345"/>
    <w:rsid w:val="00970B24"/>
    <w:rsid w:val="009971E9"/>
    <w:rsid w:val="009B2016"/>
    <w:rsid w:val="009C0CFE"/>
    <w:rsid w:val="009C761E"/>
    <w:rsid w:val="009F3095"/>
    <w:rsid w:val="00A13187"/>
    <w:rsid w:val="00A162AD"/>
    <w:rsid w:val="00A2721C"/>
    <w:rsid w:val="00A40C72"/>
    <w:rsid w:val="00A761DA"/>
    <w:rsid w:val="00AB09F2"/>
    <w:rsid w:val="00AB7946"/>
    <w:rsid w:val="00AC5B97"/>
    <w:rsid w:val="00AD69E6"/>
    <w:rsid w:val="00AD728A"/>
    <w:rsid w:val="00AF339C"/>
    <w:rsid w:val="00AF43BF"/>
    <w:rsid w:val="00AF6A8B"/>
    <w:rsid w:val="00AF6F60"/>
    <w:rsid w:val="00B0029C"/>
    <w:rsid w:val="00B04C0D"/>
    <w:rsid w:val="00B16228"/>
    <w:rsid w:val="00B20802"/>
    <w:rsid w:val="00B31AA3"/>
    <w:rsid w:val="00B32304"/>
    <w:rsid w:val="00B359BF"/>
    <w:rsid w:val="00B419F8"/>
    <w:rsid w:val="00B57499"/>
    <w:rsid w:val="00B72194"/>
    <w:rsid w:val="00B854FB"/>
    <w:rsid w:val="00B9729B"/>
    <w:rsid w:val="00BB2E37"/>
    <w:rsid w:val="00BC2AFC"/>
    <w:rsid w:val="00C12989"/>
    <w:rsid w:val="00C136C6"/>
    <w:rsid w:val="00C14E6F"/>
    <w:rsid w:val="00C303E0"/>
    <w:rsid w:val="00C343F5"/>
    <w:rsid w:val="00C65DC1"/>
    <w:rsid w:val="00C7597D"/>
    <w:rsid w:val="00C8626A"/>
    <w:rsid w:val="00C87843"/>
    <w:rsid w:val="00C93DFB"/>
    <w:rsid w:val="00C96AC6"/>
    <w:rsid w:val="00CB3F30"/>
    <w:rsid w:val="00CF7B5B"/>
    <w:rsid w:val="00D03A30"/>
    <w:rsid w:val="00D235B7"/>
    <w:rsid w:val="00D27B26"/>
    <w:rsid w:val="00D3186F"/>
    <w:rsid w:val="00D35800"/>
    <w:rsid w:val="00D5058B"/>
    <w:rsid w:val="00D539AD"/>
    <w:rsid w:val="00D80A42"/>
    <w:rsid w:val="00D962BF"/>
    <w:rsid w:val="00DA6A12"/>
    <w:rsid w:val="00DB347A"/>
    <w:rsid w:val="00DB5A2B"/>
    <w:rsid w:val="00DC5834"/>
    <w:rsid w:val="00DD704B"/>
    <w:rsid w:val="00DE7D2F"/>
    <w:rsid w:val="00E33968"/>
    <w:rsid w:val="00E67F58"/>
    <w:rsid w:val="00E84976"/>
    <w:rsid w:val="00E906CD"/>
    <w:rsid w:val="00EA27E0"/>
    <w:rsid w:val="00EA4B0C"/>
    <w:rsid w:val="00EA5BED"/>
    <w:rsid w:val="00EB0234"/>
    <w:rsid w:val="00EC0EA2"/>
    <w:rsid w:val="00EC23F8"/>
    <w:rsid w:val="00EE1621"/>
    <w:rsid w:val="00EF537F"/>
    <w:rsid w:val="00F003BC"/>
    <w:rsid w:val="00F039D8"/>
    <w:rsid w:val="00F11249"/>
    <w:rsid w:val="00F25FE8"/>
    <w:rsid w:val="00F26B4A"/>
    <w:rsid w:val="00F508A4"/>
    <w:rsid w:val="00F70615"/>
    <w:rsid w:val="00F81A92"/>
    <w:rsid w:val="00F82B12"/>
    <w:rsid w:val="00F8629B"/>
    <w:rsid w:val="00FD5E5E"/>
    <w:rsid w:val="00FE0BCD"/>
    <w:rsid w:val="00F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65DC1"/>
    <w:pPr>
      <w:keepNext/>
      <w:numPr>
        <w:numId w:val="1"/>
      </w:numPr>
      <w:spacing w:before="240" w:after="120"/>
      <w:outlineLvl w:val="0"/>
    </w:pPr>
    <w:rPr>
      <w:b/>
      <w:kern w:val="28"/>
    </w:rPr>
  </w:style>
  <w:style w:type="paragraph" w:styleId="Heading2">
    <w:name w:val="heading 2"/>
    <w:aliases w:val="TSBTWO"/>
    <w:basedOn w:val="Normal"/>
    <w:next w:val="Normal"/>
    <w:qFormat/>
    <w:rsid w:val="00EA4B0C"/>
    <w:pPr>
      <w:keepNext/>
      <w:numPr>
        <w:ilvl w:val="1"/>
        <w:numId w:val="1"/>
      </w:numPr>
      <w:spacing w:before="360" w:after="120"/>
      <w:outlineLvl w:val="1"/>
    </w:pPr>
    <w:rPr>
      <w:shd w:val="clear" w:color="auto" w:fill="00FF00"/>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
      </w:numPr>
      <w:spacing w:before="240" w:after="60"/>
      <w:outlineLvl w:val="3"/>
    </w:pPr>
    <w:rPr>
      <w:b/>
      <w:sz w:val="24"/>
    </w:rPr>
  </w:style>
  <w:style w:type="paragraph" w:styleId="Heading6">
    <w:name w:val="heading 6"/>
    <w:basedOn w:val="Normal"/>
    <w:next w:val="Normal"/>
    <w:qFormat/>
    <w:rsid w:val="00401FC6"/>
    <w:pPr>
      <w:numPr>
        <w:ilvl w:val="5"/>
        <w:numId w:val="1"/>
      </w:numPr>
      <w:spacing w:before="240" w:after="60"/>
      <w:outlineLvl w:val="5"/>
    </w:pPr>
    <w:rPr>
      <w:i/>
      <w:sz w:val="22"/>
    </w:rPr>
  </w:style>
  <w:style w:type="paragraph" w:styleId="Heading7">
    <w:name w:val="heading 7"/>
    <w:basedOn w:val="Normal"/>
    <w:next w:val="Normal"/>
    <w:qFormat/>
    <w:rsid w:val="00401FC6"/>
    <w:pPr>
      <w:numPr>
        <w:ilvl w:val="6"/>
        <w:numId w:val="1"/>
      </w:numPr>
      <w:spacing w:before="240" w:after="60"/>
      <w:outlineLvl w:val="6"/>
    </w:pPr>
  </w:style>
  <w:style w:type="paragraph" w:styleId="Heading8">
    <w:name w:val="heading 8"/>
    <w:basedOn w:val="Normal"/>
    <w:next w:val="Normal"/>
    <w:qFormat/>
    <w:rsid w:val="00401FC6"/>
    <w:pPr>
      <w:numPr>
        <w:ilvl w:val="7"/>
        <w:numId w:val="1"/>
      </w:numPr>
      <w:spacing w:before="240" w:after="60"/>
      <w:outlineLvl w:val="7"/>
    </w:pPr>
    <w:rPr>
      <w:i/>
    </w:rPr>
  </w:style>
  <w:style w:type="paragraph" w:styleId="Heading9">
    <w:name w:val="heading 9"/>
    <w:basedOn w:val="Normal"/>
    <w:next w:val="Normal"/>
    <w:qFormat/>
    <w:rsid w:val="00401FC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B854FB"/>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B854FB"/>
    <w:rPr>
      <w:rFonts w:ascii="Arial" w:eastAsia="Calibri" w:hAnsi="Arial"/>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SR2013 SMPG MP changes_V0_1</vt:lpstr>
    </vt:vector>
  </TitlesOfParts>
  <Company>Skandinaviska Enskilda Banken</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SR2013 SMPG MP changes_V0_1</dc:title>
  <dc:creator>Christine Strandberg</dc:creator>
  <cp:lastModifiedBy>LITTRE Jacques</cp:lastModifiedBy>
  <cp:revision>12</cp:revision>
  <cp:lastPrinted>2016-02-29T16:37:00Z</cp:lastPrinted>
  <dcterms:created xsi:type="dcterms:W3CDTF">2016-05-17T13:52:00Z</dcterms:created>
  <dcterms:modified xsi:type="dcterms:W3CDTF">2016-05-17T16:15:00Z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