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00" w:rsidRDefault="00F258AB" w:rsidP="00C9664A">
      <w:pPr>
        <w:rPr>
          <w:rFonts w:asciiTheme="minorHAnsi" w:hAnsiTheme="minorHAnsi"/>
          <w:b/>
          <w:sz w:val="24"/>
          <w:szCs w:val="24"/>
        </w:rPr>
      </w:pPr>
      <w:bookmarkStart w:id="0" w:name="_GoBack"/>
      <w:bookmarkEnd w:id="0"/>
      <w:r>
        <w:rPr>
          <w:rFonts w:asciiTheme="minorHAnsi" w:hAnsiTheme="minorHAnsi"/>
          <w:b/>
          <w:sz w:val="24"/>
          <w:szCs w:val="24"/>
        </w:rPr>
        <w:t xml:space="preserve">Minutes of </w:t>
      </w:r>
      <w:r w:rsidR="00207FDA" w:rsidRPr="008D7E42">
        <w:rPr>
          <w:rFonts w:asciiTheme="minorHAnsi" w:hAnsiTheme="minorHAnsi"/>
          <w:b/>
          <w:sz w:val="24"/>
          <w:szCs w:val="24"/>
        </w:rPr>
        <w:t xml:space="preserve">Meeting for </w:t>
      </w:r>
      <w:r>
        <w:rPr>
          <w:rFonts w:asciiTheme="minorHAnsi" w:hAnsiTheme="minorHAnsi"/>
          <w:b/>
          <w:sz w:val="24"/>
          <w:szCs w:val="24"/>
        </w:rPr>
        <w:t>SMPG Singapore</w:t>
      </w:r>
    </w:p>
    <w:p w:rsidR="00F258AB" w:rsidRDefault="00F258AB" w:rsidP="00C9664A">
      <w:pPr>
        <w:rPr>
          <w:rFonts w:asciiTheme="minorHAnsi" w:hAnsiTheme="minorHAnsi"/>
          <w:b/>
          <w:sz w:val="24"/>
          <w:szCs w:val="24"/>
        </w:rPr>
      </w:pPr>
    </w:p>
    <w:tbl>
      <w:tblPr>
        <w:tblW w:w="10095" w:type="dxa"/>
        <w:tblInd w:w="93" w:type="dxa"/>
        <w:tblLook w:val="04A0" w:firstRow="1" w:lastRow="0" w:firstColumn="1" w:lastColumn="0" w:noHBand="0" w:noVBand="1"/>
      </w:tblPr>
      <w:tblGrid>
        <w:gridCol w:w="1635"/>
        <w:gridCol w:w="3060"/>
        <w:gridCol w:w="263"/>
        <w:gridCol w:w="2141"/>
        <w:gridCol w:w="2996"/>
      </w:tblGrid>
      <w:tr w:rsidR="00F258AB" w:rsidRPr="00FC2900" w:rsidTr="00F258AB">
        <w:trPr>
          <w:trHeight w:val="395"/>
        </w:trPr>
        <w:tc>
          <w:tcPr>
            <w:tcW w:w="1635" w:type="dxa"/>
            <w:shd w:val="clear" w:color="auto" w:fill="auto"/>
            <w:noWrap/>
            <w:hideMark/>
          </w:tcPr>
          <w:p w:rsidR="00F258AB" w:rsidRDefault="00F258AB" w:rsidP="00F258AB">
            <w:pPr>
              <w:rPr>
                <w:rFonts w:asciiTheme="minorHAnsi" w:hAnsiTheme="minorHAnsi"/>
                <w:sz w:val="22"/>
                <w:szCs w:val="22"/>
              </w:rPr>
            </w:pPr>
            <w:r>
              <w:rPr>
                <w:rFonts w:asciiTheme="minorHAnsi" w:hAnsiTheme="minorHAnsi"/>
                <w:sz w:val="22"/>
                <w:szCs w:val="22"/>
              </w:rPr>
              <w:t>Date and Time</w:t>
            </w:r>
            <w:r w:rsidR="001B0553">
              <w:rPr>
                <w:rFonts w:asciiTheme="minorHAnsi" w:hAnsiTheme="minorHAnsi"/>
                <w:sz w:val="22"/>
                <w:szCs w:val="22"/>
              </w:rPr>
              <w:t xml:space="preserve"> :</w:t>
            </w:r>
          </w:p>
        </w:tc>
        <w:tc>
          <w:tcPr>
            <w:tcW w:w="8460" w:type="dxa"/>
            <w:gridSpan w:val="4"/>
            <w:shd w:val="clear" w:color="auto" w:fill="auto"/>
            <w:noWrap/>
            <w:hideMark/>
          </w:tcPr>
          <w:p w:rsidR="00F258AB" w:rsidRPr="00FC2900" w:rsidRDefault="00F258AB" w:rsidP="00F258AB">
            <w:pPr>
              <w:spacing w:after="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7 March 2012</w:t>
            </w:r>
            <w:r w:rsidR="00A6727C">
              <w:rPr>
                <w:rFonts w:ascii="Calibri" w:eastAsia="Times New Roman" w:hAnsi="Calibri" w:cs="Times New Roman"/>
                <w:color w:val="000000"/>
                <w:sz w:val="22"/>
                <w:szCs w:val="22"/>
                <w:lang w:eastAsia="en-GB"/>
              </w:rPr>
              <w:t xml:space="preserve"> (Wednesday)</w:t>
            </w:r>
            <w:r>
              <w:rPr>
                <w:rFonts w:ascii="Calibri" w:eastAsia="Times New Roman" w:hAnsi="Calibri" w:cs="Times New Roman"/>
                <w:color w:val="000000"/>
                <w:sz w:val="22"/>
                <w:szCs w:val="22"/>
                <w:lang w:eastAsia="en-GB"/>
              </w:rPr>
              <w:t>, 12 pm</w:t>
            </w:r>
          </w:p>
        </w:tc>
      </w:tr>
      <w:tr w:rsidR="00F258AB" w:rsidRPr="00FC2900" w:rsidTr="00F258AB">
        <w:trPr>
          <w:trHeight w:val="300"/>
        </w:trPr>
        <w:tc>
          <w:tcPr>
            <w:tcW w:w="1635" w:type="dxa"/>
            <w:shd w:val="clear" w:color="auto" w:fill="auto"/>
            <w:noWrap/>
            <w:hideMark/>
          </w:tcPr>
          <w:p w:rsidR="00F258AB" w:rsidRDefault="00F258AB" w:rsidP="00F258AB">
            <w:pPr>
              <w:rPr>
                <w:rFonts w:asciiTheme="minorHAnsi" w:hAnsiTheme="minorHAnsi"/>
                <w:sz w:val="22"/>
                <w:szCs w:val="22"/>
              </w:rPr>
            </w:pPr>
            <w:r>
              <w:rPr>
                <w:rFonts w:asciiTheme="minorHAnsi" w:hAnsiTheme="minorHAnsi"/>
                <w:sz w:val="22"/>
                <w:szCs w:val="22"/>
              </w:rPr>
              <w:t>Location</w:t>
            </w:r>
            <w:r w:rsidR="001B0553">
              <w:rPr>
                <w:rFonts w:asciiTheme="minorHAnsi" w:hAnsiTheme="minorHAnsi"/>
                <w:sz w:val="22"/>
                <w:szCs w:val="22"/>
              </w:rPr>
              <w:t xml:space="preserve"> :</w:t>
            </w:r>
          </w:p>
        </w:tc>
        <w:tc>
          <w:tcPr>
            <w:tcW w:w="8460" w:type="dxa"/>
            <w:gridSpan w:val="4"/>
            <w:shd w:val="clear" w:color="auto" w:fill="auto"/>
            <w:noWrap/>
            <w:hideMark/>
          </w:tcPr>
          <w:p w:rsidR="00F258AB" w:rsidRPr="00FC2900" w:rsidRDefault="00F258AB" w:rsidP="00F258AB">
            <w:pPr>
              <w:spacing w:after="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 xml:space="preserve">Standard Chartered Bank, Marina Bay Financial Centre Tower 1, Level </w:t>
            </w:r>
            <w:r w:rsidR="00624755">
              <w:rPr>
                <w:rFonts w:ascii="Calibri" w:eastAsia="Times New Roman" w:hAnsi="Calibri" w:cs="Times New Roman"/>
                <w:color w:val="000000"/>
                <w:sz w:val="22"/>
                <w:szCs w:val="22"/>
                <w:lang w:eastAsia="en-GB"/>
              </w:rPr>
              <w:t>32, Japan Room</w:t>
            </w:r>
          </w:p>
        </w:tc>
      </w:tr>
      <w:tr w:rsidR="00F258AB" w:rsidRPr="00FC2900" w:rsidTr="00E15EBF">
        <w:trPr>
          <w:trHeight w:val="300"/>
        </w:trPr>
        <w:tc>
          <w:tcPr>
            <w:tcW w:w="4695" w:type="dxa"/>
            <w:gridSpan w:val="2"/>
            <w:tcBorders>
              <w:bottom w:val="single" w:sz="4" w:space="0" w:color="auto"/>
            </w:tcBorders>
            <w:shd w:val="clear" w:color="auto" w:fill="auto"/>
            <w:noWrap/>
            <w:hideMark/>
          </w:tcPr>
          <w:p w:rsidR="00F258AB" w:rsidRPr="00FC2900" w:rsidRDefault="00F258AB" w:rsidP="00BC61E8">
            <w:pPr>
              <w:spacing w:after="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Attendees:</w:t>
            </w:r>
          </w:p>
        </w:tc>
        <w:tc>
          <w:tcPr>
            <w:tcW w:w="263" w:type="dxa"/>
          </w:tcPr>
          <w:p w:rsidR="00F258AB" w:rsidRPr="00FC2900" w:rsidRDefault="00F258AB" w:rsidP="00BC61E8">
            <w:pPr>
              <w:spacing w:after="0"/>
              <w:rPr>
                <w:rFonts w:ascii="Calibri" w:eastAsia="Times New Roman" w:hAnsi="Calibri" w:cs="Times New Roman"/>
                <w:color w:val="000000"/>
                <w:sz w:val="22"/>
                <w:szCs w:val="22"/>
                <w:lang w:eastAsia="en-GB"/>
              </w:rPr>
            </w:pPr>
          </w:p>
        </w:tc>
        <w:tc>
          <w:tcPr>
            <w:tcW w:w="5137" w:type="dxa"/>
            <w:gridSpan w:val="2"/>
            <w:tcBorders>
              <w:bottom w:val="single" w:sz="4" w:space="0" w:color="auto"/>
            </w:tcBorders>
          </w:tcPr>
          <w:p w:rsidR="00F258AB" w:rsidRPr="00FC2900" w:rsidRDefault="00F258AB" w:rsidP="00BC61E8">
            <w:pPr>
              <w:spacing w:after="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Absent With Apologies:</w:t>
            </w:r>
          </w:p>
        </w:tc>
      </w:tr>
      <w:tr w:rsidR="000413BC" w:rsidRPr="00FC2900" w:rsidTr="00E15EBF">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Rico Yau</w:t>
            </w:r>
          </w:p>
        </w:tc>
        <w:tc>
          <w:tcPr>
            <w:tcW w:w="3060" w:type="dxa"/>
            <w:tcBorders>
              <w:top w:val="single" w:sz="4" w:space="0" w:color="auto"/>
              <w:left w:val="nil"/>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Bank of America Merrill Lynch</w:t>
            </w:r>
          </w:p>
        </w:tc>
        <w:tc>
          <w:tcPr>
            <w:tcW w:w="263" w:type="dxa"/>
            <w:tcBorders>
              <w:lef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2141" w:type="dxa"/>
            <w:tcBorders>
              <w:top w:val="single" w:sz="4" w:space="0" w:color="auto"/>
              <w:left w:val="single" w:sz="4" w:space="0" w:color="auto"/>
              <w:bottom w:val="single" w:sz="4" w:space="0" w:color="auto"/>
              <w:righ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Daniel Sia</w:t>
            </w:r>
          </w:p>
        </w:tc>
        <w:tc>
          <w:tcPr>
            <w:tcW w:w="2996" w:type="dxa"/>
            <w:tcBorders>
              <w:top w:val="single" w:sz="4" w:space="0" w:color="auto"/>
              <w:left w:val="single" w:sz="4" w:space="0" w:color="auto"/>
              <w:bottom w:val="single" w:sz="4" w:space="0" w:color="auto"/>
              <w:righ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Bank of Singapore</w:t>
            </w:r>
          </w:p>
        </w:tc>
      </w:tr>
      <w:tr w:rsidR="000413BC" w:rsidRPr="00FC2900" w:rsidTr="006A1AF2">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Jane Lee</w:t>
            </w:r>
          </w:p>
        </w:tc>
        <w:tc>
          <w:tcPr>
            <w:tcW w:w="3060" w:type="dxa"/>
            <w:tcBorders>
              <w:top w:val="single" w:sz="4" w:space="0" w:color="auto"/>
              <w:left w:val="nil"/>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Bank of America Merrill Lynch</w:t>
            </w:r>
          </w:p>
        </w:tc>
        <w:tc>
          <w:tcPr>
            <w:tcW w:w="263" w:type="dxa"/>
            <w:tcBorders>
              <w:lef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2141" w:type="dxa"/>
            <w:tcBorders>
              <w:top w:val="single" w:sz="4" w:space="0" w:color="auto"/>
              <w:left w:val="single" w:sz="4" w:space="0" w:color="auto"/>
              <w:bottom w:val="single" w:sz="4" w:space="0" w:color="auto"/>
              <w:righ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Mabel Goh</w:t>
            </w:r>
          </w:p>
        </w:tc>
        <w:tc>
          <w:tcPr>
            <w:tcW w:w="2996" w:type="dxa"/>
            <w:tcBorders>
              <w:top w:val="single" w:sz="4" w:space="0" w:color="auto"/>
              <w:left w:val="single" w:sz="4" w:space="0" w:color="auto"/>
              <w:bottom w:val="single" w:sz="4" w:space="0" w:color="auto"/>
              <w:righ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Citibank</w:t>
            </w:r>
          </w:p>
        </w:tc>
      </w:tr>
      <w:tr w:rsidR="000413BC" w:rsidRPr="00FC2900" w:rsidTr="008E4AA7">
        <w:trPr>
          <w:trHeight w:val="300"/>
        </w:trPr>
        <w:tc>
          <w:tcPr>
            <w:tcW w:w="1635" w:type="dxa"/>
            <w:tcBorders>
              <w:top w:val="nil"/>
              <w:left w:val="single" w:sz="4" w:space="0" w:color="auto"/>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Elizabeth Chia</w:t>
            </w:r>
          </w:p>
        </w:tc>
        <w:tc>
          <w:tcPr>
            <w:tcW w:w="3060" w:type="dxa"/>
            <w:tcBorders>
              <w:top w:val="single" w:sz="4" w:space="0" w:color="auto"/>
              <w:left w:val="nil"/>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BNP Paribas Securities Services</w:t>
            </w:r>
          </w:p>
        </w:tc>
        <w:tc>
          <w:tcPr>
            <w:tcW w:w="263" w:type="dxa"/>
            <w:tcBorders>
              <w:top w:val="nil"/>
              <w:lef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2141" w:type="dxa"/>
            <w:tcBorders>
              <w:top w:val="single" w:sz="4" w:space="0" w:color="auto"/>
              <w:left w:val="single" w:sz="4" w:space="0" w:color="auto"/>
              <w:bottom w:val="single" w:sz="4" w:space="0" w:color="auto"/>
              <w:righ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Tony Lewis</w:t>
            </w:r>
          </w:p>
        </w:tc>
        <w:tc>
          <w:tcPr>
            <w:tcW w:w="2996" w:type="dxa"/>
            <w:tcBorders>
              <w:top w:val="single" w:sz="4" w:space="0" w:color="auto"/>
              <w:left w:val="single" w:sz="4" w:space="0" w:color="auto"/>
              <w:bottom w:val="single" w:sz="4" w:space="0" w:color="auto"/>
              <w:righ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HSBC</w:t>
            </w:r>
          </w:p>
        </w:tc>
      </w:tr>
      <w:tr w:rsidR="000413BC" w:rsidRPr="00FC2900" w:rsidTr="00D67095">
        <w:trPr>
          <w:trHeight w:val="300"/>
        </w:trPr>
        <w:tc>
          <w:tcPr>
            <w:tcW w:w="1635" w:type="dxa"/>
            <w:tcBorders>
              <w:top w:val="nil"/>
              <w:left w:val="single" w:sz="4" w:space="0" w:color="auto"/>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Teo Chai Sio</w:t>
            </w:r>
          </w:p>
        </w:tc>
        <w:tc>
          <w:tcPr>
            <w:tcW w:w="3060" w:type="dxa"/>
            <w:tcBorders>
              <w:top w:val="single" w:sz="4" w:space="0" w:color="auto"/>
              <w:left w:val="nil"/>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 xml:space="preserve">CIMB Securities (Singapore) </w:t>
            </w:r>
          </w:p>
        </w:tc>
        <w:tc>
          <w:tcPr>
            <w:tcW w:w="263" w:type="dxa"/>
            <w:tcBorders>
              <w:top w:val="nil"/>
              <w:lef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2141" w:type="dxa"/>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2996" w:type="dxa"/>
          </w:tcPr>
          <w:p w:rsidR="000413BC" w:rsidRPr="00FC2900" w:rsidRDefault="000413BC" w:rsidP="00BC61E8">
            <w:pPr>
              <w:spacing w:after="0"/>
              <w:rPr>
                <w:rFonts w:ascii="Calibri" w:eastAsia="Times New Roman" w:hAnsi="Calibri" w:cs="Times New Roman"/>
                <w:color w:val="000000"/>
                <w:sz w:val="22"/>
                <w:szCs w:val="22"/>
                <w:lang w:eastAsia="en-GB"/>
              </w:rPr>
            </w:pPr>
          </w:p>
        </w:tc>
      </w:tr>
      <w:tr w:rsidR="000413BC" w:rsidRPr="00FC2900" w:rsidTr="00582A37">
        <w:trPr>
          <w:trHeight w:val="300"/>
        </w:trPr>
        <w:tc>
          <w:tcPr>
            <w:tcW w:w="1635" w:type="dxa"/>
            <w:tcBorders>
              <w:top w:val="nil"/>
              <w:left w:val="single" w:sz="4" w:space="0" w:color="auto"/>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 xml:space="preserve">Gan Lai Chun </w:t>
            </w:r>
          </w:p>
        </w:tc>
        <w:tc>
          <w:tcPr>
            <w:tcW w:w="3060" w:type="dxa"/>
            <w:tcBorders>
              <w:top w:val="single" w:sz="4" w:space="0" w:color="auto"/>
              <w:left w:val="nil"/>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Citibank</w:t>
            </w:r>
          </w:p>
        </w:tc>
        <w:tc>
          <w:tcPr>
            <w:tcW w:w="263" w:type="dxa"/>
            <w:tcBorders>
              <w:top w:val="nil"/>
              <w:lef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5137" w:type="dxa"/>
            <w:gridSpan w:val="2"/>
            <w:tcBorders>
              <w:bottom w:val="single" w:sz="4" w:space="0" w:color="auto"/>
            </w:tcBorders>
          </w:tcPr>
          <w:p w:rsidR="000413BC" w:rsidRPr="00FC2900" w:rsidRDefault="00582A37" w:rsidP="00EE2D45">
            <w:pPr>
              <w:spacing w:after="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Administrator:</w:t>
            </w:r>
          </w:p>
        </w:tc>
      </w:tr>
      <w:tr w:rsidR="00582A37" w:rsidRPr="00FC2900" w:rsidTr="00582A37">
        <w:trPr>
          <w:trHeight w:val="300"/>
        </w:trPr>
        <w:tc>
          <w:tcPr>
            <w:tcW w:w="1635" w:type="dxa"/>
            <w:tcBorders>
              <w:top w:val="nil"/>
              <w:left w:val="single" w:sz="4" w:space="0" w:color="auto"/>
              <w:bottom w:val="single" w:sz="4" w:space="0" w:color="auto"/>
              <w:right w:val="single" w:sz="4" w:space="0" w:color="auto"/>
            </w:tcBorders>
            <w:shd w:val="clear" w:color="auto" w:fill="auto"/>
            <w:noWrap/>
            <w:hideMark/>
          </w:tcPr>
          <w:p w:rsidR="00582A37" w:rsidRPr="00FC2900" w:rsidRDefault="00582A37"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Herman Wan</w:t>
            </w:r>
          </w:p>
        </w:tc>
        <w:tc>
          <w:tcPr>
            <w:tcW w:w="3060" w:type="dxa"/>
            <w:tcBorders>
              <w:top w:val="single" w:sz="4" w:space="0" w:color="auto"/>
              <w:left w:val="nil"/>
              <w:bottom w:val="single" w:sz="4" w:space="0" w:color="auto"/>
              <w:right w:val="single" w:sz="4" w:space="0" w:color="auto"/>
            </w:tcBorders>
            <w:shd w:val="clear" w:color="auto" w:fill="auto"/>
            <w:noWrap/>
            <w:hideMark/>
          </w:tcPr>
          <w:p w:rsidR="00582A37" w:rsidRPr="00FC2900" w:rsidRDefault="00582A37"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DBS Bank</w:t>
            </w:r>
          </w:p>
        </w:tc>
        <w:tc>
          <w:tcPr>
            <w:tcW w:w="263" w:type="dxa"/>
            <w:tcBorders>
              <w:top w:val="nil"/>
              <w:left w:val="single" w:sz="4" w:space="0" w:color="auto"/>
              <w:right w:val="single" w:sz="4" w:space="0" w:color="auto"/>
            </w:tcBorders>
          </w:tcPr>
          <w:p w:rsidR="00582A37" w:rsidRPr="00FC2900" w:rsidRDefault="00582A37" w:rsidP="00FD3EBE">
            <w:pPr>
              <w:spacing w:after="0"/>
              <w:rPr>
                <w:rFonts w:ascii="Calibri" w:eastAsia="Times New Roman" w:hAnsi="Calibri" w:cs="Times New Roman"/>
                <w:color w:val="000000"/>
                <w:sz w:val="22"/>
                <w:szCs w:val="22"/>
                <w:lang w:eastAsia="en-GB"/>
              </w:rPr>
            </w:pPr>
          </w:p>
        </w:tc>
        <w:tc>
          <w:tcPr>
            <w:tcW w:w="2141" w:type="dxa"/>
            <w:tcBorders>
              <w:top w:val="single" w:sz="4" w:space="0" w:color="auto"/>
              <w:left w:val="single" w:sz="4" w:space="0" w:color="auto"/>
              <w:bottom w:val="single" w:sz="4" w:space="0" w:color="auto"/>
              <w:right w:val="single" w:sz="4" w:space="0" w:color="auto"/>
            </w:tcBorders>
          </w:tcPr>
          <w:p w:rsidR="00582A37" w:rsidRPr="00FC2900" w:rsidRDefault="00582A37" w:rsidP="00FD3EBE">
            <w:pPr>
              <w:spacing w:after="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Florence Fung</w:t>
            </w:r>
          </w:p>
        </w:tc>
        <w:tc>
          <w:tcPr>
            <w:tcW w:w="2996" w:type="dxa"/>
            <w:tcBorders>
              <w:top w:val="single" w:sz="4" w:space="0" w:color="auto"/>
              <w:left w:val="single" w:sz="4" w:space="0" w:color="auto"/>
              <w:bottom w:val="single" w:sz="4" w:space="0" w:color="auto"/>
              <w:right w:val="single" w:sz="4" w:space="0" w:color="auto"/>
            </w:tcBorders>
          </w:tcPr>
          <w:p w:rsidR="00582A37" w:rsidRPr="00FC2900" w:rsidRDefault="00582A37" w:rsidP="00FD3EBE">
            <w:pPr>
              <w:spacing w:after="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Standard Chartered Bank</w:t>
            </w:r>
          </w:p>
        </w:tc>
      </w:tr>
      <w:tr w:rsidR="000413BC" w:rsidRPr="00FC2900" w:rsidTr="00582A37">
        <w:trPr>
          <w:trHeight w:val="300"/>
        </w:trPr>
        <w:tc>
          <w:tcPr>
            <w:tcW w:w="1635" w:type="dxa"/>
            <w:tcBorders>
              <w:top w:val="nil"/>
              <w:left w:val="single" w:sz="4" w:space="0" w:color="auto"/>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Judy Yang</w:t>
            </w:r>
          </w:p>
        </w:tc>
        <w:tc>
          <w:tcPr>
            <w:tcW w:w="3060" w:type="dxa"/>
            <w:tcBorders>
              <w:top w:val="single" w:sz="4" w:space="0" w:color="auto"/>
              <w:left w:val="nil"/>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DBS Bank</w:t>
            </w:r>
          </w:p>
        </w:tc>
        <w:tc>
          <w:tcPr>
            <w:tcW w:w="263" w:type="dxa"/>
            <w:tcBorders>
              <w:top w:val="nil"/>
              <w:lef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2141" w:type="dxa"/>
            <w:tcBorders>
              <w:top w:val="single" w:sz="4" w:space="0" w:color="auto"/>
            </w:tcBorders>
          </w:tcPr>
          <w:p w:rsidR="000413BC" w:rsidRPr="00FC2900" w:rsidRDefault="000413BC" w:rsidP="00EE2D45">
            <w:pPr>
              <w:spacing w:after="0"/>
              <w:rPr>
                <w:rFonts w:ascii="Calibri" w:eastAsia="Times New Roman" w:hAnsi="Calibri" w:cs="Times New Roman"/>
                <w:color w:val="000000"/>
                <w:sz w:val="22"/>
                <w:szCs w:val="22"/>
                <w:lang w:eastAsia="en-GB"/>
              </w:rPr>
            </w:pPr>
          </w:p>
        </w:tc>
        <w:tc>
          <w:tcPr>
            <w:tcW w:w="2996" w:type="dxa"/>
            <w:tcBorders>
              <w:top w:val="single" w:sz="4" w:space="0" w:color="auto"/>
            </w:tcBorders>
          </w:tcPr>
          <w:p w:rsidR="000413BC" w:rsidRPr="00FC2900" w:rsidRDefault="000413BC" w:rsidP="00EE2D45">
            <w:pPr>
              <w:spacing w:after="0"/>
              <w:rPr>
                <w:rFonts w:ascii="Calibri" w:eastAsia="Times New Roman" w:hAnsi="Calibri" w:cs="Times New Roman"/>
                <w:color w:val="000000"/>
                <w:sz w:val="22"/>
                <w:szCs w:val="22"/>
                <w:lang w:eastAsia="en-GB"/>
              </w:rPr>
            </w:pPr>
          </w:p>
        </w:tc>
      </w:tr>
      <w:tr w:rsidR="000413BC" w:rsidRPr="00FC2900" w:rsidTr="00582A37">
        <w:trPr>
          <w:trHeight w:val="300"/>
        </w:trPr>
        <w:tc>
          <w:tcPr>
            <w:tcW w:w="1635" w:type="dxa"/>
            <w:tcBorders>
              <w:top w:val="nil"/>
              <w:left w:val="single" w:sz="4" w:space="0" w:color="auto"/>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Christina Ang</w:t>
            </w:r>
          </w:p>
        </w:tc>
        <w:tc>
          <w:tcPr>
            <w:tcW w:w="3060" w:type="dxa"/>
            <w:tcBorders>
              <w:top w:val="single" w:sz="4" w:space="0" w:color="auto"/>
              <w:left w:val="nil"/>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Deutsche Bank</w:t>
            </w:r>
          </w:p>
        </w:tc>
        <w:tc>
          <w:tcPr>
            <w:tcW w:w="263" w:type="dxa"/>
            <w:tcBorders>
              <w:top w:val="nil"/>
              <w:left w:val="single" w:sz="4" w:space="0" w:color="auto"/>
            </w:tcBorders>
          </w:tcPr>
          <w:p w:rsidR="000413BC" w:rsidRPr="00FC2900" w:rsidRDefault="000413BC" w:rsidP="00FD3EBE">
            <w:pPr>
              <w:spacing w:after="0"/>
              <w:rPr>
                <w:rFonts w:ascii="Calibri" w:eastAsia="Times New Roman" w:hAnsi="Calibri" w:cs="Times New Roman"/>
                <w:color w:val="000000"/>
                <w:sz w:val="22"/>
                <w:szCs w:val="22"/>
                <w:lang w:eastAsia="en-GB"/>
              </w:rPr>
            </w:pPr>
          </w:p>
        </w:tc>
        <w:tc>
          <w:tcPr>
            <w:tcW w:w="2141" w:type="dxa"/>
          </w:tcPr>
          <w:p w:rsidR="000413BC" w:rsidRPr="00FC2900" w:rsidRDefault="000413BC" w:rsidP="00FD3EBE">
            <w:pPr>
              <w:spacing w:after="0"/>
              <w:rPr>
                <w:rFonts w:ascii="Calibri" w:eastAsia="Times New Roman" w:hAnsi="Calibri" w:cs="Times New Roman"/>
                <w:color w:val="000000"/>
                <w:sz w:val="22"/>
                <w:szCs w:val="22"/>
                <w:lang w:eastAsia="en-GB"/>
              </w:rPr>
            </w:pPr>
          </w:p>
        </w:tc>
        <w:tc>
          <w:tcPr>
            <w:tcW w:w="2996" w:type="dxa"/>
          </w:tcPr>
          <w:p w:rsidR="000413BC" w:rsidRPr="00FC2900" w:rsidRDefault="000413BC" w:rsidP="00FD3EBE">
            <w:pPr>
              <w:spacing w:after="0"/>
              <w:rPr>
                <w:rFonts w:ascii="Calibri" w:eastAsia="Times New Roman" w:hAnsi="Calibri" w:cs="Times New Roman"/>
                <w:color w:val="000000"/>
                <w:sz w:val="22"/>
                <w:szCs w:val="22"/>
                <w:lang w:eastAsia="en-GB"/>
              </w:rPr>
            </w:pPr>
          </w:p>
        </w:tc>
      </w:tr>
      <w:tr w:rsidR="000413BC" w:rsidRPr="00FC2900" w:rsidTr="009B1785">
        <w:trPr>
          <w:trHeight w:val="300"/>
        </w:trPr>
        <w:tc>
          <w:tcPr>
            <w:tcW w:w="1635" w:type="dxa"/>
            <w:tcBorders>
              <w:top w:val="nil"/>
              <w:left w:val="single" w:sz="4" w:space="0" w:color="auto"/>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Gopu Maniam</w:t>
            </w:r>
          </w:p>
        </w:tc>
        <w:tc>
          <w:tcPr>
            <w:tcW w:w="3060" w:type="dxa"/>
            <w:tcBorders>
              <w:top w:val="single" w:sz="4" w:space="0" w:color="auto"/>
              <w:left w:val="nil"/>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HSBC</w:t>
            </w:r>
          </w:p>
        </w:tc>
        <w:tc>
          <w:tcPr>
            <w:tcW w:w="263" w:type="dxa"/>
            <w:tcBorders>
              <w:top w:val="nil"/>
              <w:left w:val="single" w:sz="4" w:space="0" w:color="auto"/>
            </w:tcBorders>
          </w:tcPr>
          <w:p w:rsidR="000413BC" w:rsidRPr="00FC2900" w:rsidRDefault="000413BC" w:rsidP="00FD3EBE">
            <w:pPr>
              <w:spacing w:after="0"/>
              <w:rPr>
                <w:rFonts w:ascii="Calibri" w:eastAsia="Times New Roman" w:hAnsi="Calibri" w:cs="Times New Roman"/>
                <w:color w:val="000000"/>
                <w:sz w:val="22"/>
                <w:szCs w:val="22"/>
                <w:lang w:eastAsia="en-GB"/>
              </w:rPr>
            </w:pPr>
          </w:p>
        </w:tc>
        <w:tc>
          <w:tcPr>
            <w:tcW w:w="2141" w:type="dxa"/>
          </w:tcPr>
          <w:p w:rsidR="000413BC" w:rsidRPr="00FC2900" w:rsidRDefault="000413BC" w:rsidP="00FD3EBE">
            <w:pPr>
              <w:spacing w:after="0"/>
              <w:rPr>
                <w:rFonts w:ascii="Calibri" w:eastAsia="Times New Roman" w:hAnsi="Calibri" w:cs="Times New Roman"/>
                <w:color w:val="000000"/>
                <w:sz w:val="22"/>
                <w:szCs w:val="22"/>
                <w:lang w:eastAsia="en-GB"/>
              </w:rPr>
            </w:pPr>
          </w:p>
        </w:tc>
        <w:tc>
          <w:tcPr>
            <w:tcW w:w="2996" w:type="dxa"/>
          </w:tcPr>
          <w:p w:rsidR="000413BC" w:rsidRPr="00FC2900" w:rsidRDefault="000413BC" w:rsidP="00FD3EBE">
            <w:pPr>
              <w:spacing w:after="0"/>
              <w:rPr>
                <w:rFonts w:ascii="Calibri" w:eastAsia="Times New Roman" w:hAnsi="Calibri" w:cs="Times New Roman"/>
                <w:color w:val="000000"/>
                <w:sz w:val="22"/>
                <w:szCs w:val="22"/>
                <w:lang w:eastAsia="en-GB"/>
              </w:rPr>
            </w:pPr>
          </w:p>
        </w:tc>
      </w:tr>
      <w:tr w:rsidR="000413BC" w:rsidRPr="00FC2900" w:rsidTr="009B1785">
        <w:trPr>
          <w:trHeight w:val="300"/>
        </w:trPr>
        <w:tc>
          <w:tcPr>
            <w:tcW w:w="1635" w:type="dxa"/>
            <w:tcBorders>
              <w:top w:val="nil"/>
              <w:left w:val="single" w:sz="4" w:space="0" w:color="auto"/>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Janice Ow</w:t>
            </w:r>
          </w:p>
        </w:tc>
        <w:tc>
          <w:tcPr>
            <w:tcW w:w="3060" w:type="dxa"/>
            <w:tcBorders>
              <w:top w:val="single" w:sz="4" w:space="0" w:color="auto"/>
              <w:left w:val="nil"/>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OCBC Bank</w:t>
            </w:r>
          </w:p>
        </w:tc>
        <w:tc>
          <w:tcPr>
            <w:tcW w:w="263" w:type="dxa"/>
            <w:tcBorders>
              <w:top w:val="nil"/>
              <w:left w:val="single" w:sz="4" w:space="0" w:color="auto"/>
            </w:tcBorders>
          </w:tcPr>
          <w:p w:rsidR="000413BC" w:rsidRPr="00FC2900" w:rsidRDefault="000413BC" w:rsidP="00FD3EBE">
            <w:pPr>
              <w:spacing w:after="0"/>
              <w:rPr>
                <w:rFonts w:ascii="Calibri" w:eastAsia="Times New Roman" w:hAnsi="Calibri" w:cs="Times New Roman"/>
                <w:color w:val="000000"/>
                <w:sz w:val="22"/>
                <w:szCs w:val="22"/>
                <w:lang w:eastAsia="en-GB"/>
              </w:rPr>
            </w:pPr>
          </w:p>
        </w:tc>
        <w:tc>
          <w:tcPr>
            <w:tcW w:w="2141" w:type="dxa"/>
          </w:tcPr>
          <w:p w:rsidR="000413BC" w:rsidRPr="00FC2900" w:rsidRDefault="000413BC" w:rsidP="00FD3EBE">
            <w:pPr>
              <w:spacing w:after="0"/>
              <w:rPr>
                <w:rFonts w:ascii="Calibri" w:eastAsia="Times New Roman" w:hAnsi="Calibri" w:cs="Times New Roman"/>
                <w:color w:val="000000"/>
                <w:sz w:val="22"/>
                <w:szCs w:val="22"/>
                <w:lang w:eastAsia="en-GB"/>
              </w:rPr>
            </w:pPr>
          </w:p>
        </w:tc>
        <w:tc>
          <w:tcPr>
            <w:tcW w:w="2996" w:type="dxa"/>
          </w:tcPr>
          <w:p w:rsidR="000413BC" w:rsidRPr="00FC2900" w:rsidRDefault="000413BC" w:rsidP="00FD3EBE">
            <w:pPr>
              <w:spacing w:after="0"/>
              <w:rPr>
                <w:rFonts w:ascii="Calibri" w:eastAsia="Times New Roman" w:hAnsi="Calibri" w:cs="Times New Roman"/>
                <w:color w:val="000000"/>
                <w:sz w:val="22"/>
                <w:szCs w:val="22"/>
                <w:lang w:eastAsia="en-GB"/>
              </w:rPr>
            </w:pPr>
          </w:p>
        </w:tc>
      </w:tr>
      <w:tr w:rsidR="000413BC" w:rsidRPr="00FC2900" w:rsidTr="009B1785">
        <w:trPr>
          <w:trHeight w:val="300"/>
        </w:trPr>
        <w:tc>
          <w:tcPr>
            <w:tcW w:w="1635" w:type="dxa"/>
            <w:tcBorders>
              <w:top w:val="nil"/>
              <w:left w:val="single" w:sz="4" w:space="0" w:color="auto"/>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Pr>
                <w:rFonts w:asciiTheme="minorHAnsi" w:hAnsiTheme="minorHAnsi"/>
                <w:sz w:val="22"/>
                <w:szCs w:val="22"/>
              </w:rPr>
              <w:t>Anthony Sim</w:t>
            </w:r>
          </w:p>
        </w:tc>
        <w:tc>
          <w:tcPr>
            <w:tcW w:w="3060" w:type="dxa"/>
            <w:tcBorders>
              <w:top w:val="single" w:sz="4" w:space="0" w:color="auto"/>
              <w:left w:val="nil"/>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Standard Chartered Bank</w:t>
            </w:r>
          </w:p>
        </w:tc>
        <w:tc>
          <w:tcPr>
            <w:tcW w:w="263" w:type="dxa"/>
            <w:tcBorders>
              <w:top w:val="nil"/>
              <w:lef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2141" w:type="dxa"/>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2996" w:type="dxa"/>
          </w:tcPr>
          <w:p w:rsidR="000413BC" w:rsidRPr="00FC2900" w:rsidRDefault="000413BC" w:rsidP="00BC61E8">
            <w:pPr>
              <w:spacing w:after="0"/>
              <w:rPr>
                <w:rFonts w:ascii="Calibri" w:eastAsia="Times New Roman" w:hAnsi="Calibri" w:cs="Times New Roman"/>
                <w:color w:val="000000"/>
                <w:sz w:val="22"/>
                <w:szCs w:val="22"/>
                <w:lang w:eastAsia="en-GB"/>
              </w:rPr>
            </w:pPr>
          </w:p>
        </w:tc>
      </w:tr>
      <w:tr w:rsidR="000413BC" w:rsidRPr="00FC2900" w:rsidTr="008E4AA7">
        <w:trPr>
          <w:trHeight w:val="300"/>
        </w:trPr>
        <w:tc>
          <w:tcPr>
            <w:tcW w:w="1635" w:type="dxa"/>
            <w:tcBorders>
              <w:top w:val="nil"/>
              <w:left w:val="single" w:sz="4" w:space="0" w:color="auto"/>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Lilian Soong</w:t>
            </w:r>
          </w:p>
        </w:tc>
        <w:tc>
          <w:tcPr>
            <w:tcW w:w="3060" w:type="dxa"/>
            <w:tcBorders>
              <w:top w:val="single" w:sz="4" w:space="0" w:color="auto"/>
              <w:left w:val="nil"/>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Standard Chartered Bank</w:t>
            </w:r>
          </w:p>
        </w:tc>
        <w:tc>
          <w:tcPr>
            <w:tcW w:w="263" w:type="dxa"/>
            <w:tcBorders>
              <w:top w:val="nil"/>
              <w:lef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2141" w:type="dxa"/>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2996" w:type="dxa"/>
          </w:tcPr>
          <w:p w:rsidR="000413BC" w:rsidRPr="00FC2900" w:rsidRDefault="000413BC" w:rsidP="00BC61E8">
            <w:pPr>
              <w:spacing w:after="0"/>
              <w:rPr>
                <w:rFonts w:ascii="Calibri" w:eastAsia="Times New Roman" w:hAnsi="Calibri" w:cs="Times New Roman"/>
                <w:color w:val="000000"/>
                <w:sz w:val="22"/>
                <w:szCs w:val="22"/>
                <w:lang w:eastAsia="en-GB"/>
              </w:rPr>
            </w:pPr>
          </w:p>
        </w:tc>
      </w:tr>
      <w:tr w:rsidR="000413BC" w:rsidRPr="00FC2900" w:rsidTr="008E4AA7">
        <w:trPr>
          <w:trHeight w:val="300"/>
        </w:trPr>
        <w:tc>
          <w:tcPr>
            <w:tcW w:w="1635" w:type="dxa"/>
            <w:tcBorders>
              <w:top w:val="nil"/>
              <w:left w:val="single" w:sz="4" w:space="0" w:color="auto"/>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Garry Chan</w:t>
            </w:r>
          </w:p>
        </w:tc>
        <w:tc>
          <w:tcPr>
            <w:tcW w:w="3060" w:type="dxa"/>
            <w:tcBorders>
              <w:top w:val="single" w:sz="4" w:space="0" w:color="auto"/>
              <w:left w:val="nil"/>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Standard Chartered Bank</w:t>
            </w:r>
          </w:p>
        </w:tc>
        <w:tc>
          <w:tcPr>
            <w:tcW w:w="263" w:type="dxa"/>
            <w:tcBorders>
              <w:top w:val="nil"/>
              <w:lef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2141" w:type="dxa"/>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2996" w:type="dxa"/>
          </w:tcPr>
          <w:p w:rsidR="000413BC" w:rsidRPr="00FC2900" w:rsidRDefault="000413BC" w:rsidP="00BC61E8">
            <w:pPr>
              <w:spacing w:after="0"/>
              <w:rPr>
                <w:rFonts w:ascii="Calibri" w:eastAsia="Times New Roman" w:hAnsi="Calibri" w:cs="Times New Roman"/>
                <w:color w:val="000000"/>
                <w:sz w:val="22"/>
                <w:szCs w:val="22"/>
                <w:lang w:eastAsia="en-GB"/>
              </w:rPr>
            </w:pPr>
          </w:p>
        </w:tc>
      </w:tr>
      <w:tr w:rsidR="000413BC" w:rsidRPr="00FC2900" w:rsidTr="008E4AA7">
        <w:trPr>
          <w:trHeight w:val="300"/>
        </w:trPr>
        <w:tc>
          <w:tcPr>
            <w:tcW w:w="1635" w:type="dxa"/>
            <w:tcBorders>
              <w:top w:val="nil"/>
              <w:left w:val="single" w:sz="4" w:space="0" w:color="auto"/>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Veronica Ng</w:t>
            </w:r>
          </w:p>
        </w:tc>
        <w:tc>
          <w:tcPr>
            <w:tcW w:w="3060" w:type="dxa"/>
            <w:tcBorders>
              <w:top w:val="single" w:sz="4" w:space="0" w:color="auto"/>
              <w:left w:val="nil"/>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United Overseas Bank</w:t>
            </w:r>
          </w:p>
        </w:tc>
        <w:tc>
          <w:tcPr>
            <w:tcW w:w="263" w:type="dxa"/>
            <w:tcBorders>
              <w:top w:val="nil"/>
              <w:lef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2141" w:type="dxa"/>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2996" w:type="dxa"/>
          </w:tcPr>
          <w:p w:rsidR="000413BC" w:rsidRPr="00FC2900" w:rsidRDefault="000413BC" w:rsidP="00BC61E8">
            <w:pPr>
              <w:spacing w:after="0"/>
              <w:rPr>
                <w:rFonts w:ascii="Calibri" w:eastAsia="Times New Roman" w:hAnsi="Calibri" w:cs="Times New Roman"/>
                <w:color w:val="000000"/>
                <w:sz w:val="22"/>
                <w:szCs w:val="22"/>
                <w:lang w:eastAsia="en-GB"/>
              </w:rPr>
            </w:pPr>
          </w:p>
        </w:tc>
      </w:tr>
      <w:tr w:rsidR="000413BC" w:rsidRPr="00FC2900" w:rsidTr="008E4AA7">
        <w:trPr>
          <w:trHeight w:val="300"/>
        </w:trPr>
        <w:tc>
          <w:tcPr>
            <w:tcW w:w="1635" w:type="dxa"/>
            <w:tcBorders>
              <w:top w:val="nil"/>
              <w:left w:val="single" w:sz="4" w:space="0" w:color="auto"/>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Grace Tan</w:t>
            </w:r>
          </w:p>
        </w:tc>
        <w:tc>
          <w:tcPr>
            <w:tcW w:w="3060" w:type="dxa"/>
            <w:tcBorders>
              <w:top w:val="single" w:sz="4" w:space="0" w:color="auto"/>
              <w:left w:val="nil"/>
              <w:bottom w:val="single" w:sz="4" w:space="0" w:color="auto"/>
              <w:right w:val="single" w:sz="4" w:space="0" w:color="auto"/>
            </w:tcBorders>
            <w:shd w:val="clear" w:color="auto" w:fill="auto"/>
            <w:noWrap/>
            <w:hideMark/>
          </w:tcPr>
          <w:p w:rsidR="000413BC" w:rsidRPr="00FC2900" w:rsidRDefault="000413BC" w:rsidP="00FD3EBE">
            <w:pPr>
              <w:spacing w:after="0"/>
              <w:rPr>
                <w:rFonts w:ascii="Calibri" w:eastAsia="Times New Roman" w:hAnsi="Calibri" w:cs="Times New Roman"/>
                <w:color w:val="000000"/>
                <w:sz w:val="22"/>
                <w:szCs w:val="22"/>
                <w:lang w:eastAsia="en-GB"/>
              </w:rPr>
            </w:pPr>
            <w:r w:rsidRPr="00FC2900">
              <w:rPr>
                <w:rFonts w:ascii="Calibri" w:eastAsia="Times New Roman" w:hAnsi="Calibri" w:cs="Times New Roman"/>
                <w:color w:val="000000"/>
                <w:sz w:val="22"/>
                <w:szCs w:val="22"/>
                <w:lang w:eastAsia="en-GB"/>
              </w:rPr>
              <w:t>United Overseas Ban</w:t>
            </w:r>
            <w:r>
              <w:rPr>
                <w:rFonts w:ascii="Calibri" w:eastAsia="Times New Roman" w:hAnsi="Calibri" w:cs="Times New Roman"/>
                <w:color w:val="000000"/>
                <w:sz w:val="22"/>
                <w:szCs w:val="22"/>
                <w:lang w:eastAsia="en-GB"/>
              </w:rPr>
              <w:t>k</w:t>
            </w:r>
          </w:p>
        </w:tc>
        <w:tc>
          <w:tcPr>
            <w:tcW w:w="263" w:type="dxa"/>
            <w:tcBorders>
              <w:top w:val="nil"/>
              <w:left w:val="single" w:sz="4" w:space="0" w:color="auto"/>
            </w:tcBorders>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2141" w:type="dxa"/>
          </w:tcPr>
          <w:p w:rsidR="000413BC" w:rsidRPr="00FC2900" w:rsidRDefault="000413BC" w:rsidP="00BC61E8">
            <w:pPr>
              <w:spacing w:after="0"/>
              <w:rPr>
                <w:rFonts w:ascii="Calibri" w:eastAsia="Times New Roman" w:hAnsi="Calibri" w:cs="Times New Roman"/>
                <w:color w:val="000000"/>
                <w:sz w:val="22"/>
                <w:szCs w:val="22"/>
                <w:lang w:eastAsia="en-GB"/>
              </w:rPr>
            </w:pPr>
          </w:p>
        </w:tc>
        <w:tc>
          <w:tcPr>
            <w:tcW w:w="2996" w:type="dxa"/>
          </w:tcPr>
          <w:p w:rsidR="000413BC" w:rsidRPr="00FC2900" w:rsidRDefault="000413BC" w:rsidP="00BC61E8">
            <w:pPr>
              <w:spacing w:after="0"/>
              <w:rPr>
                <w:rFonts w:ascii="Calibri" w:eastAsia="Times New Roman" w:hAnsi="Calibri" w:cs="Times New Roman"/>
                <w:color w:val="000000"/>
                <w:sz w:val="22"/>
                <w:szCs w:val="22"/>
                <w:lang w:eastAsia="en-GB"/>
              </w:rPr>
            </w:pPr>
          </w:p>
        </w:tc>
      </w:tr>
    </w:tbl>
    <w:p w:rsidR="00207FDA" w:rsidRDefault="00207FDA" w:rsidP="00207FDA">
      <w:pPr>
        <w:pStyle w:val="BodyText"/>
      </w:pPr>
    </w:p>
    <w:tbl>
      <w:tblPr>
        <w:tblStyle w:val="TableGrid"/>
        <w:tblW w:w="10080" w:type="dxa"/>
        <w:tblInd w:w="108" w:type="dxa"/>
        <w:tblLook w:val="04A0" w:firstRow="1" w:lastRow="0" w:firstColumn="1" w:lastColumn="0" w:noHBand="0" w:noVBand="1"/>
      </w:tblPr>
      <w:tblGrid>
        <w:gridCol w:w="10080"/>
      </w:tblGrid>
      <w:tr w:rsidR="00E3748F" w:rsidTr="00E3748F">
        <w:tc>
          <w:tcPr>
            <w:tcW w:w="10080" w:type="dxa"/>
          </w:tcPr>
          <w:p w:rsidR="00E3748F" w:rsidRPr="007F5226" w:rsidRDefault="00E3748F" w:rsidP="00207FDA">
            <w:pPr>
              <w:pStyle w:val="BodyText"/>
              <w:rPr>
                <w:b/>
              </w:rPr>
            </w:pPr>
            <w:r>
              <w:rPr>
                <w:b/>
              </w:rPr>
              <w:t>Minutes</w:t>
            </w:r>
          </w:p>
        </w:tc>
      </w:tr>
      <w:tr w:rsidR="00E3748F" w:rsidTr="00E3748F">
        <w:tc>
          <w:tcPr>
            <w:tcW w:w="10080" w:type="dxa"/>
          </w:tcPr>
          <w:p w:rsidR="00E3748F" w:rsidRPr="00C86E6F" w:rsidRDefault="00E3748F" w:rsidP="00D0529B">
            <w:pPr>
              <w:pStyle w:val="BodyText"/>
              <w:rPr>
                <w:u w:val="single"/>
              </w:rPr>
            </w:pPr>
            <w:r w:rsidRPr="00C86E6F">
              <w:rPr>
                <w:u w:val="single"/>
              </w:rPr>
              <w:t>Introduction</w:t>
            </w:r>
          </w:p>
          <w:p w:rsidR="00E3748F" w:rsidRDefault="00E3748F" w:rsidP="00C86E6F">
            <w:pPr>
              <w:pStyle w:val="BodyText"/>
            </w:pPr>
            <w:r>
              <w:t>Anthony welcomed all to the 1</w:t>
            </w:r>
            <w:r w:rsidRPr="00D85AEB">
              <w:rPr>
                <w:vertAlign w:val="superscript"/>
              </w:rPr>
              <w:t>st</w:t>
            </w:r>
            <w:r>
              <w:t xml:space="preserve"> S</w:t>
            </w:r>
            <w:r w:rsidR="00516415">
              <w:t>ecurities Market Practice Group (‘S</w:t>
            </w:r>
            <w:r>
              <w:t>MPG</w:t>
            </w:r>
            <w:r w:rsidR="00516415">
              <w:t>’)</w:t>
            </w:r>
            <w:r>
              <w:t xml:space="preserve"> meeting </w:t>
            </w:r>
            <w:r w:rsidR="00A50F13">
              <w:t xml:space="preserve">for Singapore </w:t>
            </w:r>
            <w:r>
              <w:t>for 2012</w:t>
            </w:r>
            <w:r w:rsidR="007C4962">
              <w:t xml:space="preserve"> hosted by Standard Chartered Bank</w:t>
            </w:r>
            <w:r w:rsidR="002D28BC">
              <w:t xml:space="preserve"> </w:t>
            </w:r>
            <w:r w:rsidR="00B14F26">
              <w:t>(‘SCB’)</w:t>
            </w:r>
            <w:r w:rsidR="00C25825">
              <w:t xml:space="preserve"> </w:t>
            </w:r>
            <w:r w:rsidR="002D28BC">
              <w:t>at its premises</w:t>
            </w:r>
            <w:r>
              <w:t xml:space="preserve">.  The </w:t>
            </w:r>
            <w:r w:rsidR="00D4073B">
              <w:t xml:space="preserve">primary agenda </w:t>
            </w:r>
            <w:r>
              <w:t xml:space="preserve">of </w:t>
            </w:r>
            <w:r w:rsidR="00273B63">
              <w:t>SMPG</w:t>
            </w:r>
            <w:r w:rsidR="006C36D0">
              <w:t xml:space="preserve"> </w:t>
            </w:r>
            <w:r w:rsidR="00273B63">
              <w:t>(‘G</w:t>
            </w:r>
            <w:r>
              <w:t>roup</w:t>
            </w:r>
            <w:r w:rsidR="00273B63">
              <w:t>’)</w:t>
            </w:r>
            <w:r>
              <w:t xml:space="preserve"> </w:t>
            </w:r>
            <w:r w:rsidR="00D4073B">
              <w:t>over the last 1-2 years was</w:t>
            </w:r>
            <w:r>
              <w:t xml:space="preserve"> to identify and drive changes in areas which can be done differently and collectively as an industry.</w:t>
            </w:r>
          </w:p>
          <w:p w:rsidR="00E3748F" w:rsidRPr="00587D97" w:rsidRDefault="00E3748F" w:rsidP="00D0529B">
            <w:pPr>
              <w:pStyle w:val="BodyText"/>
              <w:rPr>
                <w:u w:val="single"/>
              </w:rPr>
            </w:pPr>
            <w:r>
              <w:rPr>
                <w:u w:val="single"/>
              </w:rPr>
              <w:t>Group Direction</w:t>
            </w:r>
            <w:r w:rsidRPr="00587D97">
              <w:rPr>
                <w:u w:val="single"/>
              </w:rPr>
              <w:t xml:space="preserve"> </w:t>
            </w:r>
          </w:p>
          <w:p w:rsidR="00E3748F" w:rsidRDefault="00E3748F" w:rsidP="002E518B">
            <w:pPr>
              <w:rPr>
                <w:rFonts w:asciiTheme="minorHAnsi" w:hAnsiTheme="minorHAnsi"/>
                <w:sz w:val="22"/>
                <w:szCs w:val="22"/>
              </w:rPr>
            </w:pPr>
            <w:r w:rsidRPr="002E518B">
              <w:rPr>
                <w:rFonts w:asciiTheme="minorHAnsi" w:hAnsiTheme="minorHAnsi"/>
                <w:sz w:val="22"/>
                <w:szCs w:val="22"/>
              </w:rPr>
              <w:t xml:space="preserve">Anthony </w:t>
            </w:r>
            <w:r w:rsidR="00D4073B">
              <w:rPr>
                <w:rFonts w:asciiTheme="minorHAnsi" w:hAnsiTheme="minorHAnsi"/>
                <w:sz w:val="22"/>
                <w:szCs w:val="22"/>
              </w:rPr>
              <w:t xml:space="preserve">shared </w:t>
            </w:r>
            <w:r w:rsidRPr="002E518B">
              <w:rPr>
                <w:rFonts w:asciiTheme="minorHAnsi" w:hAnsiTheme="minorHAnsi"/>
                <w:sz w:val="22"/>
                <w:szCs w:val="22"/>
              </w:rPr>
              <w:t xml:space="preserve">that SWIFT </w:t>
            </w:r>
            <w:r>
              <w:rPr>
                <w:rFonts w:asciiTheme="minorHAnsi" w:hAnsiTheme="minorHAnsi"/>
                <w:sz w:val="22"/>
                <w:szCs w:val="22"/>
              </w:rPr>
              <w:t xml:space="preserve">had </w:t>
            </w:r>
            <w:r w:rsidR="00D4073B">
              <w:rPr>
                <w:rFonts w:asciiTheme="minorHAnsi" w:hAnsiTheme="minorHAnsi"/>
                <w:sz w:val="22"/>
                <w:szCs w:val="22"/>
              </w:rPr>
              <w:t xml:space="preserve">requested to join the Group to contribute to drive changes in our </w:t>
            </w:r>
            <w:r>
              <w:rPr>
                <w:rFonts w:asciiTheme="minorHAnsi" w:hAnsiTheme="minorHAnsi"/>
                <w:sz w:val="22"/>
                <w:szCs w:val="22"/>
              </w:rPr>
              <w:t xml:space="preserve">market. </w:t>
            </w:r>
            <w:r w:rsidR="00D4073B">
              <w:rPr>
                <w:rFonts w:asciiTheme="minorHAnsi" w:hAnsiTheme="minorHAnsi"/>
                <w:sz w:val="22"/>
                <w:szCs w:val="22"/>
              </w:rPr>
              <w:t xml:space="preserve">Recently, </w:t>
            </w:r>
            <w:r>
              <w:rPr>
                <w:rFonts w:asciiTheme="minorHAnsi" w:hAnsiTheme="minorHAnsi"/>
                <w:sz w:val="22"/>
                <w:szCs w:val="22"/>
              </w:rPr>
              <w:t>SWIFT ha</w:t>
            </w:r>
            <w:r w:rsidR="00D4073B">
              <w:rPr>
                <w:rFonts w:asciiTheme="minorHAnsi" w:hAnsiTheme="minorHAnsi"/>
                <w:sz w:val="22"/>
                <w:szCs w:val="22"/>
              </w:rPr>
              <w:t>d</w:t>
            </w:r>
            <w:r>
              <w:rPr>
                <w:rFonts w:asciiTheme="minorHAnsi" w:hAnsiTheme="minorHAnsi"/>
                <w:sz w:val="22"/>
                <w:szCs w:val="22"/>
              </w:rPr>
              <w:t xml:space="preserve"> </w:t>
            </w:r>
            <w:r w:rsidR="00D4073B">
              <w:rPr>
                <w:rFonts w:asciiTheme="minorHAnsi" w:hAnsiTheme="minorHAnsi"/>
                <w:sz w:val="22"/>
                <w:szCs w:val="22"/>
              </w:rPr>
              <w:t xml:space="preserve">recently moved a </w:t>
            </w:r>
            <w:r>
              <w:rPr>
                <w:rFonts w:asciiTheme="minorHAnsi" w:hAnsiTheme="minorHAnsi"/>
                <w:sz w:val="22"/>
                <w:szCs w:val="22"/>
              </w:rPr>
              <w:t>team of 5 in</w:t>
            </w:r>
            <w:r w:rsidR="00D4073B">
              <w:rPr>
                <w:rFonts w:asciiTheme="minorHAnsi" w:hAnsiTheme="minorHAnsi"/>
                <w:sz w:val="22"/>
                <w:szCs w:val="22"/>
              </w:rPr>
              <w:t>to</w:t>
            </w:r>
            <w:r>
              <w:rPr>
                <w:rFonts w:asciiTheme="minorHAnsi" w:hAnsiTheme="minorHAnsi"/>
                <w:sz w:val="22"/>
                <w:szCs w:val="22"/>
              </w:rPr>
              <w:t xml:space="preserve"> Singapore</w:t>
            </w:r>
            <w:r w:rsidR="00D4073B">
              <w:rPr>
                <w:rFonts w:asciiTheme="minorHAnsi" w:hAnsiTheme="minorHAnsi"/>
                <w:sz w:val="22"/>
                <w:szCs w:val="22"/>
              </w:rPr>
              <w:t xml:space="preserve"> with the purpose of </w:t>
            </w:r>
            <w:r>
              <w:rPr>
                <w:rFonts w:asciiTheme="minorHAnsi" w:hAnsiTheme="minorHAnsi"/>
                <w:sz w:val="22"/>
                <w:szCs w:val="22"/>
              </w:rPr>
              <w:t xml:space="preserve">supporting market practices in the region and standard activities. However, </w:t>
            </w:r>
            <w:r w:rsidR="009A7A74">
              <w:rPr>
                <w:rFonts w:asciiTheme="minorHAnsi" w:hAnsiTheme="minorHAnsi"/>
                <w:sz w:val="22"/>
                <w:szCs w:val="22"/>
              </w:rPr>
              <w:t xml:space="preserve">further progress or development in </w:t>
            </w:r>
            <w:r>
              <w:rPr>
                <w:rFonts w:asciiTheme="minorHAnsi" w:hAnsiTheme="minorHAnsi"/>
                <w:sz w:val="22"/>
                <w:szCs w:val="22"/>
              </w:rPr>
              <w:t xml:space="preserve">the bigger picture </w:t>
            </w:r>
            <w:r w:rsidR="009A7A74">
              <w:rPr>
                <w:rFonts w:asciiTheme="minorHAnsi" w:hAnsiTheme="minorHAnsi"/>
                <w:sz w:val="22"/>
                <w:szCs w:val="22"/>
              </w:rPr>
              <w:t>h</w:t>
            </w:r>
            <w:r>
              <w:rPr>
                <w:rFonts w:asciiTheme="minorHAnsi" w:hAnsiTheme="minorHAnsi"/>
                <w:sz w:val="22"/>
                <w:szCs w:val="22"/>
              </w:rPr>
              <w:t>as yet to be</w:t>
            </w:r>
            <w:r w:rsidR="009A7A74">
              <w:rPr>
                <w:rFonts w:asciiTheme="minorHAnsi" w:hAnsiTheme="minorHAnsi"/>
                <w:sz w:val="22"/>
                <w:szCs w:val="22"/>
              </w:rPr>
              <w:t xml:space="preserve"> seen</w:t>
            </w:r>
            <w:r>
              <w:rPr>
                <w:rFonts w:asciiTheme="minorHAnsi" w:hAnsiTheme="minorHAnsi"/>
                <w:sz w:val="22"/>
                <w:szCs w:val="22"/>
              </w:rPr>
              <w:t xml:space="preserve"> due to limitations of today’s market conditions </w:t>
            </w:r>
            <w:r w:rsidR="009A7A74">
              <w:rPr>
                <w:rFonts w:asciiTheme="minorHAnsi" w:hAnsiTheme="minorHAnsi"/>
                <w:sz w:val="22"/>
                <w:szCs w:val="22"/>
              </w:rPr>
              <w:t>like</w:t>
            </w:r>
            <w:r>
              <w:rPr>
                <w:rFonts w:asciiTheme="minorHAnsi" w:hAnsiTheme="minorHAnsi"/>
                <w:sz w:val="22"/>
                <w:szCs w:val="22"/>
              </w:rPr>
              <w:t xml:space="preserve"> cut-off times of some Corporate Action transactions. Some of these concerns can be driven collectively as a whole and will require engagement with the </w:t>
            </w:r>
            <w:r w:rsidR="009A7A74">
              <w:rPr>
                <w:rFonts w:asciiTheme="minorHAnsi" w:hAnsiTheme="minorHAnsi"/>
                <w:sz w:val="22"/>
                <w:szCs w:val="22"/>
              </w:rPr>
              <w:t>G</w:t>
            </w:r>
            <w:r>
              <w:rPr>
                <w:rFonts w:asciiTheme="minorHAnsi" w:hAnsiTheme="minorHAnsi"/>
                <w:sz w:val="22"/>
                <w:szCs w:val="22"/>
              </w:rPr>
              <w:t>roup.</w:t>
            </w:r>
          </w:p>
          <w:p w:rsidR="00E3748F" w:rsidRDefault="00E3748F" w:rsidP="002E518B">
            <w:pPr>
              <w:rPr>
                <w:rFonts w:asciiTheme="minorHAnsi" w:hAnsiTheme="minorHAnsi"/>
                <w:sz w:val="22"/>
                <w:szCs w:val="22"/>
              </w:rPr>
            </w:pPr>
          </w:p>
          <w:p w:rsidR="00E3748F" w:rsidRPr="00336D5C" w:rsidRDefault="00D4073B" w:rsidP="00B73C06">
            <w:pPr>
              <w:rPr>
                <w:rFonts w:asciiTheme="minorHAnsi" w:hAnsiTheme="minorHAnsi"/>
                <w:sz w:val="22"/>
                <w:szCs w:val="22"/>
              </w:rPr>
            </w:pPr>
            <w:r>
              <w:rPr>
                <w:rFonts w:asciiTheme="minorHAnsi" w:hAnsiTheme="minorHAnsi"/>
                <w:sz w:val="22"/>
                <w:szCs w:val="22"/>
              </w:rPr>
              <w:t xml:space="preserve">Collectively, the Group agrees that </w:t>
            </w:r>
            <w:r w:rsidR="00E3748F">
              <w:rPr>
                <w:rFonts w:asciiTheme="minorHAnsi" w:hAnsiTheme="minorHAnsi"/>
                <w:sz w:val="22"/>
                <w:szCs w:val="22"/>
              </w:rPr>
              <w:t xml:space="preserve">SMPG should be </w:t>
            </w:r>
            <w:r w:rsidR="00B14F26">
              <w:rPr>
                <w:rFonts w:asciiTheme="minorHAnsi" w:hAnsiTheme="minorHAnsi"/>
                <w:sz w:val="22"/>
                <w:szCs w:val="22"/>
              </w:rPr>
              <w:t xml:space="preserve">self-driven and </w:t>
            </w:r>
            <w:r w:rsidR="00E3748F">
              <w:rPr>
                <w:rFonts w:asciiTheme="minorHAnsi" w:hAnsiTheme="minorHAnsi"/>
                <w:sz w:val="22"/>
                <w:szCs w:val="22"/>
              </w:rPr>
              <w:t>fairly independent from SWIFT as, while the latte</w:t>
            </w:r>
            <w:r w:rsidR="005A78D9">
              <w:rPr>
                <w:rFonts w:asciiTheme="minorHAnsi" w:hAnsiTheme="minorHAnsi"/>
                <w:sz w:val="22"/>
                <w:szCs w:val="22"/>
              </w:rPr>
              <w:t>r</w:t>
            </w:r>
            <w:r w:rsidR="00E3748F">
              <w:rPr>
                <w:rFonts w:asciiTheme="minorHAnsi" w:hAnsiTheme="minorHAnsi"/>
                <w:sz w:val="22"/>
                <w:szCs w:val="22"/>
              </w:rPr>
              <w:t xml:space="preserve">’s participation </w:t>
            </w:r>
            <w:r w:rsidR="004669D1">
              <w:rPr>
                <w:rFonts w:asciiTheme="minorHAnsi" w:hAnsiTheme="minorHAnsi"/>
                <w:sz w:val="22"/>
                <w:szCs w:val="22"/>
              </w:rPr>
              <w:t>and collaboration</w:t>
            </w:r>
            <w:r w:rsidR="00CD5657">
              <w:rPr>
                <w:rFonts w:asciiTheme="minorHAnsi" w:hAnsiTheme="minorHAnsi"/>
                <w:sz w:val="22"/>
                <w:szCs w:val="22"/>
              </w:rPr>
              <w:t xml:space="preserve"> </w:t>
            </w:r>
            <w:r w:rsidR="00DB394B">
              <w:rPr>
                <w:rFonts w:asciiTheme="minorHAnsi" w:hAnsiTheme="minorHAnsi"/>
                <w:sz w:val="22"/>
                <w:szCs w:val="22"/>
              </w:rPr>
              <w:t>are</w:t>
            </w:r>
            <w:r w:rsidR="00CD5657">
              <w:rPr>
                <w:rFonts w:asciiTheme="minorHAnsi" w:hAnsiTheme="minorHAnsi"/>
                <w:sz w:val="22"/>
                <w:szCs w:val="22"/>
              </w:rPr>
              <w:t xml:space="preserve"> </w:t>
            </w:r>
            <w:r w:rsidR="00E3748F">
              <w:rPr>
                <w:rFonts w:asciiTheme="minorHAnsi" w:hAnsiTheme="minorHAnsi"/>
                <w:sz w:val="22"/>
                <w:szCs w:val="22"/>
              </w:rPr>
              <w:t xml:space="preserve">lauded, SMPG </w:t>
            </w:r>
            <w:r w:rsidR="00AC7871">
              <w:rPr>
                <w:rFonts w:asciiTheme="minorHAnsi" w:hAnsiTheme="minorHAnsi"/>
                <w:sz w:val="22"/>
                <w:szCs w:val="22"/>
              </w:rPr>
              <w:t>has</w:t>
            </w:r>
            <w:r w:rsidR="00E3748F">
              <w:rPr>
                <w:rFonts w:asciiTheme="minorHAnsi" w:hAnsiTheme="minorHAnsi"/>
                <w:sz w:val="22"/>
                <w:szCs w:val="22"/>
              </w:rPr>
              <w:t xml:space="preserve"> more bandwidth in terms of the things which can be done with the set-up of sub-working groups to address 2 or 3 </w:t>
            </w:r>
            <w:r w:rsidR="00E3748F" w:rsidRPr="00336D5C">
              <w:rPr>
                <w:rFonts w:asciiTheme="minorHAnsi" w:hAnsiTheme="minorHAnsi"/>
                <w:sz w:val="22"/>
                <w:szCs w:val="22"/>
              </w:rPr>
              <w:t xml:space="preserve">issues </w:t>
            </w:r>
            <w:r w:rsidR="004D0CC4">
              <w:rPr>
                <w:rFonts w:asciiTheme="minorHAnsi" w:hAnsiTheme="minorHAnsi"/>
                <w:sz w:val="22"/>
                <w:szCs w:val="22"/>
              </w:rPr>
              <w:t>concurrently</w:t>
            </w:r>
            <w:r w:rsidR="00E3748F" w:rsidRPr="00336D5C">
              <w:rPr>
                <w:rFonts w:asciiTheme="minorHAnsi" w:hAnsiTheme="minorHAnsi"/>
                <w:sz w:val="22"/>
                <w:szCs w:val="22"/>
              </w:rPr>
              <w:t xml:space="preserve">. </w:t>
            </w:r>
            <w:r w:rsidR="00B14F26">
              <w:rPr>
                <w:rFonts w:asciiTheme="minorHAnsi" w:hAnsiTheme="minorHAnsi"/>
                <w:sz w:val="22"/>
                <w:szCs w:val="22"/>
              </w:rPr>
              <w:t xml:space="preserve">SMPG can </w:t>
            </w:r>
            <w:r w:rsidR="00B14F26" w:rsidRPr="00336D5C">
              <w:rPr>
                <w:rFonts w:asciiTheme="minorHAnsi" w:hAnsiTheme="minorHAnsi"/>
                <w:sz w:val="22"/>
                <w:szCs w:val="22"/>
              </w:rPr>
              <w:t xml:space="preserve">invite SWIFT on an ad-hoc basis to join in the meetings and </w:t>
            </w:r>
            <w:r>
              <w:rPr>
                <w:rFonts w:asciiTheme="minorHAnsi" w:hAnsiTheme="minorHAnsi"/>
                <w:sz w:val="22"/>
                <w:szCs w:val="22"/>
              </w:rPr>
              <w:t xml:space="preserve">the Group should also </w:t>
            </w:r>
            <w:r w:rsidR="00B14F26" w:rsidRPr="00336D5C">
              <w:rPr>
                <w:rFonts w:asciiTheme="minorHAnsi" w:hAnsiTheme="minorHAnsi"/>
                <w:sz w:val="22"/>
                <w:szCs w:val="22"/>
              </w:rPr>
              <w:t>increase interaction with SGX, ACCRA and other associations</w:t>
            </w:r>
            <w:r w:rsidR="00B14F26">
              <w:rPr>
                <w:rFonts w:asciiTheme="minorHAnsi" w:hAnsiTheme="minorHAnsi"/>
                <w:sz w:val="22"/>
                <w:szCs w:val="22"/>
              </w:rPr>
              <w:t>.</w:t>
            </w:r>
          </w:p>
          <w:p w:rsidR="00E3748F" w:rsidRPr="00336D5C" w:rsidRDefault="00E3748F" w:rsidP="00B73C06">
            <w:pPr>
              <w:rPr>
                <w:rFonts w:asciiTheme="minorHAnsi" w:hAnsiTheme="minorHAnsi"/>
                <w:sz w:val="22"/>
                <w:szCs w:val="22"/>
              </w:rPr>
            </w:pPr>
          </w:p>
          <w:p w:rsidR="00E3748F" w:rsidRDefault="00E3748F" w:rsidP="00D11910">
            <w:pPr>
              <w:rPr>
                <w:rFonts w:asciiTheme="minorHAnsi" w:hAnsiTheme="minorHAnsi"/>
                <w:sz w:val="22"/>
                <w:szCs w:val="22"/>
              </w:rPr>
            </w:pPr>
            <w:r w:rsidRPr="00336D5C">
              <w:rPr>
                <w:rFonts w:asciiTheme="minorHAnsi" w:hAnsiTheme="minorHAnsi"/>
                <w:sz w:val="22"/>
                <w:szCs w:val="22"/>
              </w:rPr>
              <w:t xml:space="preserve">Gan recommended that there be consistency in the naming of the </w:t>
            </w:r>
            <w:r w:rsidR="00AA2BD0">
              <w:rPr>
                <w:rFonts w:asciiTheme="minorHAnsi" w:hAnsiTheme="minorHAnsi"/>
                <w:sz w:val="22"/>
                <w:szCs w:val="22"/>
              </w:rPr>
              <w:t>G</w:t>
            </w:r>
            <w:r w:rsidRPr="00336D5C">
              <w:rPr>
                <w:rFonts w:asciiTheme="minorHAnsi" w:hAnsiTheme="minorHAnsi"/>
                <w:sz w:val="22"/>
                <w:szCs w:val="22"/>
              </w:rPr>
              <w:t>roup to establish its i</w:t>
            </w:r>
            <w:r w:rsidR="00B14F26">
              <w:rPr>
                <w:rFonts w:asciiTheme="minorHAnsi" w:hAnsiTheme="minorHAnsi"/>
                <w:sz w:val="22"/>
                <w:szCs w:val="22"/>
              </w:rPr>
              <w:t>dentity in the industry which is Securities Market Practice Group.</w:t>
            </w:r>
          </w:p>
          <w:p w:rsidR="00E3748F" w:rsidRDefault="00E3748F" w:rsidP="00D11910">
            <w:pPr>
              <w:rPr>
                <w:rFonts w:asciiTheme="minorHAnsi" w:hAnsiTheme="minorHAnsi"/>
                <w:sz w:val="22"/>
                <w:szCs w:val="22"/>
              </w:rPr>
            </w:pPr>
          </w:p>
          <w:p w:rsidR="00E3748F" w:rsidRDefault="00E3748F" w:rsidP="00D11910">
            <w:pPr>
              <w:rPr>
                <w:rFonts w:asciiTheme="minorHAnsi" w:hAnsiTheme="minorHAnsi"/>
                <w:sz w:val="22"/>
                <w:szCs w:val="22"/>
              </w:rPr>
            </w:pPr>
            <w:r>
              <w:rPr>
                <w:rFonts w:asciiTheme="minorHAnsi" w:hAnsiTheme="minorHAnsi"/>
                <w:sz w:val="22"/>
                <w:szCs w:val="22"/>
              </w:rPr>
              <w:t xml:space="preserve">Anthony shared key focus </w:t>
            </w:r>
            <w:r w:rsidR="00CE0C96">
              <w:rPr>
                <w:rFonts w:asciiTheme="minorHAnsi" w:hAnsiTheme="minorHAnsi"/>
                <w:sz w:val="22"/>
                <w:szCs w:val="22"/>
              </w:rPr>
              <w:t xml:space="preserve">identified </w:t>
            </w:r>
            <w:r>
              <w:rPr>
                <w:rFonts w:asciiTheme="minorHAnsi" w:hAnsiTheme="minorHAnsi"/>
                <w:sz w:val="22"/>
                <w:szCs w:val="22"/>
              </w:rPr>
              <w:t>by S</w:t>
            </w:r>
            <w:r w:rsidR="00B14F26">
              <w:rPr>
                <w:rFonts w:asciiTheme="minorHAnsi" w:hAnsiTheme="minorHAnsi"/>
                <w:sz w:val="22"/>
                <w:szCs w:val="22"/>
              </w:rPr>
              <w:t>CB</w:t>
            </w:r>
            <w:r>
              <w:rPr>
                <w:rFonts w:asciiTheme="minorHAnsi" w:hAnsiTheme="minorHAnsi"/>
                <w:sz w:val="22"/>
                <w:szCs w:val="22"/>
              </w:rPr>
              <w:t xml:space="preserve"> </w:t>
            </w:r>
            <w:r w:rsidR="00D4073B">
              <w:rPr>
                <w:rFonts w:asciiTheme="minorHAnsi" w:hAnsiTheme="minorHAnsi"/>
                <w:sz w:val="22"/>
                <w:szCs w:val="22"/>
              </w:rPr>
              <w:t>f</w:t>
            </w:r>
            <w:r>
              <w:rPr>
                <w:rFonts w:asciiTheme="minorHAnsi" w:hAnsiTheme="minorHAnsi"/>
                <w:sz w:val="22"/>
                <w:szCs w:val="22"/>
              </w:rPr>
              <w:t xml:space="preserve">or their similar initiative in Hong Kong: </w:t>
            </w:r>
          </w:p>
          <w:p w:rsidR="00E3748F" w:rsidRDefault="00E3748F" w:rsidP="001D1224">
            <w:pPr>
              <w:pStyle w:val="ListParagraph"/>
              <w:numPr>
                <w:ilvl w:val="0"/>
                <w:numId w:val="4"/>
              </w:numPr>
              <w:ind w:left="342" w:hanging="342"/>
              <w:rPr>
                <w:rFonts w:asciiTheme="minorHAnsi" w:hAnsiTheme="minorHAnsi"/>
                <w:sz w:val="22"/>
                <w:szCs w:val="22"/>
              </w:rPr>
            </w:pPr>
            <w:r w:rsidRPr="005550D1">
              <w:rPr>
                <w:rFonts w:asciiTheme="minorHAnsi" w:hAnsiTheme="minorHAnsi"/>
                <w:sz w:val="22"/>
                <w:szCs w:val="22"/>
              </w:rPr>
              <w:lastRenderedPageBreak/>
              <w:t>Sub</w:t>
            </w:r>
            <w:r>
              <w:rPr>
                <w:rFonts w:asciiTheme="minorHAnsi" w:hAnsiTheme="minorHAnsi"/>
                <w:sz w:val="22"/>
                <w:szCs w:val="22"/>
              </w:rPr>
              <w:t>-</w:t>
            </w:r>
            <w:r w:rsidRPr="005550D1">
              <w:rPr>
                <w:rFonts w:asciiTheme="minorHAnsi" w:hAnsiTheme="minorHAnsi"/>
                <w:sz w:val="22"/>
                <w:szCs w:val="22"/>
              </w:rPr>
              <w:t>custodian working group</w:t>
            </w:r>
            <w:r>
              <w:rPr>
                <w:rFonts w:asciiTheme="minorHAnsi" w:hAnsiTheme="minorHAnsi"/>
                <w:sz w:val="22"/>
                <w:szCs w:val="22"/>
              </w:rPr>
              <w:t>s</w:t>
            </w:r>
            <w:r w:rsidRPr="005550D1">
              <w:rPr>
                <w:rFonts w:asciiTheme="minorHAnsi" w:hAnsiTheme="minorHAnsi"/>
                <w:sz w:val="22"/>
                <w:szCs w:val="22"/>
              </w:rPr>
              <w:t xml:space="preserve"> (to discuss non</w:t>
            </w:r>
            <w:r>
              <w:rPr>
                <w:rFonts w:asciiTheme="minorHAnsi" w:hAnsiTheme="minorHAnsi"/>
                <w:sz w:val="22"/>
                <w:szCs w:val="22"/>
              </w:rPr>
              <w:t>-</w:t>
            </w:r>
            <w:r w:rsidRPr="005550D1">
              <w:rPr>
                <w:rFonts w:asciiTheme="minorHAnsi" w:hAnsiTheme="minorHAnsi"/>
                <w:sz w:val="22"/>
                <w:szCs w:val="22"/>
              </w:rPr>
              <w:t>competitive focus on quarterly fees and enhancement</w:t>
            </w:r>
            <w:r>
              <w:rPr>
                <w:rFonts w:asciiTheme="minorHAnsi" w:hAnsiTheme="minorHAnsi"/>
                <w:sz w:val="22"/>
                <w:szCs w:val="22"/>
              </w:rPr>
              <w:t>s</w:t>
            </w:r>
            <w:r w:rsidRPr="005550D1">
              <w:rPr>
                <w:rFonts w:asciiTheme="minorHAnsi" w:hAnsiTheme="minorHAnsi"/>
                <w:sz w:val="22"/>
                <w:szCs w:val="22"/>
              </w:rPr>
              <w:t xml:space="preserve">), </w:t>
            </w:r>
          </w:p>
          <w:p w:rsidR="00E3748F" w:rsidRDefault="00E3748F" w:rsidP="001D1224">
            <w:pPr>
              <w:pStyle w:val="ListParagraph"/>
              <w:numPr>
                <w:ilvl w:val="0"/>
                <w:numId w:val="4"/>
              </w:numPr>
              <w:ind w:left="342" w:hanging="342"/>
              <w:rPr>
                <w:rFonts w:asciiTheme="minorHAnsi" w:hAnsiTheme="minorHAnsi"/>
                <w:sz w:val="22"/>
                <w:szCs w:val="22"/>
              </w:rPr>
            </w:pPr>
            <w:r w:rsidRPr="005550D1">
              <w:rPr>
                <w:rFonts w:asciiTheme="minorHAnsi" w:hAnsiTheme="minorHAnsi"/>
                <w:sz w:val="22"/>
                <w:szCs w:val="22"/>
              </w:rPr>
              <w:t xml:space="preserve">SMPG </w:t>
            </w:r>
            <w:r>
              <w:rPr>
                <w:rFonts w:asciiTheme="minorHAnsi" w:hAnsiTheme="minorHAnsi"/>
                <w:sz w:val="22"/>
                <w:szCs w:val="22"/>
              </w:rPr>
              <w:t xml:space="preserve">consisting of </w:t>
            </w:r>
            <w:r w:rsidRPr="005550D1">
              <w:rPr>
                <w:rFonts w:asciiTheme="minorHAnsi" w:hAnsiTheme="minorHAnsi"/>
                <w:sz w:val="22"/>
                <w:szCs w:val="22"/>
              </w:rPr>
              <w:t xml:space="preserve">2 </w:t>
            </w:r>
            <w:r>
              <w:rPr>
                <w:rFonts w:asciiTheme="minorHAnsi" w:hAnsiTheme="minorHAnsi"/>
                <w:sz w:val="22"/>
                <w:szCs w:val="22"/>
              </w:rPr>
              <w:t>s</w:t>
            </w:r>
            <w:r w:rsidRPr="005550D1">
              <w:rPr>
                <w:rFonts w:asciiTheme="minorHAnsi" w:hAnsiTheme="minorHAnsi"/>
                <w:sz w:val="22"/>
                <w:szCs w:val="22"/>
              </w:rPr>
              <w:t>treams</w:t>
            </w:r>
            <w:r>
              <w:rPr>
                <w:rFonts w:asciiTheme="minorHAnsi" w:hAnsiTheme="minorHAnsi"/>
                <w:sz w:val="22"/>
                <w:szCs w:val="22"/>
              </w:rPr>
              <w:t xml:space="preserve"> -</w:t>
            </w:r>
            <w:r w:rsidRPr="005550D1">
              <w:rPr>
                <w:rFonts w:asciiTheme="minorHAnsi" w:hAnsiTheme="minorHAnsi"/>
                <w:sz w:val="22"/>
                <w:szCs w:val="22"/>
              </w:rPr>
              <w:t xml:space="preserve"> Settlement and Corporate Action</w:t>
            </w:r>
            <w:r>
              <w:rPr>
                <w:rFonts w:asciiTheme="minorHAnsi" w:hAnsiTheme="minorHAnsi"/>
                <w:sz w:val="22"/>
                <w:szCs w:val="22"/>
              </w:rPr>
              <w:t xml:space="preserve">s - </w:t>
            </w:r>
            <w:r w:rsidRPr="005550D1">
              <w:rPr>
                <w:rFonts w:asciiTheme="minorHAnsi" w:hAnsiTheme="minorHAnsi"/>
                <w:sz w:val="22"/>
                <w:szCs w:val="22"/>
              </w:rPr>
              <w:t>driven by S</w:t>
            </w:r>
            <w:r>
              <w:rPr>
                <w:rFonts w:asciiTheme="minorHAnsi" w:hAnsiTheme="minorHAnsi"/>
                <w:sz w:val="22"/>
                <w:szCs w:val="22"/>
              </w:rPr>
              <w:t>WIFT</w:t>
            </w:r>
            <w:r w:rsidRPr="005550D1">
              <w:rPr>
                <w:rFonts w:asciiTheme="minorHAnsi" w:hAnsiTheme="minorHAnsi"/>
                <w:sz w:val="22"/>
                <w:szCs w:val="22"/>
              </w:rPr>
              <w:t xml:space="preserve"> on ISO standards, </w:t>
            </w:r>
            <w:r>
              <w:rPr>
                <w:rFonts w:asciiTheme="minorHAnsi" w:hAnsiTheme="minorHAnsi"/>
                <w:sz w:val="22"/>
                <w:szCs w:val="22"/>
              </w:rPr>
              <w:t>and</w:t>
            </w:r>
          </w:p>
          <w:p w:rsidR="00E3748F" w:rsidRPr="005550D1" w:rsidRDefault="00E3748F" w:rsidP="001D1224">
            <w:pPr>
              <w:pStyle w:val="ListParagraph"/>
              <w:numPr>
                <w:ilvl w:val="0"/>
                <w:numId w:val="4"/>
              </w:numPr>
              <w:ind w:left="342" w:hanging="342"/>
              <w:rPr>
                <w:rFonts w:asciiTheme="minorHAnsi" w:hAnsiTheme="minorHAnsi"/>
                <w:sz w:val="22"/>
                <w:szCs w:val="22"/>
              </w:rPr>
            </w:pPr>
            <w:r>
              <w:rPr>
                <w:rFonts w:asciiTheme="minorHAnsi" w:hAnsiTheme="minorHAnsi"/>
                <w:sz w:val="22"/>
                <w:szCs w:val="22"/>
              </w:rPr>
              <w:t>C</w:t>
            </w:r>
            <w:r w:rsidRPr="005550D1">
              <w:rPr>
                <w:rFonts w:asciiTheme="minorHAnsi" w:hAnsiTheme="minorHAnsi"/>
                <w:sz w:val="22"/>
                <w:szCs w:val="22"/>
              </w:rPr>
              <w:t xml:space="preserve">hinese currency </w:t>
            </w:r>
            <w:r>
              <w:rPr>
                <w:rFonts w:asciiTheme="minorHAnsi" w:hAnsiTheme="minorHAnsi"/>
                <w:sz w:val="22"/>
                <w:szCs w:val="22"/>
              </w:rPr>
              <w:t xml:space="preserve">RMB </w:t>
            </w:r>
            <w:r w:rsidRPr="005550D1">
              <w:rPr>
                <w:rFonts w:asciiTheme="minorHAnsi" w:hAnsiTheme="minorHAnsi"/>
                <w:sz w:val="22"/>
                <w:szCs w:val="22"/>
              </w:rPr>
              <w:t>(local on</w:t>
            </w:r>
            <w:r>
              <w:rPr>
                <w:rFonts w:asciiTheme="minorHAnsi" w:hAnsiTheme="minorHAnsi"/>
                <w:sz w:val="22"/>
                <w:szCs w:val="22"/>
              </w:rPr>
              <w:t>-</w:t>
            </w:r>
            <w:r w:rsidRPr="005550D1">
              <w:rPr>
                <w:rFonts w:asciiTheme="minorHAnsi" w:hAnsiTheme="minorHAnsi"/>
                <w:sz w:val="22"/>
                <w:szCs w:val="22"/>
              </w:rPr>
              <w:t>shore and off</w:t>
            </w:r>
            <w:r>
              <w:rPr>
                <w:rFonts w:asciiTheme="minorHAnsi" w:hAnsiTheme="minorHAnsi"/>
                <w:sz w:val="22"/>
                <w:szCs w:val="22"/>
              </w:rPr>
              <w:t>-</w:t>
            </w:r>
            <w:r w:rsidRPr="005550D1">
              <w:rPr>
                <w:rFonts w:asciiTheme="minorHAnsi" w:hAnsiTheme="minorHAnsi"/>
                <w:sz w:val="22"/>
                <w:szCs w:val="22"/>
              </w:rPr>
              <w:t>shore)</w:t>
            </w:r>
            <w:r>
              <w:rPr>
                <w:rFonts w:asciiTheme="minorHAnsi" w:hAnsiTheme="minorHAnsi"/>
                <w:sz w:val="22"/>
                <w:szCs w:val="22"/>
              </w:rPr>
              <w:t xml:space="preserve"> related activities</w:t>
            </w:r>
            <w:r w:rsidRPr="005550D1">
              <w:rPr>
                <w:rFonts w:asciiTheme="minorHAnsi" w:hAnsiTheme="minorHAnsi"/>
                <w:sz w:val="22"/>
                <w:szCs w:val="22"/>
              </w:rPr>
              <w:t>.</w:t>
            </w:r>
          </w:p>
          <w:p w:rsidR="00E3748F" w:rsidRDefault="00E3748F" w:rsidP="00D11910">
            <w:pPr>
              <w:rPr>
                <w:rFonts w:asciiTheme="minorHAnsi" w:hAnsiTheme="minorHAnsi"/>
                <w:sz w:val="22"/>
                <w:szCs w:val="22"/>
              </w:rPr>
            </w:pPr>
          </w:p>
          <w:p w:rsidR="001E10B5" w:rsidRDefault="001E10B5" w:rsidP="001E10B5">
            <w:pPr>
              <w:pStyle w:val="BodyText"/>
              <w:rPr>
                <w:u w:val="single"/>
              </w:rPr>
            </w:pPr>
            <w:r>
              <w:rPr>
                <w:u w:val="single"/>
              </w:rPr>
              <w:t>Meeting Frequency</w:t>
            </w:r>
          </w:p>
          <w:p w:rsidR="00E3748F" w:rsidRDefault="00E3748F" w:rsidP="00D11910">
            <w:pPr>
              <w:rPr>
                <w:rFonts w:asciiTheme="minorHAnsi" w:hAnsiTheme="minorHAnsi"/>
                <w:sz w:val="22"/>
                <w:szCs w:val="22"/>
              </w:rPr>
            </w:pPr>
            <w:r>
              <w:rPr>
                <w:rFonts w:asciiTheme="minorHAnsi" w:hAnsiTheme="minorHAnsi"/>
                <w:sz w:val="22"/>
                <w:szCs w:val="22"/>
              </w:rPr>
              <w:t xml:space="preserve">Anthony emphasised the need for the </w:t>
            </w:r>
            <w:r w:rsidR="00A76C6F">
              <w:rPr>
                <w:rFonts w:asciiTheme="minorHAnsi" w:hAnsiTheme="minorHAnsi"/>
                <w:sz w:val="22"/>
                <w:szCs w:val="22"/>
              </w:rPr>
              <w:t>G</w:t>
            </w:r>
            <w:r>
              <w:rPr>
                <w:rFonts w:asciiTheme="minorHAnsi" w:hAnsiTheme="minorHAnsi"/>
                <w:sz w:val="22"/>
                <w:szCs w:val="22"/>
              </w:rPr>
              <w:t xml:space="preserve">roup to meet up on a more regular basis to facilitate interaction. </w:t>
            </w:r>
            <w:r w:rsidR="00722E01">
              <w:rPr>
                <w:rFonts w:asciiTheme="minorHAnsi" w:hAnsiTheme="minorHAnsi"/>
                <w:sz w:val="22"/>
                <w:szCs w:val="22"/>
              </w:rPr>
              <w:t>Suggestion was shared where d</w:t>
            </w:r>
            <w:r>
              <w:rPr>
                <w:rFonts w:asciiTheme="minorHAnsi" w:hAnsiTheme="minorHAnsi"/>
                <w:sz w:val="22"/>
                <w:szCs w:val="22"/>
              </w:rPr>
              <w:t xml:space="preserve">ifferent roles </w:t>
            </w:r>
            <w:r w:rsidR="00D4073B">
              <w:rPr>
                <w:rFonts w:asciiTheme="minorHAnsi" w:hAnsiTheme="minorHAnsi"/>
                <w:sz w:val="22"/>
                <w:szCs w:val="22"/>
              </w:rPr>
              <w:t xml:space="preserve">may </w:t>
            </w:r>
            <w:r>
              <w:rPr>
                <w:rFonts w:asciiTheme="minorHAnsi" w:hAnsiTheme="minorHAnsi"/>
                <w:sz w:val="22"/>
                <w:szCs w:val="22"/>
              </w:rPr>
              <w:t xml:space="preserve">be assigned </w:t>
            </w:r>
            <w:r w:rsidR="00A76C6F">
              <w:rPr>
                <w:rFonts w:asciiTheme="minorHAnsi" w:hAnsiTheme="minorHAnsi"/>
                <w:sz w:val="22"/>
                <w:szCs w:val="22"/>
              </w:rPr>
              <w:t xml:space="preserve">to the </w:t>
            </w:r>
            <w:r w:rsidR="00722E01">
              <w:rPr>
                <w:rFonts w:asciiTheme="minorHAnsi" w:hAnsiTheme="minorHAnsi"/>
                <w:sz w:val="22"/>
                <w:szCs w:val="22"/>
              </w:rPr>
              <w:t>different members or specific focus with c</w:t>
            </w:r>
            <w:r>
              <w:rPr>
                <w:rFonts w:asciiTheme="minorHAnsi" w:hAnsiTheme="minorHAnsi"/>
                <w:sz w:val="22"/>
                <w:szCs w:val="22"/>
              </w:rPr>
              <w:t xml:space="preserve">ertain stakeholders. From there, representation </w:t>
            </w:r>
            <w:r w:rsidR="00A76C6F">
              <w:rPr>
                <w:rFonts w:asciiTheme="minorHAnsi" w:hAnsiTheme="minorHAnsi"/>
                <w:sz w:val="22"/>
                <w:szCs w:val="22"/>
              </w:rPr>
              <w:t xml:space="preserve">can be increased </w:t>
            </w:r>
            <w:r>
              <w:rPr>
                <w:rFonts w:asciiTheme="minorHAnsi" w:hAnsiTheme="minorHAnsi"/>
                <w:sz w:val="22"/>
                <w:szCs w:val="22"/>
              </w:rPr>
              <w:t xml:space="preserve">across the brokers and custodians to </w:t>
            </w:r>
            <w:r w:rsidR="00A76C6F">
              <w:rPr>
                <w:rFonts w:asciiTheme="minorHAnsi" w:hAnsiTheme="minorHAnsi"/>
                <w:sz w:val="22"/>
                <w:szCs w:val="22"/>
              </w:rPr>
              <w:t xml:space="preserve">provide </w:t>
            </w:r>
            <w:r>
              <w:rPr>
                <w:rFonts w:asciiTheme="minorHAnsi" w:hAnsiTheme="minorHAnsi"/>
                <w:sz w:val="22"/>
                <w:szCs w:val="22"/>
              </w:rPr>
              <w:t xml:space="preserve">feedback on developments and propose changes. </w:t>
            </w:r>
          </w:p>
          <w:p w:rsidR="00E3748F" w:rsidRDefault="00E3748F" w:rsidP="00D11910">
            <w:pPr>
              <w:rPr>
                <w:rFonts w:asciiTheme="minorHAnsi" w:hAnsiTheme="minorHAnsi"/>
                <w:sz w:val="22"/>
                <w:szCs w:val="22"/>
              </w:rPr>
            </w:pPr>
          </w:p>
          <w:p w:rsidR="00E3748F" w:rsidRDefault="00E3748F" w:rsidP="00D11910">
            <w:pPr>
              <w:rPr>
                <w:rFonts w:asciiTheme="minorHAnsi" w:hAnsiTheme="minorHAnsi"/>
                <w:sz w:val="22"/>
                <w:szCs w:val="22"/>
              </w:rPr>
            </w:pPr>
            <w:r>
              <w:rPr>
                <w:rFonts w:asciiTheme="minorHAnsi" w:hAnsiTheme="minorHAnsi"/>
                <w:sz w:val="22"/>
                <w:szCs w:val="22"/>
              </w:rPr>
              <w:t xml:space="preserve">Gopu supported the collective effort to push for more changes as we are not getting the right support from the market. </w:t>
            </w:r>
            <w:r w:rsidR="00722E01">
              <w:rPr>
                <w:rFonts w:asciiTheme="minorHAnsi" w:hAnsiTheme="minorHAnsi"/>
                <w:sz w:val="22"/>
                <w:szCs w:val="22"/>
              </w:rPr>
              <w:t>In addition,</w:t>
            </w:r>
            <w:r>
              <w:rPr>
                <w:rFonts w:asciiTheme="minorHAnsi" w:hAnsiTheme="minorHAnsi"/>
                <w:sz w:val="22"/>
                <w:szCs w:val="22"/>
              </w:rPr>
              <w:t xml:space="preserve"> leverage on our regional contacts and what they are doing and how we can push forward with the regulators and depository here.</w:t>
            </w:r>
          </w:p>
          <w:p w:rsidR="00E3748F" w:rsidRDefault="00E3748F" w:rsidP="00D11910">
            <w:pPr>
              <w:rPr>
                <w:rFonts w:asciiTheme="minorHAnsi" w:hAnsiTheme="minorHAnsi"/>
                <w:sz w:val="22"/>
                <w:szCs w:val="22"/>
              </w:rPr>
            </w:pPr>
          </w:p>
          <w:p w:rsidR="00E3748F" w:rsidRDefault="00E3748F" w:rsidP="00D55915">
            <w:pPr>
              <w:pStyle w:val="BodyText"/>
              <w:rPr>
                <w:u w:val="single"/>
              </w:rPr>
            </w:pPr>
            <w:r>
              <w:rPr>
                <w:u w:val="single"/>
              </w:rPr>
              <w:t>Group Membership</w:t>
            </w:r>
          </w:p>
          <w:p w:rsidR="00E3748F" w:rsidRDefault="00E3748F" w:rsidP="00D11910">
            <w:pPr>
              <w:rPr>
                <w:rFonts w:asciiTheme="minorHAnsi" w:hAnsiTheme="minorHAnsi"/>
                <w:sz w:val="22"/>
                <w:szCs w:val="22"/>
              </w:rPr>
            </w:pPr>
            <w:r>
              <w:rPr>
                <w:rFonts w:asciiTheme="minorHAnsi" w:hAnsiTheme="minorHAnsi"/>
                <w:sz w:val="22"/>
                <w:szCs w:val="22"/>
              </w:rPr>
              <w:t xml:space="preserve">The current composition of SMPG </w:t>
            </w:r>
            <w:r w:rsidR="00B346A6">
              <w:rPr>
                <w:rFonts w:asciiTheme="minorHAnsi" w:hAnsiTheme="minorHAnsi"/>
                <w:sz w:val="22"/>
                <w:szCs w:val="22"/>
              </w:rPr>
              <w:t>is geared</w:t>
            </w:r>
            <w:r>
              <w:rPr>
                <w:rFonts w:asciiTheme="minorHAnsi" w:hAnsiTheme="minorHAnsi"/>
                <w:sz w:val="22"/>
                <w:szCs w:val="22"/>
              </w:rPr>
              <w:t xml:space="preserve"> more towards the custodian</w:t>
            </w:r>
            <w:r w:rsidR="00A17560">
              <w:rPr>
                <w:rFonts w:asciiTheme="minorHAnsi" w:hAnsiTheme="minorHAnsi"/>
                <w:sz w:val="22"/>
                <w:szCs w:val="22"/>
              </w:rPr>
              <w:t xml:space="preserve"> </w:t>
            </w:r>
            <w:r>
              <w:rPr>
                <w:rFonts w:asciiTheme="minorHAnsi" w:hAnsiTheme="minorHAnsi"/>
                <w:sz w:val="22"/>
                <w:szCs w:val="22"/>
              </w:rPr>
              <w:t>banks. While there is a broker association, it consists of more local brokers than international ones. The group agreed that the group should be expanded to include local and international brokers for better representation and will invite brokers like UBS, Credit Suisse</w:t>
            </w:r>
            <w:r w:rsidRPr="00516A01">
              <w:rPr>
                <w:rFonts w:asciiTheme="minorHAnsi" w:hAnsiTheme="minorHAnsi"/>
                <w:sz w:val="22"/>
                <w:szCs w:val="22"/>
              </w:rPr>
              <w:t xml:space="preserve"> and Kim Eng to join the group. </w:t>
            </w:r>
            <w:r>
              <w:rPr>
                <w:rFonts w:asciiTheme="minorHAnsi" w:hAnsiTheme="minorHAnsi"/>
                <w:sz w:val="22"/>
                <w:szCs w:val="22"/>
              </w:rPr>
              <w:t xml:space="preserve">They </w:t>
            </w:r>
            <w:r w:rsidRPr="00516A01">
              <w:rPr>
                <w:rFonts w:asciiTheme="minorHAnsi" w:hAnsiTheme="minorHAnsi"/>
                <w:sz w:val="22"/>
                <w:szCs w:val="22"/>
              </w:rPr>
              <w:t>can be included in the communications as members of the group.</w:t>
            </w:r>
          </w:p>
          <w:p w:rsidR="00E3748F" w:rsidRDefault="00E3748F" w:rsidP="00D11910">
            <w:pPr>
              <w:rPr>
                <w:rFonts w:asciiTheme="minorHAnsi" w:hAnsiTheme="minorHAnsi"/>
                <w:sz w:val="22"/>
                <w:szCs w:val="22"/>
              </w:rPr>
            </w:pPr>
          </w:p>
          <w:p w:rsidR="00DB6AAD" w:rsidRDefault="00DB6AAD" w:rsidP="00DB6AAD">
            <w:pPr>
              <w:pStyle w:val="BodyText"/>
              <w:rPr>
                <w:u w:val="single"/>
              </w:rPr>
            </w:pPr>
            <w:r>
              <w:rPr>
                <w:u w:val="single"/>
              </w:rPr>
              <w:t>Group Focus</w:t>
            </w:r>
          </w:p>
          <w:p w:rsidR="00364972" w:rsidRDefault="00E3748F" w:rsidP="00BB2D61">
            <w:pPr>
              <w:pStyle w:val="List"/>
              <w:ind w:left="-18" w:firstLine="0"/>
            </w:pPr>
            <w:r>
              <w:t xml:space="preserve">Ideas were tossed around on what the group should </w:t>
            </w:r>
            <w:r w:rsidR="00364972">
              <w:t>direct its energy and focus on:</w:t>
            </w:r>
          </w:p>
          <w:p w:rsidR="00E3748F" w:rsidRDefault="00E3748F" w:rsidP="00364972">
            <w:pPr>
              <w:pStyle w:val="List"/>
              <w:numPr>
                <w:ilvl w:val="0"/>
                <w:numId w:val="5"/>
              </w:numPr>
            </w:pPr>
            <w:r>
              <w:t xml:space="preserve">Gan suggested SWIFT messaging starting with proxy messaging which is not available to date and changes in other message types related to Settlement and Corporate Actions </w:t>
            </w:r>
            <w:r w:rsidR="00364972">
              <w:t>adding Singapore perspective. We used to have CA standards.</w:t>
            </w:r>
          </w:p>
          <w:p w:rsidR="00C25D7B" w:rsidRDefault="000A08E2" w:rsidP="00364972">
            <w:pPr>
              <w:pStyle w:val="List"/>
              <w:numPr>
                <w:ilvl w:val="0"/>
                <w:numId w:val="5"/>
              </w:numPr>
            </w:pPr>
            <w:r>
              <w:t>Elizab</w:t>
            </w:r>
            <w:r w:rsidR="00FB1771">
              <w:t>e</w:t>
            </w:r>
            <w:r>
              <w:t>th suggested regulatory issues like Basel 3 and FATCA. The Group can work with regulators in the securities market to champion issues where</w:t>
            </w:r>
            <w:r w:rsidR="00FB1771">
              <w:t xml:space="preserve"> a regulator like</w:t>
            </w:r>
            <w:r>
              <w:t xml:space="preserve"> MAS looks to the Group </w:t>
            </w:r>
            <w:r w:rsidR="00FB1771">
              <w:t>to add value with their</w:t>
            </w:r>
            <w:r>
              <w:t xml:space="preserve"> expert</w:t>
            </w:r>
            <w:r w:rsidR="00FB1771">
              <w:t>ise and experience from different organisations e.g. rules which may not applicable to the entire industry or help lay certain ground rules</w:t>
            </w:r>
            <w:r>
              <w:t>.</w:t>
            </w:r>
          </w:p>
          <w:p w:rsidR="00940DC8" w:rsidRDefault="006D0F75" w:rsidP="00940DC8">
            <w:pPr>
              <w:pStyle w:val="List"/>
              <w:numPr>
                <w:ilvl w:val="0"/>
                <w:numId w:val="5"/>
              </w:numPr>
            </w:pPr>
            <w:r>
              <w:t>With p</w:t>
            </w:r>
            <w:r w:rsidR="00940DC8">
              <w:t>roxy voting</w:t>
            </w:r>
            <w:r w:rsidR="00E3748F">
              <w:t xml:space="preserve"> </w:t>
            </w:r>
            <w:r>
              <w:t>already being lobbied and the committee issuing its recommendations, the next step is to a</w:t>
            </w:r>
            <w:r w:rsidR="00E3748F">
              <w:t xml:space="preserve">sk ACCRA or MAS </w:t>
            </w:r>
            <w:r>
              <w:t xml:space="preserve">the status and </w:t>
            </w:r>
            <w:r w:rsidR="0003252A">
              <w:t xml:space="preserve">what </w:t>
            </w:r>
            <w:r w:rsidR="00E3748F">
              <w:t>else is needed</w:t>
            </w:r>
            <w:r w:rsidR="0003252A">
              <w:t xml:space="preserve"> to see it through implementation</w:t>
            </w:r>
            <w:r w:rsidR="00E3748F">
              <w:t xml:space="preserve">. </w:t>
            </w:r>
          </w:p>
          <w:p w:rsidR="001637CE" w:rsidRDefault="00206DFA" w:rsidP="001637CE">
            <w:pPr>
              <w:pStyle w:val="List"/>
              <w:numPr>
                <w:ilvl w:val="0"/>
                <w:numId w:val="5"/>
              </w:numPr>
              <w:ind w:hanging="342"/>
            </w:pPr>
            <w:r>
              <w:t>Identify common concerns amongst broker-dealers and custodians to share and i</w:t>
            </w:r>
            <w:r w:rsidR="00E3748F">
              <w:t xml:space="preserve">mprove the infrastructure. </w:t>
            </w:r>
          </w:p>
          <w:p w:rsidR="00E3748F" w:rsidRDefault="007B35A6" w:rsidP="001637CE">
            <w:pPr>
              <w:pStyle w:val="List"/>
              <w:numPr>
                <w:ilvl w:val="0"/>
                <w:numId w:val="5"/>
              </w:numPr>
              <w:ind w:hanging="342"/>
            </w:pPr>
            <w:r>
              <w:t>Identi</w:t>
            </w:r>
            <w:r w:rsidR="001A4163">
              <w:t>f</w:t>
            </w:r>
            <w:r>
              <w:t xml:space="preserve">y </w:t>
            </w:r>
            <w:r w:rsidR="001A4163">
              <w:t xml:space="preserve">issues </w:t>
            </w:r>
            <w:r>
              <w:t xml:space="preserve">which can be </w:t>
            </w:r>
            <w:r w:rsidR="001A4163">
              <w:t>tackled</w:t>
            </w:r>
            <w:r>
              <w:t xml:space="preserve"> as an</w:t>
            </w:r>
            <w:r w:rsidR="00E3748F">
              <w:t xml:space="preserve"> organisation </w:t>
            </w:r>
            <w:r w:rsidR="004718D9">
              <w:t xml:space="preserve">internally </w:t>
            </w:r>
            <w:r>
              <w:t xml:space="preserve">within the </w:t>
            </w:r>
            <w:r w:rsidR="004718D9">
              <w:t>G</w:t>
            </w:r>
            <w:r>
              <w:t xml:space="preserve">roup itself but </w:t>
            </w:r>
            <w:r w:rsidR="004718D9">
              <w:t xml:space="preserve">externally </w:t>
            </w:r>
            <w:r>
              <w:t xml:space="preserve">to face the </w:t>
            </w:r>
            <w:r w:rsidR="00E3748F">
              <w:t xml:space="preserve">regulators and bodies. </w:t>
            </w:r>
            <w:r w:rsidR="008733F6">
              <w:t xml:space="preserve">Promote </w:t>
            </w:r>
            <w:r w:rsidR="00E3748F">
              <w:t xml:space="preserve">market advocacy </w:t>
            </w:r>
            <w:r w:rsidR="008733F6">
              <w:t>and push on difficult regulations or issues like proxy voting to gain recognition as a respectable body and national agenda</w:t>
            </w:r>
            <w:r w:rsidR="00E3748F">
              <w:t xml:space="preserve">. </w:t>
            </w:r>
          </w:p>
          <w:p w:rsidR="00E3748F" w:rsidRDefault="00E3748F" w:rsidP="000100B0">
            <w:pPr>
              <w:pStyle w:val="List"/>
            </w:pPr>
          </w:p>
          <w:p w:rsidR="00907C02" w:rsidRDefault="00363067" w:rsidP="00E16DF4">
            <w:pPr>
              <w:pStyle w:val="List"/>
              <w:ind w:left="-18" w:firstLine="0"/>
            </w:pPr>
            <w:r>
              <w:t>It boiled down to 3</w:t>
            </w:r>
            <w:r w:rsidR="00E3748F">
              <w:t xml:space="preserve"> key </w:t>
            </w:r>
            <w:r>
              <w:t>areas of focus:</w:t>
            </w:r>
          </w:p>
          <w:p w:rsidR="00907C02" w:rsidRDefault="00E3748F" w:rsidP="00907C02">
            <w:pPr>
              <w:pStyle w:val="List"/>
              <w:numPr>
                <w:ilvl w:val="0"/>
                <w:numId w:val="6"/>
              </w:numPr>
            </w:pPr>
            <w:r>
              <w:t>advocacy engagement</w:t>
            </w:r>
            <w:r w:rsidR="008558A5">
              <w:t xml:space="preserve"> with the regulatory bodies</w:t>
            </w:r>
            <w:r w:rsidR="00A13F83">
              <w:t xml:space="preserve"> or associations</w:t>
            </w:r>
            <w:r>
              <w:t xml:space="preserve"> </w:t>
            </w:r>
          </w:p>
          <w:p w:rsidR="00907C02" w:rsidRDefault="00E3748F" w:rsidP="00907C02">
            <w:pPr>
              <w:pStyle w:val="List"/>
              <w:numPr>
                <w:ilvl w:val="0"/>
                <w:numId w:val="6"/>
              </w:numPr>
            </w:pPr>
            <w:r>
              <w:t xml:space="preserve">market practices related to system </w:t>
            </w:r>
            <w:r w:rsidR="00F011A5">
              <w:t xml:space="preserve">and regulatory </w:t>
            </w:r>
            <w:r>
              <w:t>change</w:t>
            </w:r>
            <w:r w:rsidR="00F011A5">
              <w:t>s and SWIFT</w:t>
            </w:r>
            <w:r>
              <w:t xml:space="preserve"> standards within </w:t>
            </w:r>
            <w:r w:rsidR="00F011A5">
              <w:t xml:space="preserve">the realm of </w:t>
            </w:r>
            <w:r>
              <w:t>Settlement</w:t>
            </w:r>
            <w:r w:rsidR="00745E39">
              <w:t xml:space="preserve"> and Corporate Actions</w:t>
            </w:r>
          </w:p>
          <w:p w:rsidR="00E3748F" w:rsidRDefault="00E3748F" w:rsidP="00907C02">
            <w:pPr>
              <w:pStyle w:val="List"/>
              <w:numPr>
                <w:ilvl w:val="0"/>
                <w:numId w:val="6"/>
              </w:numPr>
            </w:pPr>
            <w:r>
              <w:t>communication capability of th</w:t>
            </w:r>
            <w:r w:rsidR="009B515B">
              <w:t>e G</w:t>
            </w:r>
            <w:r>
              <w:t xml:space="preserve">roup as </w:t>
            </w:r>
            <w:r w:rsidR="001F286F">
              <w:t>one voice</w:t>
            </w:r>
            <w:r>
              <w:t xml:space="preserve"> to the industry </w:t>
            </w:r>
            <w:r w:rsidR="001F286F">
              <w:t xml:space="preserve">and </w:t>
            </w:r>
            <w:r>
              <w:t>s</w:t>
            </w:r>
            <w:r w:rsidR="005A32A5">
              <w:t>pecific</w:t>
            </w:r>
            <w:r>
              <w:t xml:space="preserve"> stakeholders </w:t>
            </w:r>
            <w:r w:rsidR="005A32A5">
              <w:t>like</w:t>
            </w:r>
            <w:r>
              <w:t xml:space="preserve"> MAS, SGX or </w:t>
            </w:r>
            <w:r w:rsidR="001F286F">
              <w:t xml:space="preserve">other </w:t>
            </w:r>
            <w:r>
              <w:t>regulatory bod</w:t>
            </w:r>
            <w:r w:rsidR="001F286F">
              <w:t>ies</w:t>
            </w:r>
            <w:r w:rsidR="00745E39">
              <w:t xml:space="preserve"> as opposed to the combined efforts of a few representing the industry and lacking the authority and bite to push on issues at hand like CDP fees</w:t>
            </w:r>
          </w:p>
          <w:p w:rsidR="00E3748F" w:rsidRDefault="00E3748F" w:rsidP="000100B0">
            <w:pPr>
              <w:pStyle w:val="List"/>
            </w:pPr>
          </w:p>
          <w:p w:rsidR="00E3748F" w:rsidRDefault="00E3748F" w:rsidP="00780C47">
            <w:pPr>
              <w:pStyle w:val="List"/>
              <w:ind w:left="0" w:firstLine="0"/>
            </w:pPr>
            <w:r w:rsidRPr="00FC2900">
              <w:rPr>
                <w:rFonts w:ascii="Calibri" w:eastAsia="Times New Roman" w:hAnsi="Calibri" w:cs="Times New Roman"/>
                <w:color w:val="000000"/>
                <w:lang w:eastAsia="en-GB"/>
              </w:rPr>
              <w:t>Chai Sio</w:t>
            </w:r>
            <w:r>
              <w:rPr>
                <w:rFonts w:ascii="Calibri" w:eastAsia="Times New Roman" w:hAnsi="Calibri" w:cs="Times New Roman"/>
                <w:color w:val="000000"/>
                <w:lang w:eastAsia="en-GB"/>
              </w:rPr>
              <w:t xml:space="preserve"> </w:t>
            </w:r>
            <w:r w:rsidR="005922A8">
              <w:rPr>
                <w:rFonts w:ascii="Calibri" w:eastAsia="Times New Roman" w:hAnsi="Calibri" w:cs="Times New Roman"/>
                <w:color w:val="000000"/>
                <w:lang w:eastAsia="en-GB"/>
              </w:rPr>
              <w:t xml:space="preserve">gave </w:t>
            </w:r>
            <w:r w:rsidR="00780C47">
              <w:rPr>
                <w:rFonts w:ascii="Calibri" w:eastAsia="Times New Roman" w:hAnsi="Calibri" w:cs="Times New Roman"/>
                <w:color w:val="000000"/>
                <w:lang w:eastAsia="en-GB"/>
              </w:rPr>
              <w:t xml:space="preserve">insight </w:t>
            </w:r>
            <w:r w:rsidR="005922A8">
              <w:rPr>
                <w:rFonts w:ascii="Calibri" w:eastAsia="Times New Roman" w:hAnsi="Calibri" w:cs="Times New Roman"/>
                <w:color w:val="000000"/>
                <w:lang w:eastAsia="en-GB"/>
              </w:rPr>
              <w:t xml:space="preserve">from his perspective as broker </w:t>
            </w:r>
            <w:r w:rsidR="00780C47">
              <w:rPr>
                <w:rFonts w:ascii="Calibri" w:eastAsia="Times New Roman" w:hAnsi="Calibri" w:cs="Times New Roman"/>
                <w:color w:val="000000"/>
                <w:lang w:eastAsia="en-GB"/>
              </w:rPr>
              <w:t xml:space="preserve">that </w:t>
            </w:r>
            <w:r>
              <w:t>not all brokers join the broker association</w:t>
            </w:r>
            <w:r w:rsidR="005922A8">
              <w:t xml:space="preserve"> and, as such, </w:t>
            </w:r>
            <w:r>
              <w:t xml:space="preserve">it is </w:t>
            </w:r>
            <w:r w:rsidR="00780C47">
              <w:t>n</w:t>
            </w:r>
            <w:r>
              <w:t>ot represent</w:t>
            </w:r>
            <w:r w:rsidR="00780C47">
              <w:t xml:space="preserve">ative of </w:t>
            </w:r>
            <w:r>
              <w:t xml:space="preserve">the </w:t>
            </w:r>
            <w:r w:rsidR="005922A8">
              <w:t>brokers</w:t>
            </w:r>
            <w:r w:rsidR="00722E01">
              <w:t>’ community</w:t>
            </w:r>
            <w:r w:rsidR="005922A8">
              <w:t xml:space="preserve">. </w:t>
            </w:r>
            <w:r>
              <w:t>MAS do</w:t>
            </w:r>
            <w:r w:rsidR="00780C47">
              <w:t>es</w:t>
            </w:r>
            <w:r>
              <w:t xml:space="preserve"> </w:t>
            </w:r>
            <w:r w:rsidR="00722E01">
              <w:t xml:space="preserve">not actively seek feedback from this </w:t>
            </w:r>
            <w:r>
              <w:t>association</w:t>
            </w:r>
            <w:r w:rsidR="00722E01">
              <w:t xml:space="preserve"> as yet.</w:t>
            </w:r>
            <w:r>
              <w:t xml:space="preserve"> </w:t>
            </w:r>
          </w:p>
          <w:p w:rsidR="00E3748F" w:rsidRDefault="00E3748F" w:rsidP="000100B0">
            <w:pPr>
              <w:pStyle w:val="List"/>
            </w:pPr>
          </w:p>
          <w:p w:rsidR="00E3748F" w:rsidRDefault="00722E01" w:rsidP="00E079A2">
            <w:pPr>
              <w:pStyle w:val="List"/>
              <w:ind w:left="0" w:firstLine="0"/>
            </w:pPr>
            <w:r>
              <w:t>Members</w:t>
            </w:r>
            <w:r w:rsidR="0058158C">
              <w:t xml:space="preserve"> </w:t>
            </w:r>
            <w:r w:rsidR="00E3748F">
              <w:t xml:space="preserve">have a </w:t>
            </w:r>
            <w:r w:rsidR="0058158C">
              <w:t xml:space="preserve">diverse </w:t>
            </w:r>
            <w:r w:rsidR="00154940">
              <w:t xml:space="preserve">and international </w:t>
            </w:r>
            <w:r w:rsidR="00E3748F">
              <w:t xml:space="preserve">mix of expertise </w:t>
            </w:r>
            <w:r w:rsidR="00154940">
              <w:t xml:space="preserve">to </w:t>
            </w:r>
            <w:r w:rsidR="00E3748F">
              <w:t>tap on</w:t>
            </w:r>
            <w:r w:rsidR="00154940">
              <w:t xml:space="preserve"> to </w:t>
            </w:r>
            <w:r w:rsidR="00E3748F">
              <w:t xml:space="preserve">engage with the regulators </w:t>
            </w:r>
            <w:r w:rsidR="00154940">
              <w:t xml:space="preserve">for sharing </w:t>
            </w:r>
            <w:r w:rsidR="00154940">
              <w:lastRenderedPageBreak/>
              <w:t xml:space="preserve">of knowledge or market practices i.e. </w:t>
            </w:r>
            <w:r w:rsidR="00E3748F">
              <w:t xml:space="preserve">powers of the organisation on a global basis to share knowledge and practices. </w:t>
            </w:r>
            <w:r w:rsidR="007D0E17">
              <w:t xml:space="preserve">Collectively, we can add </w:t>
            </w:r>
            <w:r w:rsidR="00E3748F">
              <w:t xml:space="preserve">value </w:t>
            </w:r>
            <w:r w:rsidR="007D0E17">
              <w:t>to regulators and other stakeholders in the industry</w:t>
            </w:r>
            <w:r w:rsidR="00E3748F">
              <w:t xml:space="preserve">. </w:t>
            </w:r>
            <w:r w:rsidR="003D5A08">
              <w:t>G</w:t>
            </w:r>
            <w:r w:rsidR="00E3748F">
              <w:t xml:space="preserve">an </w:t>
            </w:r>
            <w:r w:rsidR="003D5A08">
              <w:t xml:space="preserve">recommended that, opposed to individual engagement today, we </w:t>
            </w:r>
            <w:r w:rsidR="00E3748F">
              <w:t xml:space="preserve">can </w:t>
            </w:r>
            <w:r w:rsidR="003D5A08">
              <w:t xml:space="preserve">engage </w:t>
            </w:r>
            <w:r w:rsidR="00E3748F">
              <w:t xml:space="preserve">as a group </w:t>
            </w:r>
            <w:r w:rsidR="003D5A08">
              <w:t xml:space="preserve">now. He also recommended that </w:t>
            </w:r>
            <w:r w:rsidR="00E3748F">
              <w:t xml:space="preserve">we list </w:t>
            </w:r>
            <w:r w:rsidR="003D5A08">
              <w:t xml:space="preserve">the </w:t>
            </w:r>
            <w:r w:rsidR="00E3748F">
              <w:t xml:space="preserve">common </w:t>
            </w:r>
            <w:r w:rsidR="003D5A08">
              <w:t xml:space="preserve">issues we face and select </w:t>
            </w:r>
            <w:r w:rsidR="00E3748F">
              <w:t xml:space="preserve">2 or 3 topics rather than the full list </w:t>
            </w:r>
            <w:r w:rsidR="003D5A08">
              <w:t xml:space="preserve">to </w:t>
            </w:r>
            <w:r w:rsidR="00E3748F">
              <w:t xml:space="preserve">have the momentum to push through. </w:t>
            </w:r>
            <w:r w:rsidR="00DF0FBE">
              <w:t>Elizabeth</w:t>
            </w:r>
            <w:r w:rsidR="00E079A2">
              <w:t xml:space="preserve"> reiterated that this is for the long run when the bodies turn to the Group as the first option</w:t>
            </w:r>
            <w:r w:rsidR="00E3748F">
              <w:t xml:space="preserve">. </w:t>
            </w:r>
            <w:r w:rsidR="00E079A2">
              <w:t>Anthony emphasised the importance is the sharing session aside from communication, advocacy, infrastructure and market practices.</w:t>
            </w:r>
          </w:p>
          <w:p w:rsidR="00E3748F" w:rsidRDefault="00E3748F" w:rsidP="00BC61E8">
            <w:pPr>
              <w:pStyle w:val="List"/>
            </w:pPr>
          </w:p>
          <w:p w:rsidR="001854B0" w:rsidRDefault="001854B0" w:rsidP="001854B0">
            <w:pPr>
              <w:pStyle w:val="BodyText"/>
              <w:rPr>
                <w:u w:val="single"/>
              </w:rPr>
            </w:pPr>
            <w:r>
              <w:rPr>
                <w:u w:val="single"/>
              </w:rPr>
              <w:t xml:space="preserve">Key </w:t>
            </w:r>
            <w:r w:rsidR="00B756C4">
              <w:rPr>
                <w:u w:val="single"/>
              </w:rPr>
              <w:t>Focus Areas</w:t>
            </w:r>
          </w:p>
          <w:p w:rsidR="00E3748F" w:rsidRDefault="00DA112E" w:rsidP="00BC61E8">
            <w:pPr>
              <w:pStyle w:val="List"/>
            </w:pPr>
            <w:r>
              <w:rPr>
                <w:noProof/>
                <w:lang w:eastAsia="en-GB"/>
              </w:rPr>
              <w:pict>
                <v:shapetype id="_x0000_t202" coordsize="21600,21600" o:spt="202" path="m,l,21600r21600,l21600,xe">
                  <v:stroke joinstyle="miter"/>
                  <v:path gradientshapeok="t" o:connecttype="rect"/>
                </v:shapetype>
                <v:shape id="_x0000_s1032" type="#_x0000_t202" style="position:absolute;left:0;text-align:left;margin-left:330.85pt;margin-top:5.7pt;width:124.5pt;height:92.1pt;z-index:251664384">
                  <v:textbox style="mso-next-textbox:#_x0000_s1032">
                    <w:txbxContent>
                      <w:p w:rsidR="00E3748F" w:rsidRPr="00684DE2" w:rsidRDefault="00E3748F" w:rsidP="00334BC6">
                        <w:pPr>
                          <w:pStyle w:val="List"/>
                          <w:rPr>
                            <w:b/>
                            <w:sz w:val="20"/>
                            <w:szCs w:val="20"/>
                          </w:rPr>
                        </w:pPr>
                        <w:r w:rsidRPr="00684DE2">
                          <w:rPr>
                            <w:b/>
                            <w:sz w:val="20"/>
                            <w:szCs w:val="20"/>
                          </w:rPr>
                          <w:t>Communication</w:t>
                        </w:r>
                      </w:p>
                      <w:p w:rsidR="00E3748F" w:rsidRPr="00334BC6" w:rsidRDefault="00E3748F" w:rsidP="00334BC6">
                        <w:pPr>
                          <w:pStyle w:val="List"/>
                          <w:rPr>
                            <w:sz w:val="20"/>
                            <w:szCs w:val="20"/>
                          </w:rPr>
                        </w:pPr>
                        <w:r w:rsidRPr="00334BC6">
                          <w:rPr>
                            <w:sz w:val="20"/>
                            <w:szCs w:val="20"/>
                          </w:rPr>
                          <w:t xml:space="preserve">-  </w:t>
                        </w:r>
                        <w:r>
                          <w:rPr>
                            <w:sz w:val="20"/>
                            <w:szCs w:val="20"/>
                          </w:rPr>
                          <w:t>Best Practice</w:t>
                        </w:r>
                        <w:r w:rsidR="00EC2DBE">
                          <w:rPr>
                            <w:sz w:val="20"/>
                            <w:szCs w:val="20"/>
                          </w:rPr>
                          <w:t>s</w:t>
                        </w:r>
                      </w:p>
                      <w:p w:rsidR="00E3748F" w:rsidRPr="00334BC6" w:rsidRDefault="00E3748F" w:rsidP="00334BC6">
                        <w:pPr>
                          <w:pStyle w:val="List"/>
                          <w:rPr>
                            <w:sz w:val="20"/>
                            <w:szCs w:val="20"/>
                          </w:rPr>
                        </w:pPr>
                        <w:r>
                          <w:rPr>
                            <w:sz w:val="20"/>
                            <w:szCs w:val="20"/>
                          </w:rPr>
                          <w:t>-  Forum</w:t>
                        </w:r>
                      </w:p>
                      <w:p w:rsidR="00E3748F" w:rsidRPr="00334BC6" w:rsidRDefault="00E3748F" w:rsidP="00684DE2">
                        <w:pPr>
                          <w:pStyle w:val="List"/>
                          <w:ind w:left="180" w:hanging="180"/>
                          <w:rPr>
                            <w:sz w:val="20"/>
                            <w:szCs w:val="20"/>
                          </w:rPr>
                        </w:pPr>
                        <w:r>
                          <w:rPr>
                            <w:sz w:val="20"/>
                            <w:szCs w:val="20"/>
                          </w:rPr>
                          <w:t xml:space="preserve">-  </w:t>
                        </w:r>
                        <w:r w:rsidR="007D0E17">
                          <w:rPr>
                            <w:sz w:val="20"/>
                            <w:szCs w:val="20"/>
                          </w:rPr>
                          <w:t xml:space="preserve">Linkage with </w:t>
                        </w:r>
                        <w:r>
                          <w:rPr>
                            <w:sz w:val="20"/>
                            <w:szCs w:val="20"/>
                          </w:rPr>
                          <w:t>Regional / International Workgroup</w:t>
                        </w:r>
                        <w:r w:rsidR="00024908">
                          <w:rPr>
                            <w:sz w:val="20"/>
                            <w:szCs w:val="20"/>
                          </w:rPr>
                          <w:t>s</w:t>
                        </w:r>
                      </w:p>
                    </w:txbxContent>
                  </v:textbox>
                </v:shape>
              </w:pict>
            </w:r>
            <w:r>
              <w:rPr>
                <w:noProof/>
                <w:lang w:eastAsia="en-GB"/>
              </w:rPr>
              <w:pict>
                <v:shape id="_x0000_s1030" type="#_x0000_t202" style="position:absolute;left:0;text-align:left;margin-left:42.35pt;margin-top:5.7pt;width:117pt;height:92.1pt;z-index:251662336">
                  <v:textbox style="mso-next-textbox:#_x0000_s1030">
                    <w:txbxContent>
                      <w:p w:rsidR="00E3748F" w:rsidRPr="00334BC6" w:rsidRDefault="00E3748F" w:rsidP="008A5498">
                        <w:pPr>
                          <w:pStyle w:val="List"/>
                          <w:ind w:left="0" w:firstLine="0"/>
                          <w:rPr>
                            <w:b/>
                            <w:sz w:val="20"/>
                            <w:szCs w:val="20"/>
                          </w:rPr>
                        </w:pPr>
                        <w:r w:rsidRPr="00334BC6">
                          <w:rPr>
                            <w:b/>
                            <w:sz w:val="20"/>
                            <w:szCs w:val="20"/>
                          </w:rPr>
                          <w:t>Advocacy Engagement</w:t>
                        </w:r>
                        <w:r w:rsidR="007D0E17">
                          <w:rPr>
                            <w:b/>
                            <w:sz w:val="20"/>
                            <w:szCs w:val="20"/>
                          </w:rPr>
                          <w:t xml:space="preserve"> </w:t>
                        </w:r>
                        <w:r w:rsidR="007D0E17" w:rsidRPr="008A5498">
                          <w:rPr>
                            <w:b/>
                            <w:color w:val="000000" w:themeColor="text1"/>
                            <w:sz w:val="20"/>
                            <w:szCs w:val="20"/>
                          </w:rPr>
                          <w:t>with (suggestion: non competitive focus)</w:t>
                        </w:r>
                        <w:r w:rsidR="007D0E17">
                          <w:rPr>
                            <w:b/>
                            <w:sz w:val="20"/>
                            <w:szCs w:val="20"/>
                          </w:rPr>
                          <w:t xml:space="preserve"> </w:t>
                        </w:r>
                        <w:r w:rsidRPr="00334BC6">
                          <w:rPr>
                            <w:b/>
                            <w:sz w:val="20"/>
                            <w:szCs w:val="20"/>
                          </w:rPr>
                          <w:t xml:space="preserve"> </w:t>
                        </w:r>
                      </w:p>
                      <w:p w:rsidR="00E3748F" w:rsidRPr="00334BC6" w:rsidRDefault="00E3748F" w:rsidP="00334BC6">
                        <w:pPr>
                          <w:pStyle w:val="List"/>
                          <w:rPr>
                            <w:sz w:val="20"/>
                            <w:szCs w:val="20"/>
                          </w:rPr>
                        </w:pPr>
                        <w:r w:rsidRPr="00334BC6">
                          <w:rPr>
                            <w:sz w:val="20"/>
                            <w:szCs w:val="20"/>
                          </w:rPr>
                          <w:t>-  MAS</w:t>
                        </w:r>
                      </w:p>
                      <w:p w:rsidR="00E3748F" w:rsidRPr="00334BC6" w:rsidRDefault="00E3748F" w:rsidP="00334BC6">
                        <w:pPr>
                          <w:pStyle w:val="List"/>
                          <w:rPr>
                            <w:sz w:val="20"/>
                            <w:szCs w:val="20"/>
                          </w:rPr>
                        </w:pPr>
                        <w:r w:rsidRPr="00334BC6">
                          <w:rPr>
                            <w:sz w:val="20"/>
                            <w:szCs w:val="20"/>
                          </w:rPr>
                          <w:t>-  SGX</w:t>
                        </w:r>
                      </w:p>
                      <w:p w:rsidR="00E3748F" w:rsidRDefault="00E3748F" w:rsidP="00334BC6">
                        <w:pPr>
                          <w:pStyle w:val="List"/>
                          <w:rPr>
                            <w:sz w:val="20"/>
                            <w:szCs w:val="20"/>
                          </w:rPr>
                        </w:pPr>
                        <w:r w:rsidRPr="00334BC6">
                          <w:rPr>
                            <w:sz w:val="20"/>
                            <w:szCs w:val="20"/>
                          </w:rPr>
                          <w:t>-  A</w:t>
                        </w:r>
                        <w:r>
                          <w:rPr>
                            <w:sz w:val="20"/>
                            <w:szCs w:val="20"/>
                          </w:rPr>
                          <w:t>C</w:t>
                        </w:r>
                        <w:r w:rsidRPr="00334BC6">
                          <w:rPr>
                            <w:sz w:val="20"/>
                            <w:szCs w:val="20"/>
                          </w:rPr>
                          <w:t>CRA</w:t>
                        </w:r>
                        <w:r w:rsidR="00A84117">
                          <w:rPr>
                            <w:sz w:val="20"/>
                            <w:szCs w:val="20"/>
                          </w:rPr>
                          <w:t xml:space="preserve"> </w:t>
                        </w:r>
                      </w:p>
                      <w:p w:rsidR="00E3748F" w:rsidRPr="00334BC6" w:rsidRDefault="00E3748F" w:rsidP="00334BC6">
                        <w:pPr>
                          <w:pStyle w:val="List"/>
                          <w:rPr>
                            <w:sz w:val="20"/>
                            <w:szCs w:val="20"/>
                          </w:rPr>
                        </w:pPr>
                      </w:p>
                      <w:p w:rsidR="00E3748F" w:rsidRDefault="00E3748F"/>
                    </w:txbxContent>
                  </v:textbox>
                </v:shape>
              </w:pict>
            </w:r>
            <w:r>
              <w:rPr>
                <w:noProof/>
                <w:lang w:eastAsia="en-GB"/>
              </w:rPr>
              <w:pict>
                <v:shape id="_x0000_s1031" type="#_x0000_t202" style="position:absolute;left:0;text-align:left;margin-left:185.6pt;margin-top:5.7pt;width:117pt;height:92.1pt;z-index:251663360">
                  <v:textbox style="mso-next-textbox:#_x0000_s1031">
                    <w:txbxContent>
                      <w:p w:rsidR="00E3748F" w:rsidRPr="00334BC6" w:rsidRDefault="00E3748F" w:rsidP="008A5498">
                        <w:pPr>
                          <w:pStyle w:val="List"/>
                          <w:ind w:left="0" w:firstLine="0"/>
                          <w:rPr>
                            <w:b/>
                            <w:sz w:val="20"/>
                            <w:szCs w:val="20"/>
                          </w:rPr>
                        </w:pPr>
                        <w:r w:rsidRPr="00334BC6">
                          <w:rPr>
                            <w:b/>
                            <w:sz w:val="20"/>
                            <w:szCs w:val="20"/>
                          </w:rPr>
                          <w:t>Market Practices</w:t>
                        </w:r>
                        <w:r w:rsidR="007D0E17">
                          <w:rPr>
                            <w:b/>
                            <w:sz w:val="20"/>
                            <w:szCs w:val="20"/>
                          </w:rPr>
                          <w:t xml:space="preserve"> </w:t>
                        </w:r>
                        <w:r w:rsidR="007D0E17" w:rsidRPr="008A5498">
                          <w:rPr>
                            <w:b/>
                            <w:color w:val="000000" w:themeColor="text1"/>
                            <w:sz w:val="20"/>
                            <w:szCs w:val="20"/>
                          </w:rPr>
                          <w:t>(Transactional)</w:t>
                        </w:r>
                      </w:p>
                      <w:p w:rsidR="00E3748F" w:rsidRDefault="00E3748F" w:rsidP="00334BC6">
                        <w:pPr>
                          <w:pStyle w:val="List"/>
                          <w:rPr>
                            <w:sz w:val="20"/>
                            <w:szCs w:val="20"/>
                          </w:rPr>
                        </w:pPr>
                        <w:r>
                          <w:rPr>
                            <w:sz w:val="20"/>
                            <w:szCs w:val="20"/>
                          </w:rPr>
                          <w:t>-  Settlement / PSMS</w:t>
                        </w:r>
                      </w:p>
                      <w:p w:rsidR="00E3748F" w:rsidRDefault="00E3748F" w:rsidP="00334BC6">
                        <w:pPr>
                          <w:pStyle w:val="List"/>
                          <w:rPr>
                            <w:sz w:val="20"/>
                            <w:szCs w:val="20"/>
                          </w:rPr>
                        </w:pPr>
                        <w:r>
                          <w:rPr>
                            <w:sz w:val="20"/>
                            <w:szCs w:val="20"/>
                          </w:rPr>
                          <w:t>-  Corporate Actions</w:t>
                        </w:r>
                      </w:p>
                      <w:p w:rsidR="00E3748F" w:rsidRDefault="00E3748F" w:rsidP="00334BC6">
                        <w:pPr>
                          <w:pStyle w:val="List"/>
                          <w:rPr>
                            <w:sz w:val="20"/>
                            <w:szCs w:val="20"/>
                          </w:rPr>
                        </w:pPr>
                        <w:r>
                          <w:rPr>
                            <w:sz w:val="20"/>
                            <w:szCs w:val="20"/>
                          </w:rPr>
                          <w:t>-  SWIFT Standard</w:t>
                        </w:r>
                        <w:r w:rsidR="004C582B">
                          <w:rPr>
                            <w:sz w:val="20"/>
                            <w:szCs w:val="20"/>
                          </w:rPr>
                          <w:t>s</w:t>
                        </w:r>
                      </w:p>
                      <w:p w:rsidR="00E3748F" w:rsidRPr="00334BC6" w:rsidRDefault="00E3748F" w:rsidP="00334BC6">
                        <w:pPr>
                          <w:pStyle w:val="List"/>
                          <w:rPr>
                            <w:sz w:val="20"/>
                            <w:szCs w:val="20"/>
                          </w:rPr>
                        </w:pPr>
                        <w:r>
                          <w:rPr>
                            <w:sz w:val="20"/>
                            <w:szCs w:val="20"/>
                          </w:rPr>
                          <w:t>-  Proxy</w:t>
                        </w:r>
                        <w:r w:rsidR="004C582B">
                          <w:rPr>
                            <w:sz w:val="20"/>
                            <w:szCs w:val="20"/>
                          </w:rPr>
                          <w:t xml:space="preserve"> Voting</w:t>
                        </w:r>
                      </w:p>
                      <w:p w:rsidR="00E3748F" w:rsidRPr="00334BC6" w:rsidRDefault="00E3748F" w:rsidP="00334BC6"/>
                    </w:txbxContent>
                  </v:textbox>
                </v:shape>
              </w:pict>
            </w:r>
          </w:p>
          <w:p w:rsidR="00E3748F" w:rsidRDefault="00E3748F" w:rsidP="00BC61E8">
            <w:pPr>
              <w:pStyle w:val="List"/>
            </w:pPr>
          </w:p>
          <w:p w:rsidR="00E3748F" w:rsidRDefault="00E3748F" w:rsidP="00BC61E8">
            <w:pPr>
              <w:pStyle w:val="List"/>
            </w:pPr>
          </w:p>
          <w:p w:rsidR="00E3748F" w:rsidRDefault="00E3748F" w:rsidP="00BC61E8">
            <w:pPr>
              <w:pStyle w:val="List"/>
            </w:pPr>
          </w:p>
          <w:p w:rsidR="00E3748F" w:rsidRDefault="00E3748F" w:rsidP="00BC61E8">
            <w:pPr>
              <w:pStyle w:val="List"/>
            </w:pPr>
          </w:p>
          <w:p w:rsidR="00E3748F" w:rsidRDefault="00E3748F" w:rsidP="00334BC6">
            <w:pPr>
              <w:pStyle w:val="List"/>
            </w:pPr>
          </w:p>
          <w:p w:rsidR="00E3748F" w:rsidRDefault="00E3748F" w:rsidP="00334BC6">
            <w:pPr>
              <w:pStyle w:val="List"/>
            </w:pPr>
          </w:p>
          <w:p w:rsidR="00E3748F" w:rsidRDefault="00E3748F" w:rsidP="00334BC6">
            <w:pPr>
              <w:pStyle w:val="List"/>
            </w:pPr>
          </w:p>
          <w:p w:rsidR="00E3748F" w:rsidRDefault="004C582B" w:rsidP="004C582B">
            <w:pPr>
              <w:pStyle w:val="List"/>
              <w:ind w:left="-18" w:firstLine="0"/>
            </w:pPr>
            <w:r>
              <w:t>A</w:t>
            </w:r>
            <w:r w:rsidR="00E3748F">
              <w:t xml:space="preserve">dvocacy </w:t>
            </w:r>
            <w:r w:rsidR="000E07E1">
              <w:t>E</w:t>
            </w:r>
            <w:r w:rsidR="00E3748F">
              <w:t xml:space="preserve">ngagement – </w:t>
            </w:r>
            <w:r w:rsidR="000E07E1">
              <w:t>Discussion</w:t>
            </w:r>
            <w:r w:rsidR="007D0E17">
              <w:t xml:space="preserve">s both at </w:t>
            </w:r>
            <w:r w:rsidR="000E07E1">
              <w:t>h</w:t>
            </w:r>
            <w:r w:rsidR="00E3748F">
              <w:t>igh level</w:t>
            </w:r>
            <w:r w:rsidR="007D0E17">
              <w:t xml:space="preserve"> and </w:t>
            </w:r>
            <w:r w:rsidR="00E3748F">
              <w:t xml:space="preserve">specific activities </w:t>
            </w:r>
            <w:r w:rsidR="00EC3B86">
              <w:t xml:space="preserve">to allow </w:t>
            </w:r>
            <w:r w:rsidR="00E3748F">
              <w:t>MAS</w:t>
            </w:r>
            <w:r w:rsidR="007D0E17">
              <w:t xml:space="preserve"> &amp; others</w:t>
            </w:r>
            <w:r w:rsidR="00E3748F">
              <w:t xml:space="preserve"> to understand </w:t>
            </w:r>
            <w:r w:rsidR="00EC3B86">
              <w:t>our</w:t>
            </w:r>
            <w:r w:rsidR="00E3748F">
              <w:t xml:space="preserve"> pain points and enable </w:t>
            </w:r>
            <w:r w:rsidR="00EC3B86">
              <w:t>them</w:t>
            </w:r>
            <w:r w:rsidR="00E3748F">
              <w:t xml:space="preserve"> to use us as a springboard for dissemination of processes and</w:t>
            </w:r>
            <w:r w:rsidR="003C6553">
              <w:t>,</w:t>
            </w:r>
            <w:r w:rsidR="00E3748F">
              <w:t xml:space="preserve"> where required</w:t>
            </w:r>
            <w:r w:rsidR="003C6553">
              <w:t>,</w:t>
            </w:r>
            <w:r w:rsidR="00E3748F">
              <w:t xml:space="preserve"> have selected </w:t>
            </w:r>
            <w:r w:rsidR="003C6553">
              <w:t xml:space="preserve">SMPG </w:t>
            </w:r>
            <w:r w:rsidR="00E3748F">
              <w:t xml:space="preserve">members meet </w:t>
            </w:r>
            <w:r w:rsidR="003C6553">
              <w:t>a</w:t>
            </w:r>
            <w:r w:rsidR="00E3748F">
              <w:t xml:space="preserve">nd </w:t>
            </w:r>
            <w:r w:rsidR="003C6553">
              <w:t>discuss</w:t>
            </w:r>
            <w:r w:rsidR="00E3748F">
              <w:t xml:space="preserve"> at </w:t>
            </w:r>
            <w:r w:rsidR="003C6553">
              <w:t xml:space="preserve">an </w:t>
            </w:r>
            <w:r w:rsidR="00E3748F">
              <w:t xml:space="preserve">industry level. </w:t>
            </w:r>
            <w:r w:rsidR="003C6553">
              <w:t xml:space="preserve">There needs to be a </w:t>
            </w:r>
            <w:r w:rsidR="00742138">
              <w:t xml:space="preserve">united </w:t>
            </w:r>
            <w:r w:rsidR="003C6553">
              <w:t xml:space="preserve">view </w:t>
            </w:r>
            <w:r w:rsidR="00742138">
              <w:t xml:space="preserve">that this goes beyond </w:t>
            </w:r>
            <w:r w:rsidR="00E3748F">
              <w:t>competitive advantage</w:t>
            </w:r>
            <w:r w:rsidR="00742138">
              <w:t xml:space="preserve"> in doing so</w:t>
            </w:r>
            <w:r w:rsidR="00E3748F">
              <w:t xml:space="preserve">. </w:t>
            </w:r>
          </w:p>
          <w:p w:rsidR="00E3748F" w:rsidRDefault="00E3748F" w:rsidP="004C582B">
            <w:pPr>
              <w:pStyle w:val="List"/>
              <w:ind w:left="-18" w:firstLine="0"/>
            </w:pPr>
            <w:r>
              <w:t xml:space="preserve">Market </w:t>
            </w:r>
            <w:r w:rsidR="00050AE2">
              <w:t>P</w:t>
            </w:r>
            <w:r>
              <w:t xml:space="preserve">ractices </w:t>
            </w:r>
            <w:r w:rsidR="00050AE2">
              <w:t>–</w:t>
            </w:r>
            <w:r>
              <w:t xml:space="preserve"> </w:t>
            </w:r>
            <w:r w:rsidR="002C7FAD">
              <w:t>Th</w:t>
            </w:r>
            <w:r w:rsidR="007D0E17">
              <w:t xml:space="preserve">ese are primarily </w:t>
            </w:r>
            <w:r>
              <w:t>transaction</w:t>
            </w:r>
            <w:r w:rsidR="007D0E17">
              <w:t>al</w:t>
            </w:r>
            <w:r w:rsidR="002C7FAD">
              <w:t xml:space="preserve"> and how w</w:t>
            </w:r>
            <w:r>
              <w:t xml:space="preserve">e see the pain points </w:t>
            </w:r>
            <w:r w:rsidR="002C7FAD">
              <w:t xml:space="preserve">of the </w:t>
            </w:r>
            <w:r>
              <w:t xml:space="preserve">current industry </w:t>
            </w:r>
            <w:r w:rsidR="002C7FAD">
              <w:t>which we face and, in turn,</w:t>
            </w:r>
            <w:r w:rsidR="008135B3">
              <w:t xml:space="preserve"> have</w:t>
            </w:r>
            <w:r w:rsidR="002C7FAD">
              <w:t xml:space="preserve"> impact on the clients</w:t>
            </w:r>
            <w:r>
              <w:t xml:space="preserve">. </w:t>
            </w:r>
          </w:p>
          <w:p w:rsidR="00E3748F" w:rsidRDefault="00E3748F" w:rsidP="004C582B">
            <w:pPr>
              <w:pStyle w:val="List"/>
              <w:ind w:left="-18" w:firstLine="0"/>
            </w:pPr>
            <w:r>
              <w:t xml:space="preserve">Communication – </w:t>
            </w:r>
            <w:r w:rsidR="008135B3">
              <w:t xml:space="preserve">This relates </w:t>
            </w:r>
            <w:r w:rsidR="00EF0CCB">
              <w:t xml:space="preserve">to </w:t>
            </w:r>
            <w:r>
              <w:t>best practices</w:t>
            </w:r>
            <w:r w:rsidR="00F73E3E">
              <w:t xml:space="preserve">. We can </w:t>
            </w:r>
            <w:r>
              <w:t>set up a best practice depository</w:t>
            </w:r>
            <w:r w:rsidR="00F73E3E">
              <w:t xml:space="preserve">. </w:t>
            </w:r>
            <w:r>
              <w:t>Today</w:t>
            </w:r>
            <w:r w:rsidR="00F60E28">
              <w:t xml:space="preserve">, there is a code of </w:t>
            </w:r>
            <w:r>
              <w:t>best practice for PSMS but this is a</w:t>
            </w:r>
            <w:r w:rsidR="00F60E28">
              <w:t>t</w:t>
            </w:r>
            <w:r>
              <w:t xml:space="preserve"> transactional level</w:t>
            </w:r>
            <w:r w:rsidR="00F60E28">
              <w:t xml:space="preserve">. This forum can mirror this by tapping on its expertise for </w:t>
            </w:r>
            <w:r>
              <w:t>the stakeholders</w:t>
            </w:r>
            <w:r w:rsidR="00F60E28">
              <w:t xml:space="preserve"> to approach the Group and establish its validity and the forum for the stakeholders to reach out to</w:t>
            </w:r>
            <w:r>
              <w:t>.</w:t>
            </w:r>
            <w:r w:rsidR="00A2335C">
              <w:t xml:space="preserve"> For instance, not all within the Group have line</w:t>
            </w:r>
            <w:r w:rsidR="007D0E17">
              <w:t>/</w:t>
            </w:r>
            <w:r w:rsidR="00A2335C">
              <w:t xml:space="preserve">functional responsibility for derivatives and swaps but </w:t>
            </w:r>
            <w:r w:rsidR="007D0E17">
              <w:t xml:space="preserve">this focus </w:t>
            </w:r>
            <w:r w:rsidR="00A2335C">
              <w:t xml:space="preserve">can </w:t>
            </w:r>
            <w:r w:rsidR="007D0E17">
              <w:t xml:space="preserve">help expand further insights to more </w:t>
            </w:r>
            <w:r w:rsidR="00A2335C">
              <w:t>into these areas.</w:t>
            </w:r>
          </w:p>
          <w:p w:rsidR="00E3748F" w:rsidRDefault="00E3748F" w:rsidP="00334BC6">
            <w:pPr>
              <w:pStyle w:val="List"/>
            </w:pPr>
          </w:p>
          <w:p w:rsidR="00E3748F" w:rsidRDefault="00E3748F" w:rsidP="00047FD7">
            <w:pPr>
              <w:pStyle w:val="List"/>
              <w:ind w:left="0" w:firstLine="0"/>
            </w:pPr>
            <w:r>
              <w:t xml:space="preserve">Jane </w:t>
            </w:r>
            <w:r w:rsidR="002D5C14">
              <w:t>offered to sh</w:t>
            </w:r>
            <w:r>
              <w:t xml:space="preserve">are details on the </w:t>
            </w:r>
            <w:r w:rsidR="00147A35">
              <w:t xml:space="preserve">Clearing, Settlement &amp; </w:t>
            </w:r>
            <w:r w:rsidR="00147A35" w:rsidRPr="00DB31DE">
              <w:t>Custody</w:t>
            </w:r>
            <w:r w:rsidR="00147A35">
              <w:t xml:space="preserve"> Asia</w:t>
            </w:r>
            <w:r w:rsidR="00147A35" w:rsidRPr="00DB31DE">
              <w:t xml:space="preserve"> Forum </w:t>
            </w:r>
            <w:r>
              <w:t>website and their presentation slides</w:t>
            </w:r>
            <w:r w:rsidR="002D5C14">
              <w:t xml:space="preserve"> </w:t>
            </w:r>
            <w:r w:rsidR="0016680D">
              <w:t xml:space="preserve">from </w:t>
            </w:r>
            <w:r w:rsidR="002D5C14">
              <w:t xml:space="preserve">which the Group can </w:t>
            </w:r>
            <w:r w:rsidR="0016680D">
              <w:t>glean market information.</w:t>
            </w:r>
            <w:r>
              <w:t xml:space="preserve"> </w:t>
            </w:r>
          </w:p>
          <w:p w:rsidR="00E3748F" w:rsidRDefault="00E3748F" w:rsidP="00334BC6">
            <w:pPr>
              <w:pStyle w:val="List"/>
            </w:pPr>
          </w:p>
          <w:p w:rsidR="00E3748F" w:rsidRDefault="00E3748F" w:rsidP="00CD64F0">
            <w:pPr>
              <w:pStyle w:val="List"/>
              <w:ind w:left="0" w:firstLine="0"/>
            </w:pPr>
            <w:r>
              <w:t xml:space="preserve">Anthony </w:t>
            </w:r>
            <w:r w:rsidR="00A84117">
              <w:t xml:space="preserve">recommended that </w:t>
            </w:r>
            <w:r>
              <w:t xml:space="preserve">members suggest 2 </w:t>
            </w:r>
            <w:r w:rsidR="00CD64F0">
              <w:t>topics</w:t>
            </w:r>
            <w:r w:rsidR="007D0E17">
              <w:t>/concerns</w:t>
            </w:r>
            <w:r w:rsidR="00CD64F0">
              <w:t xml:space="preserve"> which keep us awake at night or are close to our hearts or what we struggle with or need help with </w:t>
            </w:r>
            <w:r>
              <w:t xml:space="preserve">within each </w:t>
            </w:r>
            <w:r w:rsidR="00E949A1">
              <w:t>of the 3 pillars</w:t>
            </w:r>
            <w:r>
              <w:t xml:space="preserve">. </w:t>
            </w:r>
            <w:r w:rsidR="00CD64F0">
              <w:t xml:space="preserve">These ideas can then be consolidated and broadcast to all members within the Group. </w:t>
            </w:r>
            <w:r>
              <w:t xml:space="preserve">Elizabeth </w:t>
            </w:r>
            <w:r w:rsidR="00EB6718">
              <w:t xml:space="preserve">further </w:t>
            </w:r>
            <w:r w:rsidR="00ED1436">
              <w:t>s</w:t>
            </w:r>
            <w:r>
              <w:t>uggest</w:t>
            </w:r>
            <w:r w:rsidR="00E949A1">
              <w:t>ed</w:t>
            </w:r>
            <w:r w:rsidR="00EB6718">
              <w:t xml:space="preserve"> </w:t>
            </w:r>
            <w:r w:rsidR="00BD3DE4">
              <w:t xml:space="preserve">that </w:t>
            </w:r>
            <w:r w:rsidR="00CD64F0">
              <w:t xml:space="preserve">a vote be taken </w:t>
            </w:r>
            <w:r>
              <w:t xml:space="preserve">amongst </w:t>
            </w:r>
            <w:r w:rsidR="00CD64F0">
              <w:t xml:space="preserve">the consolidated list </w:t>
            </w:r>
            <w:r>
              <w:t xml:space="preserve">to </w:t>
            </w:r>
            <w:r w:rsidR="00756B6D">
              <w:t xml:space="preserve">determine </w:t>
            </w:r>
            <w:r w:rsidR="00CD64F0">
              <w:t xml:space="preserve">areas of </w:t>
            </w:r>
            <w:r>
              <w:t>focus</w:t>
            </w:r>
            <w:r w:rsidR="00CD64F0">
              <w:t xml:space="preserve"> by selecting </w:t>
            </w:r>
            <w:r>
              <w:t xml:space="preserve">3 topics and </w:t>
            </w:r>
            <w:r w:rsidR="00CD64F0">
              <w:t xml:space="preserve">distribute </w:t>
            </w:r>
            <w:r w:rsidR="007F613D">
              <w:t xml:space="preserve">them </w:t>
            </w:r>
            <w:r w:rsidR="00CD64F0">
              <w:t xml:space="preserve">amongst smaller </w:t>
            </w:r>
            <w:r>
              <w:t xml:space="preserve">groups </w:t>
            </w:r>
            <w:r w:rsidR="00CD64F0">
              <w:t xml:space="preserve">with the relevant </w:t>
            </w:r>
            <w:r>
              <w:t>expertise</w:t>
            </w:r>
            <w:r w:rsidR="00CD64F0">
              <w:t xml:space="preserve"> to make it </w:t>
            </w:r>
            <w:r>
              <w:t xml:space="preserve">more achievable. </w:t>
            </w:r>
            <w:r w:rsidR="00CD64F0">
              <w:t>T</w:t>
            </w:r>
            <w:r w:rsidR="00EB6718">
              <w:t>he Group can reconvene for its 2012 focus.</w:t>
            </w:r>
            <w:r>
              <w:t xml:space="preserve"> </w:t>
            </w:r>
          </w:p>
          <w:p w:rsidR="00E3748F" w:rsidRDefault="00E3748F" w:rsidP="00493FB9">
            <w:pPr>
              <w:pStyle w:val="List"/>
            </w:pPr>
          </w:p>
          <w:p w:rsidR="00287C87" w:rsidRDefault="00287C87" w:rsidP="00287C87">
            <w:pPr>
              <w:pStyle w:val="BodyText"/>
              <w:rPr>
                <w:u w:val="single"/>
              </w:rPr>
            </w:pPr>
            <w:r>
              <w:rPr>
                <w:u w:val="single"/>
              </w:rPr>
              <w:t>Appointment of Chairperson</w:t>
            </w:r>
          </w:p>
          <w:p w:rsidR="00E3748F" w:rsidRDefault="00E3748F" w:rsidP="00D770EB">
            <w:pPr>
              <w:pStyle w:val="BodyText"/>
            </w:pPr>
            <w:r>
              <w:t xml:space="preserve">With the </w:t>
            </w:r>
            <w:r w:rsidR="00744146">
              <w:t xml:space="preserve">chairpersonship open post </w:t>
            </w:r>
            <w:r>
              <w:t xml:space="preserve">the departure of Victor Mills, the previous chairperson of the SMPG, the group </w:t>
            </w:r>
            <w:r w:rsidRPr="001B79FA">
              <w:t>unanimous</w:t>
            </w:r>
            <w:r>
              <w:t>ly voted Anthony as its new Chairperson.</w:t>
            </w:r>
            <w:r w:rsidRPr="00D0529B">
              <w:t xml:space="preserve"> </w:t>
            </w:r>
          </w:p>
          <w:p w:rsidR="00F715E7" w:rsidRDefault="00F715E7" w:rsidP="00F715E7">
            <w:pPr>
              <w:pStyle w:val="BodyText"/>
              <w:rPr>
                <w:u w:val="single"/>
              </w:rPr>
            </w:pPr>
            <w:r>
              <w:rPr>
                <w:u w:val="single"/>
              </w:rPr>
              <w:t>Meeting Schedule</w:t>
            </w:r>
          </w:p>
          <w:p w:rsidR="00E3748F" w:rsidRDefault="005C2078" w:rsidP="00903411">
            <w:pPr>
              <w:pStyle w:val="BodyText"/>
            </w:pPr>
            <w:r>
              <w:t>All agreed that the meetings be held the last Thursday of the month</w:t>
            </w:r>
            <w:r w:rsidR="00744146">
              <w:t xml:space="preserve"> where possible</w:t>
            </w:r>
            <w:r>
              <w:t>.</w:t>
            </w:r>
          </w:p>
          <w:p w:rsidR="00744146" w:rsidRDefault="00744146" w:rsidP="00903411">
            <w:pPr>
              <w:pStyle w:val="BodyText"/>
            </w:pPr>
          </w:p>
          <w:p w:rsidR="00744146" w:rsidRPr="00DB31DE" w:rsidRDefault="00744146" w:rsidP="00903411">
            <w:pPr>
              <w:pStyle w:val="BodyText"/>
              <w:rPr>
                <w:u w:val="single"/>
              </w:rPr>
            </w:pPr>
            <w:r w:rsidRPr="00DB31DE">
              <w:rPr>
                <w:u w:val="single"/>
              </w:rPr>
              <w:t>Action (Summary)</w:t>
            </w:r>
          </w:p>
          <w:p w:rsidR="00B53145" w:rsidRPr="00DB31DE" w:rsidRDefault="00C25825" w:rsidP="00B53145">
            <w:pPr>
              <w:tabs>
                <w:tab w:val="left" w:pos="357"/>
              </w:tabs>
              <w:ind w:left="342" w:hanging="342"/>
              <w:rPr>
                <w:rFonts w:asciiTheme="minorHAnsi" w:hAnsiTheme="minorHAnsi"/>
                <w:sz w:val="22"/>
                <w:szCs w:val="22"/>
              </w:rPr>
            </w:pPr>
            <w:r w:rsidRPr="00DB31DE">
              <w:rPr>
                <w:rFonts w:asciiTheme="minorHAnsi" w:hAnsiTheme="minorHAnsi"/>
                <w:sz w:val="22"/>
                <w:szCs w:val="22"/>
              </w:rPr>
              <w:t>1.</w:t>
            </w:r>
            <w:r w:rsidRPr="00DB31DE">
              <w:rPr>
                <w:rFonts w:asciiTheme="minorHAnsi" w:hAnsiTheme="minorHAnsi"/>
                <w:sz w:val="22"/>
                <w:szCs w:val="22"/>
              </w:rPr>
              <w:tab/>
            </w:r>
            <w:r w:rsidR="0083137E" w:rsidRPr="00DB31DE">
              <w:rPr>
                <w:rFonts w:asciiTheme="minorHAnsi" w:hAnsiTheme="minorHAnsi"/>
                <w:sz w:val="22"/>
                <w:szCs w:val="22"/>
              </w:rPr>
              <w:t>Expand</w:t>
            </w:r>
            <w:r w:rsidR="00B53145" w:rsidRPr="00DB31DE">
              <w:rPr>
                <w:rFonts w:asciiTheme="minorHAnsi" w:hAnsiTheme="minorHAnsi"/>
                <w:sz w:val="22"/>
                <w:szCs w:val="22"/>
              </w:rPr>
              <w:t xml:space="preserve"> </w:t>
            </w:r>
            <w:r w:rsidR="0083137E" w:rsidRPr="00DB31DE">
              <w:rPr>
                <w:rFonts w:asciiTheme="minorHAnsi" w:hAnsiTheme="minorHAnsi"/>
                <w:sz w:val="22"/>
                <w:szCs w:val="22"/>
              </w:rPr>
              <w:t xml:space="preserve">invitation to UBS and Credit Suisse to join the Group sessions. </w:t>
            </w:r>
          </w:p>
          <w:p w:rsidR="00C25825" w:rsidRPr="00DB31DE" w:rsidRDefault="00C25825" w:rsidP="00C25825">
            <w:pPr>
              <w:pStyle w:val="List"/>
              <w:tabs>
                <w:tab w:val="left" w:pos="342"/>
              </w:tabs>
              <w:ind w:left="342" w:hanging="342"/>
            </w:pPr>
            <w:r w:rsidRPr="00DB31DE">
              <w:t>2.</w:t>
            </w:r>
            <w:r w:rsidRPr="00DB31DE">
              <w:tab/>
              <w:t xml:space="preserve">Jane to share details on the </w:t>
            </w:r>
            <w:r w:rsidR="00147A35">
              <w:t xml:space="preserve">Clearing, Settlement &amp; </w:t>
            </w:r>
            <w:r w:rsidRPr="00DB31DE">
              <w:t>Custody</w:t>
            </w:r>
            <w:r w:rsidR="00147A35">
              <w:t xml:space="preserve"> Asia</w:t>
            </w:r>
            <w:r w:rsidRPr="00DB31DE">
              <w:t xml:space="preserve"> Forum website and their presentation slides</w:t>
            </w:r>
            <w:r w:rsidR="0083137E" w:rsidRPr="00DB31DE">
              <w:t xml:space="preserve"> from which the Group can glean market information</w:t>
            </w:r>
            <w:r w:rsidRPr="00DB31DE">
              <w:t xml:space="preserve">. </w:t>
            </w:r>
          </w:p>
          <w:p w:rsidR="00ED07F2" w:rsidRDefault="00C25825" w:rsidP="00B53145">
            <w:pPr>
              <w:pStyle w:val="List"/>
            </w:pPr>
            <w:r>
              <w:t xml:space="preserve">3. </w:t>
            </w:r>
            <w:r w:rsidR="00ED07F2">
              <w:tab/>
            </w:r>
            <w:r w:rsidR="0083137E">
              <w:t>M</w:t>
            </w:r>
            <w:r w:rsidR="00ED07F2">
              <w:t xml:space="preserve">embers to </w:t>
            </w:r>
            <w:r w:rsidR="0083137E">
              <w:t>each share with Florence by 24 May, at lea</w:t>
            </w:r>
            <w:r w:rsidR="00ED07F2">
              <w:t>s</w:t>
            </w:r>
            <w:r w:rsidR="0083137E">
              <w:t>t</w:t>
            </w:r>
            <w:r w:rsidR="00ED07F2">
              <w:t xml:space="preserve"> 2 topics/concerns which keep us awake at night or are close to our hearts or what we struggle with or need help with within each of the 3 pillars</w:t>
            </w:r>
            <w:r w:rsidR="00B53145">
              <w:t xml:space="preserve"> </w:t>
            </w:r>
            <w:r w:rsidR="00B53145" w:rsidRPr="00B53145">
              <w:t>[Advocacy Engagement, Market Practices (Transactional)</w:t>
            </w:r>
            <w:r w:rsidR="0083137E">
              <w:t xml:space="preserve"> and</w:t>
            </w:r>
            <w:r w:rsidR="00B53145" w:rsidRPr="00B53145">
              <w:t xml:space="preserve"> Communication]</w:t>
            </w:r>
            <w:r w:rsidR="00B53145">
              <w:t>.</w:t>
            </w:r>
            <w:r w:rsidR="00B53145">
              <w:rPr>
                <w:b/>
                <w:sz w:val="20"/>
                <w:szCs w:val="20"/>
              </w:rPr>
              <w:t xml:space="preserve">  </w:t>
            </w:r>
            <w:r w:rsidR="00ED07F2">
              <w:t xml:space="preserve"> </w:t>
            </w:r>
            <w:r w:rsidR="0083137E">
              <w:t xml:space="preserve">This will be </w:t>
            </w:r>
            <w:r w:rsidR="001B2A82">
              <w:t xml:space="preserve">included </w:t>
            </w:r>
            <w:r w:rsidR="0083137E">
              <w:t>in the</w:t>
            </w:r>
            <w:r w:rsidR="00720163">
              <w:t xml:space="preserve"> next meeting</w:t>
            </w:r>
            <w:r w:rsidR="0083137E">
              <w:t xml:space="preserve"> agenda</w:t>
            </w:r>
            <w:r w:rsidR="00720163">
              <w:t xml:space="preserve"> under action plan</w:t>
            </w:r>
            <w:r w:rsidR="00ED07F2">
              <w:t>.</w:t>
            </w:r>
          </w:p>
          <w:p w:rsidR="00C25825" w:rsidRPr="00744146" w:rsidRDefault="00C25825" w:rsidP="00903411">
            <w:pPr>
              <w:pStyle w:val="BodyText"/>
              <w:rPr>
                <w:u w:val="single"/>
              </w:rPr>
            </w:pPr>
          </w:p>
        </w:tc>
      </w:tr>
    </w:tbl>
    <w:p w:rsidR="00207FDA" w:rsidRPr="00207FDA" w:rsidRDefault="00207FDA" w:rsidP="00903411">
      <w:pPr>
        <w:rPr>
          <w:rFonts w:asciiTheme="minorHAnsi" w:hAnsiTheme="minorHAnsi"/>
          <w:sz w:val="22"/>
          <w:szCs w:val="22"/>
        </w:rPr>
      </w:pPr>
    </w:p>
    <w:sectPr w:rsidR="00207FDA" w:rsidRPr="00207FDA" w:rsidSect="00C9664A">
      <w:pgSz w:w="11907" w:h="16839" w:code="9"/>
      <w:pgMar w:top="1440" w:right="1440" w:bottom="1152"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9088E"/>
    <w:multiLevelType w:val="hybridMultilevel"/>
    <w:tmpl w:val="01625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92369E"/>
    <w:multiLevelType w:val="hybridMultilevel"/>
    <w:tmpl w:val="2534889E"/>
    <w:lvl w:ilvl="0" w:tplc="8B98F1F0">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11E59"/>
    <w:multiLevelType w:val="hybridMultilevel"/>
    <w:tmpl w:val="AB487A76"/>
    <w:lvl w:ilvl="0" w:tplc="63B819CA">
      <w:start w:val="1"/>
      <w:numFmt w:val="decimal"/>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3">
    <w:nsid w:val="6405614B"/>
    <w:multiLevelType w:val="hybridMultilevel"/>
    <w:tmpl w:val="A128E71C"/>
    <w:lvl w:ilvl="0" w:tplc="4E8CBAB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A737D5"/>
    <w:multiLevelType w:val="hybridMultilevel"/>
    <w:tmpl w:val="F05C83CC"/>
    <w:lvl w:ilvl="0" w:tplc="B6AEB694">
      <w:start w:val="1"/>
      <w:numFmt w:val="decimal"/>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num w:numId="1">
    <w:abstractNumId w:val="3"/>
  </w:num>
  <w:num w:numId="2">
    <w:abstractNumId w:val="1"/>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207FDA"/>
    <w:rsid w:val="0001005A"/>
    <w:rsid w:val="000100B0"/>
    <w:rsid w:val="00015B81"/>
    <w:rsid w:val="00024908"/>
    <w:rsid w:val="00025251"/>
    <w:rsid w:val="0003252A"/>
    <w:rsid w:val="00034B6B"/>
    <w:rsid w:val="000413BC"/>
    <w:rsid w:val="00047FD7"/>
    <w:rsid w:val="00050AE2"/>
    <w:rsid w:val="00050BAF"/>
    <w:rsid w:val="00072A67"/>
    <w:rsid w:val="00081C21"/>
    <w:rsid w:val="000852C9"/>
    <w:rsid w:val="000939A8"/>
    <w:rsid w:val="000A08E2"/>
    <w:rsid w:val="000D3231"/>
    <w:rsid w:val="000D494F"/>
    <w:rsid w:val="000E07E1"/>
    <w:rsid w:val="000E1F39"/>
    <w:rsid w:val="00105A9B"/>
    <w:rsid w:val="001213B7"/>
    <w:rsid w:val="00126576"/>
    <w:rsid w:val="0013053A"/>
    <w:rsid w:val="001379CD"/>
    <w:rsid w:val="00144365"/>
    <w:rsid w:val="0014474D"/>
    <w:rsid w:val="0014701A"/>
    <w:rsid w:val="00147A35"/>
    <w:rsid w:val="00154940"/>
    <w:rsid w:val="001637CE"/>
    <w:rsid w:val="0016680D"/>
    <w:rsid w:val="001854B0"/>
    <w:rsid w:val="0019177B"/>
    <w:rsid w:val="001933C5"/>
    <w:rsid w:val="001A4163"/>
    <w:rsid w:val="001B0553"/>
    <w:rsid w:val="001B2A82"/>
    <w:rsid w:val="001B79FA"/>
    <w:rsid w:val="001D1224"/>
    <w:rsid w:val="001D6CBB"/>
    <w:rsid w:val="001E10B5"/>
    <w:rsid w:val="001E3152"/>
    <w:rsid w:val="001E76B3"/>
    <w:rsid w:val="001F0153"/>
    <w:rsid w:val="001F286F"/>
    <w:rsid w:val="00206DFA"/>
    <w:rsid w:val="00207FDA"/>
    <w:rsid w:val="00217244"/>
    <w:rsid w:val="0022093C"/>
    <w:rsid w:val="00263134"/>
    <w:rsid w:val="002678E2"/>
    <w:rsid w:val="00273B63"/>
    <w:rsid w:val="00275719"/>
    <w:rsid w:val="002830AA"/>
    <w:rsid w:val="002859E3"/>
    <w:rsid w:val="00287C87"/>
    <w:rsid w:val="00291E80"/>
    <w:rsid w:val="00296BA7"/>
    <w:rsid w:val="002B406D"/>
    <w:rsid w:val="002C7FAD"/>
    <w:rsid w:val="002D28BC"/>
    <w:rsid w:val="002D3477"/>
    <w:rsid w:val="002D3BF0"/>
    <w:rsid w:val="002D5C14"/>
    <w:rsid w:val="002E1832"/>
    <w:rsid w:val="002E518B"/>
    <w:rsid w:val="002F00B1"/>
    <w:rsid w:val="002F43B5"/>
    <w:rsid w:val="00303C1C"/>
    <w:rsid w:val="003117FE"/>
    <w:rsid w:val="00331DF3"/>
    <w:rsid w:val="00334BC6"/>
    <w:rsid w:val="00336D5C"/>
    <w:rsid w:val="003527A0"/>
    <w:rsid w:val="00357558"/>
    <w:rsid w:val="00363067"/>
    <w:rsid w:val="00364972"/>
    <w:rsid w:val="0037165C"/>
    <w:rsid w:val="003A2CD8"/>
    <w:rsid w:val="003C6553"/>
    <w:rsid w:val="003D5A08"/>
    <w:rsid w:val="004004E1"/>
    <w:rsid w:val="00402D09"/>
    <w:rsid w:val="004118B3"/>
    <w:rsid w:val="0041315A"/>
    <w:rsid w:val="00417F53"/>
    <w:rsid w:val="004200E6"/>
    <w:rsid w:val="00437421"/>
    <w:rsid w:val="00442703"/>
    <w:rsid w:val="00447900"/>
    <w:rsid w:val="00457003"/>
    <w:rsid w:val="004664D9"/>
    <w:rsid w:val="004669D1"/>
    <w:rsid w:val="004718D9"/>
    <w:rsid w:val="004742E6"/>
    <w:rsid w:val="00491E8E"/>
    <w:rsid w:val="00493FB9"/>
    <w:rsid w:val="004A40B1"/>
    <w:rsid w:val="004A505C"/>
    <w:rsid w:val="004C057C"/>
    <w:rsid w:val="004C582B"/>
    <w:rsid w:val="004D0CC4"/>
    <w:rsid w:val="004E1D03"/>
    <w:rsid w:val="004F7E06"/>
    <w:rsid w:val="00515806"/>
    <w:rsid w:val="00516415"/>
    <w:rsid w:val="00516A01"/>
    <w:rsid w:val="005550D1"/>
    <w:rsid w:val="00563AC9"/>
    <w:rsid w:val="0058158C"/>
    <w:rsid w:val="00582A37"/>
    <w:rsid w:val="005845AB"/>
    <w:rsid w:val="005851D3"/>
    <w:rsid w:val="005852C8"/>
    <w:rsid w:val="00587D97"/>
    <w:rsid w:val="005922A8"/>
    <w:rsid w:val="005A32A5"/>
    <w:rsid w:val="005A425D"/>
    <w:rsid w:val="005A78D9"/>
    <w:rsid w:val="005B2F66"/>
    <w:rsid w:val="005B63B3"/>
    <w:rsid w:val="005C2078"/>
    <w:rsid w:val="005C3551"/>
    <w:rsid w:val="005D6BEA"/>
    <w:rsid w:val="005E0522"/>
    <w:rsid w:val="0060047F"/>
    <w:rsid w:val="00624755"/>
    <w:rsid w:val="00636A2F"/>
    <w:rsid w:val="0064747B"/>
    <w:rsid w:val="006505A1"/>
    <w:rsid w:val="00662F99"/>
    <w:rsid w:val="006707DA"/>
    <w:rsid w:val="00684DE2"/>
    <w:rsid w:val="006860A8"/>
    <w:rsid w:val="00692AE8"/>
    <w:rsid w:val="006A1AF2"/>
    <w:rsid w:val="006A4BD8"/>
    <w:rsid w:val="006B2724"/>
    <w:rsid w:val="006C36D0"/>
    <w:rsid w:val="006D0F75"/>
    <w:rsid w:val="006F190C"/>
    <w:rsid w:val="006F6321"/>
    <w:rsid w:val="00701560"/>
    <w:rsid w:val="00705446"/>
    <w:rsid w:val="00705646"/>
    <w:rsid w:val="00720163"/>
    <w:rsid w:val="00722E01"/>
    <w:rsid w:val="00726781"/>
    <w:rsid w:val="00742138"/>
    <w:rsid w:val="00744146"/>
    <w:rsid w:val="00745E39"/>
    <w:rsid w:val="00756238"/>
    <w:rsid w:val="00756B6D"/>
    <w:rsid w:val="00780C47"/>
    <w:rsid w:val="00786192"/>
    <w:rsid w:val="00795C7B"/>
    <w:rsid w:val="00797C81"/>
    <w:rsid w:val="007A08D4"/>
    <w:rsid w:val="007B35A6"/>
    <w:rsid w:val="007C28F6"/>
    <w:rsid w:val="007C4962"/>
    <w:rsid w:val="007D0E17"/>
    <w:rsid w:val="007D6778"/>
    <w:rsid w:val="007E6D7A"/>
    <w:rsid w:val="007F5226"/>
    <w:rsid w:val="007F613D"/>
    <w:rsid w:val="007F65C4"/>
    <w:rsid w:val="00800B13"/>
    <w:rsid w:val="008111B7"/>
    <w:rsid w:val="008135B3"/>
    <w:rsid w:val="008135DD"/>
    <w:rsid w:val="00816C75"/>
    <w:rsid w:val="0083137E"/>
    <w:rsid w:val="0083315A"/>
    <w:rsid w:val="00835900"/>
    <w:rsid w:val="00844DFE"/>
    <w:rsid w:val="008558A5"/>
    <w:rsid w:val="00862F68"/>
    <w:rsid w:val="00870F3F"/>
    <w:rsid w:val="008733F6"/>
    <w:rsid w:val="00875F69"/>
    <w:rsid w:val="00891B49"/>
    <w:rsid w:val="008A051C"/>
    <w:rsid w:val="008A5498"/>
    <w:rsid w:val="008D1487"/>
    <w:rsid w:val="008D2E6F"/>
    <w:rsid w:val="008D5F74"/>
    <w:rsid w:val="008D7E42"/>
    <w:rsid w:val="008E4AA7"/>
    <w:rsid w:val="008F279A"/>
    <w:rsid w:val="008F469B"/>
    <w:rsid w:val="008F66C5"/>
    <w:rsid w:val="008F707B"/>
    <w:rsid w:val="00903411"/>
    <w:rsid w:val="00907C02"/>
    <w:rsid w:val="0091500D"/>
    <w:rsid w:val="0091684F"/>
    <w:rsid w:val="009250A7"/>
    <w:rsid w:val="00932D24"/>
    <w:rsid w:val="00940DC8"/>
    <w:rsid w:val="00951CEE"/>
    <w:rsid w:val="00952665"/>
    <w:rsid w:val="0096332C"/>
    <w:rsid w:val="00967E74"/>
    <w:rsid w:val="00971C35"/>
    <w:rsid w:val="00975A4E"/>
    <w:rsid w:val="00995436"/>
    <w:rsid w:val="009974BA"/>
    <w:rsid w:val="009A0357"/>
    <w:rsid w:val="009A7A74"/>
    <w:rsid w:val="009A7E39"/>
    <w:rsid w:val="009B1785"/>
    <w:rsid w:val="009B515B"/>
    <w:rsid w:val="009B704A"/>
    <w:rsid w:val="009B7507"/>
    <w:rsid w:val="009C18AA"/>
    <w:rsid w:val="009D16D6"/>
    <w:rsid w:val="009D48BB"/>
    <w:rsid w:val="00A04274"/>
    <w:rsid w:val="00A13F83"/>
    <w:rsid w:val="00A1660A"/>
    <w:rsid w:val="00A17560"/>
    <w:rsid w:val="00A20883"/>
    <w:rsid w:val="00A2335C"/>
    <w:rsid w:val="00A26F36"/>
    <w:rsid w:val="00A50F13"/>
    <w:rsid w:val="00A6634D"/>
    <w:rsid w:val="00A6727C"/>
    <w:rsid w:val="00A74671"/>
    <w:rsid w:val="00A76C6F"/>
    <w:rsid w:val="00A84117"/>
    <w:rsid w:val="00A850B2"/>
    <w:rsid w:val="00A856AC"/>
    <w:rsid w:val="00AA2BD0"/>
    <w:rsid w:val="00AA5C9F"/>
    <w:rsid w:val="00AB048F"/>
    <w:rsid w:val="00AB2ADF"/>
    <w:rsid w:val="00AB3F0F"/>
    <w:rsid w:val="00AB7D82"/>
    <w:rsid w:val="00AC7871"/>
    <w:rsid w:val="00AD6E6C"/>
    <w:rsid w:val="00B00F8A"/>
    <w:rsid w:val="00B05764"/>
    <w:rsid w:val="00B14F26"/>
    <w:rsid w:val="00B25DCF"/>
    <w:rsid w:val="00B26B8D"/>
    <w:rsid w:val="00B328F9"/>
    <w:rsid w:val="00B346A6"/>
    <w:rsid w:val="00B35DD4"/>
    <w:rsid w:val="00B53145"/>
    <w:rsid w:val="00B54645"/>
    <w:rsid w:val="00B5563F"/>
    <w:rsid w:val="00B6267B"/>
    <w:rsid w:val="00B72601"/>
    <w:rsid w:val="00B73C06"/>
    <w:rsid w:val="00B756C4"/>
    <w:rsid w:val="00B83FCE"/>
    <w:rsid w:val="00B84DE4"/>
    <w:rsid w:val="00B93802"/>
    <w:rsid w:val="00BA0E65"/>
    <w:rsid w:val="00BA2E2D"/>
    <w:rsid w:val="00BA4935"/>
    <w:rsid w:val="00BB2D61"/>
    <w:rsid w:val="00BB45A3"/>
    <w:rsid w:val="00BC61E8"/>
    <w:rsid w:val="00BD3DE4"/>
    <w:rsid w:val="00BE1125"/>
    <w:rsid w:val="00BE5FCE"/>
    <w:rsid w:val="00BF0666"/>
    <w:rsid w:val="00C06208"/>
    <w:rsid w:val="00C168F2"/>
    <w:rsid w:val="00C25825"/>
    <w:rsid w:val="00C25D7B"/>
    <w:rsid w:val="00C26DD2"/>
    <w:rsid w:val="00C458EB"/>
    <w:rsid w:val="00C64E8A"/>
    <w:rsid w:val="00C754C9"/>
    <w:rsid w:val="00C77EA6"/>
    <w:rsid w:val="00C847F3"/>
    <w:rsid w:val="00C86E6F"/>
    <w:rsid w:val="00C9664A"/>
    <w:rsid w:val="00CA1791"/>
    <w:rsid w:val="00CA3818"/>
    <w:rsid w:val="00CA5AE8"/>
    <w:rsid w:val="00CB222C"/>
    <w:rsid w:val="00CC084F"/>
    <w:rsid w:val="00CD5657"/>
    <w:rsid w:val="00CD64F0"/>
    <w:rsid w:val="00CE0C96"/>
    <w:rsid w:val="00D0529B"/>
    <w:rsid w:val="00D109F9"/>
    <w:rsid w:val="00D11910"/>
    <w:rsid w:val="00D278D5"/>
    <w:rsid w:val="00D4073B"/>
    <w:rsid w:val="00D55915"/>
    <w:rsid w:val="00D67095"/>
    <w:rsid w:val="00D770EB"/>
    <w:rsid w:val="00D82966"/>
    <w:rsid w:val="00D82BD9"/>
    <w:rsid w:val="00D85AEB"/>
    <w:rsid w:val="00DA112E"/>
    <w:rsid w:val="00DA63F1"/>
    <w:rsid w:val="00DB31DE"/>
    <w:rsid w:val="00DB394B"/>
    <w:rsid w:val="00DB3E55"/>
    <w:rsid w:val="00DB6AAD"/>
    <w:rsid w:val="00DC03A8"/>
    <w:rsid w:val="00DD27E2"/>
    <w:rsid w:val="00DE1E9B"/>
    <w:rsid w:val="00DE3A48"/>
    <w:rsid w:val="00DF0FBE"/>
    <w:rsid w:val="00DF537A"/>
    <w:rsid w:val="00E079A2"/>
    <w:rsid w:val="00E120F4"/>
    <w:rsid w:val="00E15EBF"/>
    <w:rsid w:val="00E16DF4"/>
    <w:rsid w:val="00E36A6F"/>
    <w:rsid w:val="00E3748F"/>
    <w:rsid w:val="00E46628"/>
    <w:rsid w:val="00E72B13"/>
    <w:rsid w:val="00E920D2"/>
    <w:rsid w:val="00E949A1"/>
    <w:rsid w:val="00EA5267"/>
    <w:rsid w:val="00EB6718"/>
    <w:rsid w:val="00EB6F8E"/>
    <w:rsid w:val="00EC200A"/>
    <w:rsid w:val="00EC2DBE"/>
    <w:rsid w:val="00EC3B86"/>
    <w:rsid w:val="00ED07F2"/>
    <w:rsid w:val="00ED1436"/>
    <w:rsid w:val="00EE6BBB"/>
    <w:rsid w:val="00EE7072"/>
    <w:rsid w:val="00EF0CCB"/>
    <w:rsid w:val="00EF149A"/>
    <w:rsid w:val="00F011A5"/>
    <w:rsid w:val="00F012C3"/>
    <w:rsid w:val="00F258AB"/>
    <w:rsid w:val="00F272BB"/>
    <w:rsid w:val="00F408D8"/>
    <w:rsid w:val="00F43E86"/>
    <w:rsid w:val="00F46FE3"/>
    <w:rsid w:val="00F60E28"/>
    <w:rsid w:val="00F610F1"/>
    <w:rsid w:val="00F637C4"/>
    <w:rsid w:val="00F70280"/>
    <w:rsid w:val="00F715E7"/>
    <w:rsid w:val="00F72797"/>
    <w:rsid w:val="00F73E3E"/>
    <w:rsid w:val="00F944B5"/>
    <w:rsid w:val="00F97417"/>
    <w:rsid w:val="00FB1771"/>
    <w:rsid w:val="00FC2900"/>
    <w:rsid w:val="00FC2A1D"/>
    <w:rsid w:val="00FF3730"/>
    <w:rsid w:val="00FF6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EE"/>
    <w:rPr>
      <w:lang w:val="en-GB"/>
    </w:rPr>
  </w:style>
  <w:style w:type="paragraph" w:styleId="Heading1">
    <w:name w:val="heading 1"/>
    <w:basedOn w:val="Normal"/>
    <w:next w:val="Normal"/>
    <w:link w:val="Heading1Char"/>
    <w:uiPriority w:val="9"/>
    <w:qFormat/>
    <w:rsid w:val="00050BAF"/>
    <w:pPr>
      <w:keepNext/>
      <w:keepLines/>
      <w:numPr>
        <w:numId w:val="1"/>
      </w:numPr>
      <w:spacing w:before="480" w:after="0"/>
      <w:outlineLvl w:val="0"/>
    </w:pPr>
    <w:rPr>
      <w:rFonts w:eastAsiaTheme="majorEastAsia" w:cstheme="majorBidi"/>
      <w:b/>
      <w:bCs/>
      <w:caps/>
      <w:sz w:val="24"/>
      <w:szCs w:val="28"/>
      <w:u w:val="single"/>
    </w:rPr>
  </w:style>
  <w:style w:type="paragraph" w:styleId="Heading2">
    <w:name w:val="heading 2"/>
    <w:basedOn w:val="Normal"/>
    <w:next w:val="Normal"/>
    <w:link w:val="Heading2Char"/>
    <w:uiPriority w:val="9"/>
    <w:unhideWhenUsed/>
    <w:qFormat/>
    <w:rsid w:val="00050BAF"/>
    <w:pPr>
      <w:keepNext/>
      <w:keepLines/>
      <w:numPr>
        <w:numId w:val="3"/>
      </w:numPr>
      <w:spacing w:before="200" w:after="0"/>
      <w:outlineLvl w:val="1"/>
    </w:pPr>
    <w:rPr>
      <w:rFonts w:eastAsiaTheme="majorEastAsia" w:cstheme="majorBidi"/>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BAF"/>
    <w:rPr>
      <w:rFonts w:ascii="Arial" w:eastAsiaTheme="majorEastAsia" w:hAnsi="Arial" w:cstheme="majorBidi"/>
      <w:b/>
      <w:bCs/>
      <w:caps/>
      <w:sz w:val="24"/>
      <w:szCs w:val="28"/>
      <w:u w:val="single"/>
    </w:rPr>
  </w:style>
  <w:style w:type="character" w:customStyle="1" w:styleId="Heading2Char">
    <w:name w:val="Heading 2 Char"/>
    <w:basedOn w:val="DefaultParagraphFont"/>
    <w:link w:val="Heading2"/>
    <w:uiPriority w:val="9"/>
    <w:rsid w:val="00050BAF"/>
    <w:rPr>
      <w:rFonts w:eastAsiaTheme="majorEastAsia" w:cstheme="majorBidi"/>
      <w:bCs/>
      <w:sz w:val="22"/>
      <w:szCs w:val="26"/>
    </w:rPr>
  </w:style>
  <w:style w:type="paragraph" w:styleId="List">
    <w:name w:val="List"/>
    <w:basedOn w:val="Normal"/>
    <w:uiPriority w:val="99"/>
    <w:unhideWhenUsed/>
    <w:rsid w:val="00207FDA"/>
    <w:pPr>
      <w:spacing w:after="0"/>
      <w:ind w:left="360" w:hanging="360"/>
    </w:pPr>
    <w:rPr>
      <w:rFonts w:asciiTheme="minorHAnsi" w:hAnsiTheme="minorHAnsi" w:cstheme="minorBidi"/>
      <w:sz w:val="22"/>
      <w:szCs w:val="22"/>
    </w:rPr>
  </w:style>
  <w:style w:type="paragraph" w:styleId="BodyText">
    <w:name w:val="Body Text"/>
    <w:basedOn w:val="Normal"/>
    <w:link w:val="BodyTextChar"/>
    <w:uiPriority w:val="99"/>
    <w:unhideWhenUsed/>
    <w:rsid w:val="00207FDA"/>
    <w:pPr>
      <w:spacing w:after="120"/>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207FDA"/>
    <w:rPr>
      <w:rFonts w:asciiTheme="minorHAnsi" w:hAnsiTheme="minorHAnsi" w:cstheme="minorBidi"/>
      <w:sz w:val="22"/>
      <w:szCs w:val="22"/>
      <w:lang w:val="en-GB"/>
    </w:rPr>
  </w:style>
  <w:style w:type="table" w:styleId="TableGrid">
    <w:name w:val="Table Grid"/>
    <w:basedOn w:val="TableNormal"/>
    <w:uiPriority w:val="59"/>
    <w:rsid w:val="00207F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4848">
      <w:bodyDiv w:val="1"/>
      <w:marLeft w:val="0"/>
      <w:marRight w:val="0"/>
      <w:marTop w:val="0"/>
      <w:marBottom w:val="0"/>
      <w:divBdr>
        <w:top w:val="none" w:sz="0" w:space="0" w:color="auto"/>
        <w:left w:val="none" w:sz="0" w:space="0" w:color="auto"/>
        <w:bottom w:val="none" w:sz="0" w:space="0" w:color="auto"/>
        <w:right w:val="none" w:sz="0" w:space="0" w:color="auto"/>
      </w:divBdr>
    </w:div>
    <w:div w:id="530385642">
      <w:bodyDiv w:val="1"/>
      <w:marLeft w:val="0"/>
      <w:marRight w:val="0"/>
      <w:marTop w:val="0"/>
      <w:marBottom w:val="0"/>
      <w:divBdr>
        <w:top w:val="none" w:sz="0" w:space="0" w:color="auto"/>
        <w:left w:val="none" w:sz="0" w:space="0" w:color="auto"/>
        <w:bottom w:val="none" w:sz="0" w:space="0" w:color="auto"/>
        <w:right w:val="none" w:sz="0" w:space="0" w:color="auto"/>
      </w:divBdr>
    </w:div>
    <w:div w:id="1435633510">
      <w:bodyDiv w:val="1"/>
      <w:marLeft w:val="0"/>
      <w:marRight w:val="0"/>
      <w:marTop w:val="0"/>
      <w:marBottom w:val="0"/>
      <w:divBdr>
        <w:top w:val="none" w:sz="0" w:space="0" w:color="auto"/>
        <w:left w:val="none" w:sz="0" w:space="0" w:color="auto"/>
        <w:bottom w:val="none" w:sz="0" w:space="0" w:color="auto"/>
        <w:right w:val="none" w:sz="0" w:space="0" w:color="auto"/>
      </w:divBdr>
    </w:div>
    <w:div w:id="14455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38BC-086D-44D0-9A3F-B9D9385E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1401</Words>
  <Characters>7988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1116664</dc:creator>
  <cp:lastModifiedBy>FOO Cindy</cp:lastModifiedBy>
  <cp:revision>2</cp:revision>
  <dcterms:created xsi:type="dcterms:W3CDTF">2012-06-11T01:14:00Z</dcterms:created>
  <dcterms:modified xsi:type="dcterms:W3CDTF">2012-06-11T01:14:00Z</dcterms:modified>
</cp:coreProperties>
</file>